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1.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imes New Roman" w:hAnsi="Times New Roman"/>
          <w:b/>
          <w:bCs/>
          <w:iCs/>
          <w:noProof/>
          <w:color w:val="FFFFFF" w:themeColor="background1"/>
          <w:spacing w:val="-10"/>
          <w:sz w:val="36"/>
          <w:szCs w:val="32"/>
        </w:rPr>
        <w:id w:val="1949882721"/>
        <w:docPartObj>
          <w:docPartGallery w:val="Cover Pages"/>
          <w:docPartUnique/>
        </w:docPartObj>
      </w:sdtPr>
      <w:sdtEndPr>
        <w:rPr>
          <w:rFonts w:ascii="Trebuchet MS" w:hAnsi="Trebuchet MS"/>
          <w:b w:val="0"/>
          <w:bCs w:val="0"/>
          <w:iCs w:val="0"/>
          <w:noProof w:val="0"/>
          <w:color w:val="auto"/>
          <w:spacing w:val="0"/>
          <w:sz w:val="20"/>
          <w:szCs w:val="18"/>
        </w:rPr>
      </w:sdtEndPr>
      <w:sdtContent>
        <w:p w14:paraId="4EEE6087" w14:textId="77777777" w:rsidR="00DF3A54" w:rsidRPr="00DF3A54" w:rsidRDefault="00DF3A54" w:rsidP="00E214D1">
          <w:pPr>
            <w:pStyle w:val="CE-StandardText"/>
          </w:pPr>
        </w:p>
        <w:p w14:paraId="29FA019F" w14:textId="77777777" w:rsidR="000E4C08" w:rsidRDefault="00AB6520" w:rsidP="001A593E">
          <w:pPr>
            <w:pStyle w:val="CE-StandardText"/>
          </w:pPr>
          <w:r>
            <w:rPr>
              <w:noProof/>
              <w:lang w:eastAsia="pl-PL"/>
            </w:rPr>
            <mc:AlternateContent>
              <mc:Choice Requires="wps">
                <w:drawing>
                  <wp:anchor distT="0" distB="0" distL="114300" distR="114300" simplePos="0" relativeHeight="251659264" behindDoc="0" locked="0" layoutInCell="1" allowOverlap="1" wp14:anchorId="7AC01C22" wp14:editId="37043438">
                    <wp:simplePos x="0" y="0"/>
                    <wp:positionH relativeFrom="margin">
                      <wp:posOffset>232410</wp:posOffset>
                    </wp:positionH>
                    <wp:positionV relativeFrom="paragraph">
                      <wp:posOffset>-100330</wp:posOffset>
                    </wp:positionV>
                    <wp:extent cx="6014720" cy="990600"/>
                    <wp:effectExtent l="0" t="0" r="0" b="0"/>
                    <wp:wrapNone/>
                    <wp:docPr id="1" name="Textfeld 1"/>
                    <wp:cNvGraphicFramePr/>
                    <a:graphic xmlns:a="http://schemas.openxmlformats.org/drawingml/2006/main">
                      <a:graphicData uri="http://schemas.microsoft.com/office/word/2010/wordprocessingShape">
                        <wps:wsp>
                          <wps:cNvSpPr txBox="1"/>
                          <wps:spPr bwMode="auto">
                            <a:xfrm>
                              <a:off x="0" y="0"/>
                              <a:ext cx="6014720" cy="990600"/>
                            </a:xfrm>
                            <a:prstGeom prst="rect">
                              <a:avLst/>
                            </a:prstGeom>
                            <a:noFill/>
                            <a:ln w="6350">
                              <a:noFill/>
                            </a:ln>
                          </wps:spPr>
                          <wps:txbx>
                            <w:txbxContent>
                              <w:p w14:paraId="7AF2B7B2" w14:textId="77777777" w:rsidR="00E47C30" w:rsidRPr="00797244" w:rsidRDefault="00E47C30" w:rsidP="00AB6520">
                                <w:pPr>
                                  <w:pStyle w:val="CE-HeadlineTitle"/>
                                </w:pPr>
                                <w:r>
                                  <w:t>Program Współpracy Interreg EUROPA ŚRODKOWA 2021-2027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left:0;text-align:left;margin-left:18.3pt;margin-top:-7.9pt;width:473.6pt;height:78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" filled="f" stroked="f" strokeweight=".5pt">
                    <v:textbox>
                      <w:txbxContent>
                        <w:p w14:paraId="7AF2B7B2" w14:textId="77777777" w:rsidR="00E47C30" w:rsidRPr="00797244" w:rsidRDefault="00E47C30" w:rsidP="00AB6520">
                          <w:pPr>
                            <w:pStyle w:val="CE-HeadlineTitle"/>
                          </w:pPr>
                          <w:r>
                            <w:t>Program Współpracy Interreg EUROPA ŚRODKOWA 2021-2027</w:t>
                          </w:r>
                        </w:p>
                      </w:txbxContent>
                    </v:textbox>
                    <w10:wrap anchorx="margin"/>
                  </v:shape>
                </w:pict>
              </mc:Fallback>
            </mc:AlternateContent>
          </w:r>
        </w:p>
        <w:p w14:paraId="771CFDC9" w14:textId="77777777" w:rsidR="00731BF8" w:rsidRDefault="00731BF8">
          <w:pPr>
            <w:spacing w:before="0" w:line="240" w:lineRule="auto"/>
            <w:ind w:left="0" w:right="0"/>
            <w:jc w:val="left"/>
            <w:rPr>
              <w:lang w:val="en-GB"/>
            </w:rPr>
          </w:pPr>
        </w:p>
        <w:p w14:paraId="2E40FDBC" w14:textId="77777777" w:rsidR="00731BF8" w:rsidRDefault="00731BF8">
          <w:pPr>
            <w:spacing w:before="0" w:line="240" w:lineRule="auto"/>
            <w:ind w:left="0" w:right="0"/>
            <w:jc w:val="left"/>
            <w:rPr>
              <w:lang w:val="en-GB"/>
            </w:rPr>
          </w:pPr>
        </w:p>
        <w:p w14:paraId="0E52D690" w14:textId="77777777" w:rsidR="008D61D5" w:rsidRPr="00E61DDB" w:rsidRDefault="008D61D5" w:rsidP="00B34F51">
          <w:pPr>
            <w:pStyle w:val="Tekstprzypisudolnego"/>
          </w:pPr>
        </w:p>
        <w:p w14:paraId="1AFE0DCF" w14:textId="77777777" w:rsidR="008D61D5" w:rsidRDefault="008D61D5" w:rsidP="00B34F51">
          <w:pPr>
            <w:pStyle w:val="CE-StandardText"/>
          </w:pPr>
        </w:p>
        <w:tbl>
          <w:tblPr>
            <w:tblStyle w:val="Tabela-Siatka"/>
            <w:tblW w:w="0" w:type="auto"/>
            <w:tblInd w:w="521" w:type="dxa"/>
            <w:tblBorders>
              <w:top w:val="single" w:sz="18" w:space="0" w:color="7E93A5" w:themeColor="background2"/>
              <w:left w:val="none" w:sz="0" w:space="0" w:color="auto"/>
              <w:bottom w:val="single" w:sz="18" w:space="0" w:color="7E93A5" w:themeColor="background2"/>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134"/>
            <w:gridCol w:w="1951"/>
          </w:tblGrid>
          <w:tr w:rsidR="009805EB" w:rsidRPr="00797244" w14:paraId="700CAE3D" w14:textId="77777777" w:rsidTr="00797244">
            <w:tc>
              <w:tcPr>
                <w:tcW w:w="7134" w:type="dxa"/>
                <w:vAlign w:val="center"/>
              </w:tcPr>
              <w:p w14:paraId="1F647A38" w14:textId="6393F6AA" w:rsidR="009805EB" w:rsidRPr="003F0C0B" w:rsidRDefault="00A5537D" w:rsidP="003F0C0B">
                <w:pPr>
                  <w:pStyle w:val="Tekstprzypisudolnego"/>
                  <w:rPr>
                    <w:sz w:val="28"/>
                  </w:rPr>
                </w:pPr>
                <w:bookmarkStart w:id="0" w:name="_Toc50638705"/>
                <w:bookmarkStart w:id="1" w:name="_Toc61245848"/>
                <w:bookmarkStart w:id="2" w:name="_Toc61246187"/>
                <w:bookmarkStart w:id="3" w:name="_Toc63770019"/>
                <w:bookmarkStart w:id="4" w:name="_Toc64026034"/>
                <w:bookmarkStart w:id="5" w:name="_Toc70708622"/>
                <w:r w:rsidRPr="003F0C0B">
                  <w:rPr>
                    <w:sz w:val="28"/>
                  </w:rPr>
                  <w:t xml:space="preserve">Wersja </w:t>
                </w:r>
                <w:bookmarkEnd w:id="0"/>
                <w:bookmarkEnd w:id="1"/>
                <w:bookmarkEnd w:id="2"/>
                <w:bookmarkEnd w:id="3"/>
                <w:bookmarkEnd w:id="4"/>
                <w:r w:rsidRPr="003F0C0B">
                  <w:rPr>
                    <w:sz w:val="28"/>
                  </w:rPr>
                  <w:t>5</w:t>
                </w:r>
                <w:bookmarkEnd w:id="5"/>
                <w:r w:rsidRPr="003F0C0B">
                  <w:rPr>
                    <w:sz w:val="28"/>
                  </w:rPr>
                  <w:t xml:space="preserve"> </w:t>
                </w:r>
              </w:p>
            </w:tc>
            <w:tc>
              <w:tcPr>
                <w:tcW w:w="1951" w:type="dxa"/>
                <w:vAlign w:val="center"/>
              </w:tcPr>
              <w:p w14:paraId="6CB17CC6" w14:textId="7617F462" w:rsidR="009805EB" w:rsidRPr="003F0C0B" w:rsidRDefault="002F56B5" w:rsidP="003F0C0B">
                <w:pPr>
                  <w:pStyle w:val="Tekstprzypisudolnego"/>
                  <w:rPr>
                    <w:sz w:val="28"/>
                  </w:rPr>
                </w:pPr>
                <w:bookmarkStart w:id="6" w:name="_Toc50638706"/>
                <w:bookmarkStart w:id="7" w:name="_Toc61245849"/>
                <w:bookmarkStart w:id="8" w:name="_Toc61246188"/>
                <w:bookmarkStart w:id="9" w:name="_Toc63770020"/>
                <w:bookmarkStart w:id="10" w:name="_Toc64026035"/>
                <w:bookmarkStart w:id="11" w:name="_Toc70708623"/>
                <w:r w:rsidRPr="003F0C0B">
                  <w:rPr>
                    <w:sz w:val="28"/>
                  </w:rPr>
                  <w:t>03.202</w:t>
                </w:r>
                <w:bookmarkEnd w:id="6"/>
                <w:r w:rsidRPr="003F0C0B">
                  <w:rPr>
                    <w:sz w:val="28"/>
                  </w:rPr>
                  <w:t>1</w:t>
                </w:r>
                <w:bookmarkEnd w:id="7"/>
                <w:bookmarkEnd w:id="8"/>
                <w:bookmarkEnd w:id="9"/>
                <w:bookmarkEnd w:id="10"/>
                <w:bookmarkEnd w:id="11"/>
              </w:p>
            </w:tc>
          </w:tr>
        </w:tbl>
        <w:sdt>
          <w:sdtPr>
            <w:id w:val="-547530610"/>
            <w:lock w:val="sdtContentLocked"/>
            <w:group/>
          </w:sdtPr>
          <w:sdtEndPr/>
          <w:sdtContent>
            <w:sdt>
              <w:sdtPr>
                <w:id w:val="2099130923"/>
                <w:lock w:val="sdtContentLocked"/>
                <w:group/>
              </w:sdtPr>
              <w:sdtEndPr/>
              <w:sdtContent>
                <w:p w14:paraId="3185532C" w14:textId="77777777" w:rsidR="008D61D5" w:rsidRDefault="008D61D5" w:rsidP="00B34F51">
                  <w:pPr>
                    <w:pStyle w:val="CE-StandardText"/>
                  </w:pPr>
                </w:p>
                <w:p w14:paraId="62D47FF2" w14:textId="77777777" w:rsidR="00542334" w:rsidRDefault="00542334" w:rsidP="00B34F51">
                  <w:pPr>
                    <w:pStyle w:val="CE-StandardText"/>
                  </w:pPr>
                </w:p>
                <w:p w14:paraId="0D3D5344" w14:textId="77777777" w:rsidR="00542334" w:rsidRDefault="00542334" w:rsidP="00B34F51">
                  <w:pPr>
                    <w:pStyle w:val="CE-StandardText"/>
                  </w:pPr>
                </w:p>
                <w:p w14:paraId="04AFFDD8" w14:textId="77777777" w:rsidR="00542334" w:rsidRDefault="00542334" w:rsidP="00B34F51">
                  <w:pPr>
                    <w:pStyle w:val="CE-StandardText"/>
                  </w:pPr>
                </w:p>
                <w:p w14:paraId="6EAA0C66" w14:textId="77777777" w:rsidR="00542334" w:rsidRDefault="00542334" w:rsidP="00B34F51">
                  <w:pPr>
                    <w:pStyle w:val="CE-StandardText"/>
                  </w:pPr>
                </w:p>
                <w:p w14:paraId="0CAAA975" w14:textId="77777777" w:rsidR="00542334" w:rsidRDefault="00542334" w:rsidP="00B34F51">
                  <w:pPr>
                    <w:pStyle w:val="CE-StandardText"/>
                  </w:pPr>
                </w:p>
                <w:p w14:paraId="0A339F7C" w14:textId="77777777" w:rsidR="00542334" w:rsidRDefault="00542334" w:rsidP="00B34F51">
                  <w:pPr>
                    <w:pStyle w:val="CE-StandardText"/>
                  </w:pPr>
                </w:p>
                <w:p w14:paraId="797A1170" w14:textId="77777777" w:rsidR="00542334" w:rsidRDefault="00542334" w:rsidP="00B34F51">
                  <w:pPr>
                    <w:pStyle w:val="CE-StandardText"/>
                  </w:pPr>
                </w:p>
                <w:p w14:paraId="5AFBFB22" w14:textId="77777777" w:rsidR="00542334" w:rsidRDefault="00542334" w:rsidP="00B34F51">
                  <w:pPr>
                    <w:pStyle w:val="CE-StandardText"/>
                  </w:pPr>
                </w:p>
                <w:p w14:paraId="0FDE3486" w14:textId="77777777" w:rsidR="00542334" w:rsidRDefault="00542334" w:rsidP="00B34F51">
                  <w:pPr>
                    <w:pStyle w:val="CE-StandardText"/>
                  </w:pPr>
                </w:p>
                <w:p w14:paraId="5A91C51B" w14:textId="77777777" w:rsidR="00542334" w:rsidRDefault="00542334" w:rsidP="00B34F51">
                  <w:pPr>
                    <w:pStyle w:val="CE-StandardText"/>
                  </w:pPr>
                </w:p>
                <w:p w14:paraId="25438124" w14:textId="77777777" w:rsidR="00542334" w:rsidRDefault="00542334" w:rsidP="00B34F51">
                  <w:pPr>
                    <w:pStyle w:val="CE-StandardText"/>
                  </w:pPr>
                </w:p>
                <w:p w14:paraId="29BDFDDF" w14:textId="77777777" w:rsidR="00542334" w:rsidRDefault="00542334" w:rsidP="00B34F51">
                  <w:pPr>
                    <w:pStyle w:val="CE-StandardText"/>
                  </w:pPr>
                </w:p>
                <w:p w14:paraId="78C12BE6" w14:textId="77777777" w:rsidR="00542334" w:rsidRDefault="00542334" w:rsidP="00B34F51">
                  <w:pPr>
                    <w:pStyle w:val="CE-StandardText"/>
                  </w:pPr>
                </w:p>
                <w:p w14:paraId="25BE193B" w14:textId="77777777" w:rsidR="00542334" w:rsidRDefault="00542334" w:rsidP="00B34F51">
                  <w:pPr>
                    <w:pStyle w:val="CE-StandardText"/>
                  </w:pPr>
                </w:p>
                <w:p w14:paraId="08DABDE2" w14:textId="77777777" w:rsidR="00542334" w:rsidRDefault="00542334" w:rsidP="00B34F51">
                  <w:pPr>
                    <w:pStyle w:val="CE-StandardText"/>
                  </w:pPr>
                </w:p>
                <w:p w14:paraId="4AB34B96" w14:textId="77777777" w:rsidR="00542334" w:rsidRDefault="00542334" w:rsidP="00B34F51">
                  <w:pPr>
                    <w:pStyle w:val="CE-StandardText"/>
                  </w:pPr>
                </w:p>
                <w:p w14:paraId="5B679414" w14:textId="77777777" w:rsidR="00542334" w:rsidRDefault="00542334" w:rsidP="00B34F51">
                  <w:pPr>
                    <w:pStyle w:val="CE-StandardText"/>
                  </w:pPr>
                </w:p>
                <w:p w14:paraId="2FA8B442" w14:textId="77777777" w:rsidR="00542334" w:rsidRDefault="00542334" w:rsidP="00B34F51">
                  <w:pPr>
                    <w:pStyle w:val="CE-StandardText"/>
                  </w:pPr>
                </w:p>
                <w:p w14:paraId="76181E84" w14:textId="77777777" w:rsidR="00542334" w:rsidRDefault="00542334" w:rsidP="00B34F51">
                  <w:pPr>
                    <w:pStyle w:val="CE-StandardText"/>
                  </w:pPr>
                </w:p>
                <w:p w14:paraId="1657A64A" w14:textId="77777777" w:rsidR="00542334" w:rsidRDefault="00542334" w:rsidP="00B34F51">
                  <w:pPr>
                    <w:pStyle w:val="CE-StandardText"/>
                  </w:pPr>
                </w:p>
                <w:p w14:paraId="3B9333EF" w14:textId="77777777" w:rsidR="00542334" w:rsidRDefault="00542334" w:rsidP="00B34F51">
                  <w:pPr>
                    <w:pStyle w:val="CE-StandardText"/>
                  </w:pPr>
                </w:p>
                <w:p w14:paraId="193C2381" w14:textId="77777777" w:rsidR="00542334" w:rsidRDefault="00542334" w:rsidP="00B34F51">
                  <w:pPr>
                    <w:pStyle w:val="CE-StandardText"/>
                  </w:pPr>
                </w:p>
                <w:p w14:paraId="332AD0E0" w14:textId="77777777" w:rsidR="00542334" w:rsidRDefault="00542334" w:rsidP="00B34F51">
                  <w:pPr>
                    <w:pStyle w:val="CE-StandardText"/>
                  </w:pPr>
                </w:p>
                <w:p w14:paraId="0C9BE005" w14:textId="77777777" w:rsidR="00942A8A" w:rsidRDefault="00ED61BA" w:rsidP="00542334">
                  <w:pPr>
                    <w:pStyle w:val="CE-StandardText"/>
                  </w:pPr>
                </w:p>
              </w:sdtContent>
            </w:sdt>
          </w:sdtContent>
        </w:sdt>
        <w:sdt>
          <w:sdtPr>
            <w:id w:val="-128864140"/>
            <w:lock w:val="sdtContentLocked"/>
            <w:group/>
          </w:sdtPr>
          <w:sdtEndPr/>
          <w:sdtContent>
            <w:p w14:paraId="52EDCD99" w14:textId="77777777" w:rsidR="008727F2" w:rsidRDefault="00CF374E" w:rsidP="008727F2">
              <w:pPr>
                <w:pStyle w:val="CE-StandardText"/>
              </w:pPr>
              <w:r>
                <w:rPr>
                  <w:lang w:val="de-AT"/>
                </w:rPr>
                <w:t xml:space="preserve"> </w:t>
              </w:r>
            </w:p>
          </w:sdtContent>
        </w:sdt>
      </w:sdtContent>
    </w:sdt>
    <w:p w14:paraId="07F53FC0" w14:textId="77777777" w:rsidR="008727F2" w:rsidRDefault="008727F2">
      <w:pPr>
        <w:spacing w:before="0" w:line="240" w:lineRule="auto"/>
        <w:ind w:left="0" w:right="0"/>
        <w:jc w:val="left"/>
        <w:rPr>
          <w:szCs w:val="18"/>
        </w:rPr>
        <w:sectPr w:rsidR="008727F2" w:rsidSect="008B2F75">
          <w:headerReference w:type="even" r:id="rId9"/>
          <w:headerReference w:type="default" r:id="rId10"/>
          <w:footerReference w:type="even" r:id="rId11"/>
          <w:footerReference w:type="default" r:id="rId12"/>
          <w:headerReference w:type="first" r:id="rId13"/>
          <w:footerReference w:type="first" r:id="rId14"/>
          <w:pgSz w:w="11906" w:h="16838" w:code="9"/>
          <w:pgMar w:top="2382" w:right="1134" w:bottom="1276" w:left="1134" w:header="0" w:footer="0" w:gutter="0"/>
          <w:pgNumType w:start="0"/>
          <w:cols w:space="708"/>
          <w:titlePg/>
          <w:docGrid w:linePitch="360"/>
        </w:sectPr>
      </w:pPr>
    </w:p>
    <w:p w14:paraId="669B6211" w14:textId="77777777" w:rsidR="008727F2" w:rsidRDefault="008727F2">
      <w:pPr>
        <w:spacing w:before="0" w:line="240" w:lineRule="auto"/>
        <w:ind w:left="0" w:right="0"/>
        <w:jc w:val="left"/>
        <w:rPr>
          <w:szCs w:val="18"/>
        </w:rPr>
      </w:pPr>
    </w:p>
    <w:p w14:paraId="432F4816" w14:textId="77777777" w:rsidR="008631A3" w:rsidRDefault="008631A3" w:rsidP="008727F2">
      <w:pPr>
        <w:ind w:left="0"/>
        <w:jc w:val="center"/>
        <w:rPr>
          <w:rFonts w:asciiTheme="minorHAnsi" w:hAnsiTheme="minorHAnsi"/>
          <w:b/>
          <w:sz w:val="28"/>
          <w:szCs w:val="28"/>
        </w:rPr>
      </w:pPr>
    </w:p>
    <w:p w14:paraId="07ED5A6D" w14:textId="427161D7" w:rsidR="008631A3" w:rsidRPr="008631A3" w:rsidRDefault="008631A3" w:rsidP="008727F2">
      <w:pPr>
        <w:ind w:left="0"/>
        <w:jc w:val="center"/>
        <w:rPr>
          <w:rFonts w:asciiTheme="minorHAnsi" w:hAnsiTheme="minorHAnsi"/>
          <w:b/>
          <w:sz w:val="24"/>
          <w:szCs w:val="28"/>
        </w:rPr>
      </w:pPr>
      <w:r w:rsidRPr="008631A3">
        <w:rPr>
          <w:rFonts w:ascii="Arial" w:hAnsi="Arial" w:cs="Arial"/>
          <w:sz w:val="32"/>
          <w:szCs w:val="35"/>
          <w:highlight w:val="yellow"/>
        </w:rPr>
        <w:t>Uwaga: Przekład roboczy</w:t>
      </w:r>
      <w:r w:rsidR="00B64344">
        <w:rPr>
          <w:rFonts w:ascii="Arial" w:hAnsi="Arial" w:cs="Arial"/>
          <w:sz w:val="32"/>
          <w:szCs w:val="35"/>
          <w:highlight w:val="yellow"/>
        </w:rPr>
        <w:t xml:space="preserve"> (oryginał w języku angielskim)</w:t>
      </w:r>
      <w:r w:rsidRPr="008631A3">
        <w:rPr>
          <w:rFonts w:ascii="Arial" w:hAnsi="Arial" w:cs="Arial"/>
          <w:sz w:val="32"/>
          <w:szCs w:val="35"/>
          <w:highlight w:val="yellow"/>
        </w:rPr>
        <w:t xml:space="preserve">. Dokument o charakterze pomocniczym. Odwołania do projektów rozporządzeń UE zostaną zweryfikowane po ich zatwierdzeniu, </w:t>
      </w:r>
      <w:r>
        <w:rPr>
          <w:rFonts w:ascii="Arial" w:hAnsi="Arial" w:cs="Arial"/>
          <w:sz w:val="32"/>
          <w:szCs w:val="35"/>
          <w:highlight w:val="yellow"/>
        </w:rPr>
        <w:br/>
      </w:r>
      <w:r w:rsidRPr="008631A3">
        <w:rPr>
          <w:rFonts w:ascii="Arial" w:hAnsi="Arial" w:cs="Arial"/>
          <w:sz w:val="32"/>
          <w:szCs w:val="35"/>
          <w:highlight w:val="yellow"/>
        </w:rPr>
        <w:t>zgodnie z oficjalną wersją tłumaczenia.</w:t>
      </w:r>
    </w:p>
    <w:p w14:paraId="720E24A7" w14:textId="77777777" w:rsidR="008727F2" w:rsidRPr="00D80606" w:rsidRDefault="008727F2" w:rsidP="008727F2">
      <w:pPr>
        <w:ind w:left="0"/>
        <w:jc w:val="center"/>
        <w:rPr>
          <w:rFonts w:asciiTheme="minorHAnsi" w:hAnsiTheme="minorHAnsi"/>
          <w:b/>
          <w:sz w:val="28"/>
          <w:szCs w:val="28"/>
        </w:rPr>
      </w:pPr>
      <w:r w:rsidRPr="00D80606">
        <w:rPr>
          <w:rFonts w:asciiTheme="minorHAnsi" w:hAnsiTheme="minorHAnsi"/>
          <w:b/>
          <w:sz w:val="28"/>
          <w:szCs w:val="28"/>
        </w:rPr>
        <w:t>WZÓR FORMULARZA NA POTRZEBY PROGRAMÓW INTERREG</w:t>
      </w:r>
      <w:r w:rsidRPr="00D80606">
        <w:rPr>
          <w:rStyle w:val="Odwoanieprzypisudolnego"/>
          <w:rFonts w:asciiTheme="minorHAnsi" w:hAnsiTheme="minorHAnsi"/>
          <w:b/>
          <w:sz w:val="28"/>
          <w:szCs w:val="28"/>
        </w:rPr>
        <w:footnoteReference w:id="2"/>
      </w:r>
    </w:p>
    <w:p w14:paraId="23A10BE3" w14:textId="77777777" w:rsidR="008727F2" w:rsidRPr="008727F2" w:rsidRDefault="008727F2" w:rsidP="008727F2">
      <w:pPr>
        <w:ind w:left="0"/>
        <w:jc w:val="center"/>
        <w:rPr>
          <w:rFonts w:asciiTheme="minorHAnsi" w:hAnsiTheme="minorHAnsi"/>
          <w:b/>
          <w:sz w:val="24"/>
          <w:szCs w:val="24"/>
        </w:rPr>
      </w:pPr>
    </w:p>
    <w:tbl>
      <w:tblPr>
        <w:tblW w:w="84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15"/>
        <w:gridCol w:w="5103"/>
      </w:tblGrid>
      <w:tr w:rsidR="00AA79F9" w:rsidRPr="007F73B6" w14:paraId="5EA8550D" w14:textId="77777777" w:rsidTr="00EE2941">
        <w:trPr>
          <w:trHeight w:val="222"/>
          <w:jc w:val="center"/>
        </w:trPr>
        <w:tc>
          <w:tcPr>
            <w:tcW w:w="3315" w:type="dxa"/>
            <w:shd w:val="clear" w:color="auto" w:fill="auto"/>
          </w:tcPr>
          <w:p w14:paraId="275F38CB" w14:textId="77777777" w:rsidR="00AA79F9" w:rsidRPr="007F73B6" w:rsidRDefault="00AA79F9" w:rsidP="00EE2941">
            <w:pPr>
              <w:ind w:left="0"/>
              <w:rPr>
                <w:rFonts w:asciiTheme="minorHAnsi" w:hAnsiTheme="minorHAnsi"/>
                <w:b/>
                <w:sz w:val="24"/>
                <w:szCs w:val="24"/>
              </w:rPr>
            </w:pPr>
            <w:r w:rsidRPr="007F73B6">
              <w:rPr>
                <w:rFonts w:asciiTheme="minorHAnsi" w:hAnsiTheme="minorHAnsi"/>
                <w:b/>
                <w:sz w:val="24"/>
                <w:szCs w:val="24"/>
              </w:rPr>
              <w:t>Nr CCI</w:t>
            </w:r>
          </w:p>
        </w:tc>
        <w:tc>
          <w:tcPr>
            <w:tcW w:w="5103" w:type="dxa"/>
            <w:shd w:val="clear" w:color="auto" w:fill="auto"/>
          </w:tcPr>
          <w:p w14:paraId="0B127893" w14:textId="77777777" w:rsidR="00AA79F9" w:rsidRPr="007F73B6" w:rsidRDefault="00AA79F9" w:rsidP="00EE2941">
            <w:pPr>
              <w:ind w:left="0"/>
              <w:rPr>
                <w:rFonts w:asciiTheme="minorHAnsi" w:hAnsiTheme="minorHAnsi"/>
                <w:sz w:val="24"/>
                <w:szCs w:val="24"/>
                <w:lang w:val="en-GB"/>
              </w:rPr>
            </w:pPr>
          </w:p>
        </w:tc>
      </w:tr>
      <w:tr w:rsidR="00AA79F9" w:rsidRPr="007F73B6" w14:paraId="6B4EB7DF" w14:textId="77777777" w:rsidTr="00EE2941">
        <w:trPr>
          <w:trHeight w:val="269"/>
          <w:jc w:val="center"/>
        </w:trPr>
        <w:tc>
          <w:tcPr>
            <w:tcW w:w="3315" w:type="dxa"/>
            <w:shd w:val="clear" w:color="auto" w:fill="auto"/>
          </w:tcPr>
          <w:p w14:paraId="7AD3AFA8" w14:textId="77777777" w:rsidR="00AA79F9" w:rsidRPr="007F73B6" w:rsidRDefault="00AA79F9" w:rsidP="00EE2941">
            <w:pPr>
              <w:ind w:left="0"/>
              <w:rPr>
                <w:rFonts w:asciiTheme="minorHAnsi" w:hAnsiTheme="minorHAnsi"/>
                <w:b/>
                <w:sz w:val="24"/>
                <w:szCs w:val="24"/>
              </w:rPr>
            </w:pPr>
            <w:r w:rsidRPr="007F73B6">
              <w:rPr>
                <w:rFonts w:asciiTheme="minorHAnsi" w:hAnsiTheme="minorHAnsi"/>
                <w:b/>
                <w:sz w:val="24"/>
                <w:szCs w:val="24"/>
              </w:rPr>
              <w:t>Tytuł</w:t>
            </w:r>
          </w:p>
        </w:tc>
        <w:tc>
          <w:tcPr>
            <w:tcW w:w="5103" w:type="dxa"/>
            <w:shd w:val="clear" w:color="auto" w:fill="auto"/>
          </w:tcPr>
          <w:p w14:paraId="2606BB5D" w14:textId="77777777" w:rsidR="00AA79F9" w:rsidRPr="007F73B6" w:rsidRDefault="00AA79F9" w:rsidP="00EE2941">
            <w:pPr>
              <w:ind w:left="0"/>
              <w:jc w:val="left"/>
              <w:rPr>
                <w:rFonts w:asciiTheme="minorHAnsi" w:hAnsiTheme="minorHAnsi"/>
                <w:b/>
                <w:sz w:val="24"/>
                <w:szCs w:val="24"/>
              </w:rPr>
            </w:pPr>
            <w:r w:rsidRPr="007F73B6">
              <w:rPr>
                <w:rFonts w:asciiTheme="minorHAnsi" w:hAnsiTheme="minorHAnsi"/>
                <w:b/>
                <w:sz w:val="24"/>
                <w:szCs w:val="24"/>
              </w:rPr>
              <w:t>Program Współpracy Interreg EUROPA ŚRODKOWA 2021-2027</w:t>
            </w:r>
          </w:p>
        </w:tc>
      </w:tr>
      <w:tr w:rsidR="00AA79F9" w:rsidRPr="007F73B6" w14:paraId="79D8B4B2" w14:textId="77777777" w:rsidTr="00EE2941">
        <w:trPr>
          <w:trHeight w:val="138"/>
          <w:jc w:val="center"/>
        </w:trPr>
        <w:tc>
          <w:tcPr>
            <w:tcW w:w="3315" w:type="dxa"/>
            <w:shd w:val="clear" w:color="auto" w:fill="auto"/>
          </w:tcPr>
          <w:p w14:paraId="45F0E517" w14:textId="77777777" w:rsidR="00AA79F9" w:rsidRPr="007F73B6" w:rsidRDefault="00AA79F9" w:rsidP="00EE2941">
            <w:pPr>
              <w:ind w:left="0"/>
              <w:rPr>
                <w:rFonts w:asciiTheme="minorHAnsi" w:hAnsiTheme="minorHAnsi"/>
                <w:b/>
                <w:sz w:val="24"/>
                <w:szCs w:val="24"/>
              </w:rPr>
            </w:pPr>
            <w:r w:rsidRPr="007F73B6">
              <w:rPr>
                <w:rFonts w:asciiTheme="minorHAnsi" w:hAnsiTheme="minorHAnsi"/>
                <w:b/>
                <w:sz w:val="24"/>
                <w:szCs w:val="24"/>
              </w:rPr>
              <w:t>Wersja</w:t>
            </w:r>
          </w:p>
        </w:tc>
        <w:tc>
          <w:tcPr>
            <w:tcW w:w="5103" w:type="dxa"/>
            <w:shd w:val="clear" w:color="auto" w:fill="auto"/>
          </w:tcPr>
          <w:p w14:paraId="45917F98" w14:textId="77777777" w:rsidR="00AA79F9" w:rsidRPr="007F73B6" w:rsidRDefault="00AA79F9" w:rsidP="00EE2941">
            <w:pPr>
              <w:ind w:left="0"/>
              <w:jc w:val="left"/>
              <w:rPr>
                <w:rFonts w:asciiTheme="minorHAnsi" w:hAnsiTheme="minorHAnsi"/>
                <w:sz w:val="24"/>
                <w:szCs w:val="24"/>
              </w:rPr>
            </w:pPr>
            <w:r w:rsidRPr="007F73B6">
              <w:rPr>
                <w:rFonts w:asciiTheme="minorHAnsi" w:hAnsiTheme="minorHAnsi"/>
                <w:b/>
                <w:sz w:val="24"/>
                <w:szCs w:val="24"/>
              </w:rPr>
              <w:t>Wersja 5</w:t>
            </w:r>
          </w:p>
        </w:tc>
      </w:tr>
      <w:tr w:rsidR="00AA79F9" w:rsidRPr="007F73B6" w14:paraId="38D86E33" w14:textId="77777777" w:rsidTr="00EE2941">
        <w:trPr>
          <w:jc w:val="center"/>
        </w:trPr>
        <w:tc>
          <w:tcPr>
            <w:tcW w:w="3315" w:type="dxa"/>
            <w:shd w:val="clear" w:color="auto" w:fill="auto"/>
          </w:tcPr>
          <w:p w14:paraId="0998FFA3" w14:textId="77777777" w:rsidR="00AA79F9" w:rsidRPr="007F73B6" w:rsidRDefault="00AA79F9" w:rsidP="00EE2941">
            <w:pPr>
              <w:ind w:left="0"/>
              <w:rPr>
                <w:rFonts w:asciiTheme="minorHAnsi" w:hAnsiTheme="minorHAnsi"/>
                <w:b/>
                <w:sz w:val="24"/>
                <w:szCs w:val="24"/>
              </w:rPr>
            </w:pPr>
            <w:r w:rsidRPr="007F73B6">
              <w:rPr>
                <w:rFonts w:asciiTheme="minorHAnsi" w:hAnsiTheme="minorHAnsi"/>
                <w:b/>
                <w:sz w:val="24"/>
                <w:szCs w:val="24"/>
              </w:rPr>
              <w:t>Pierwszy rok</w:t>
            </w:r>
          </w:p>
        </w:tc>
        <w:tc>
          <w:tcPr>
            <w:tcW w:w="5103" w:type="dxa"/>
            <w:shd w:val="clear" w:color="auto" w:fill="auto"/>
          </w:tcPr>
          <w:p w14:paraId="4D93C424" w14:textId="77777777" w:rsidR="00AA79F9" w:rsidRPr="007F73B6" w:rsidRDefault="00AA79F9" w:rsidP="00EE2941">
            <w:pPr>
              <w:ind w:left="0"/>
              <w:rPr>
                <w:rFonts w:asciiTheme="minorHAnsi" w:hAnsiTheme="minorHAnsi"/>
                <w:sz w:val="24"/>
                <w:szCs w:val="24"/>
              </w:rPr>
            </w:pPr>
            <w:r w:rsidRPr="007F73B6">
              <w:rPr>
                <w:rFonts w:asciiTheme="minorHAnsi" w:hAnsiTheme="minorHAnsi"/>
                <w:sz w:val="24"/>
                <w:szCs w:val="24"/>
              </w:rPr>
              <w:t>2021</w:t>
            </w:r>
          </w:p>
        </w:tc>
      </w:tr>
      <w:tr w:rsidR="00AA79F9" w:rsidRPr="007F73B6" w14:paraId="7818556A" w14:textId="77777777" w:rsidTr="00EE2941">
        <w:trPr>
          <w:jc w:val="center"/>
        </w:trPr>
        <w:tc>
          <w:tcPr>
            <w:tcW w:w="3315" w:type="dxa"/>
            <w:shd w:val="clear" w:color="auto" w:fill="auto"/>
          </w:tcPr>
          <w:p w14:paraId="62085B30" w14:textId="77777777" w:rsidR="00AA79F9" w:rsidRPr="007F73B6" w:rsidRDefault="00AA79F9" w:rsidP="00EE2941">
            <w:pPr>
              <w:ind w:left="0"/>
              <w:rPr>
                <w:rFonts w:asciiTheme="minorHAnsi" w:hAnsiTheme="minorHAnsi"/>
                <w:b/>
                <w:sz w:val="24"/>
                <w:szCs w:val="24"/>
              </w:rPr>
            </w:pPr>
            <w:r w:rsidRPr="007F73B6">
              <w:rPr>
                <w:rFonts w:asciiTheme="minorHAnsi" w:hAnsiTheme="minorHAnsi"/>
                <w:b/>
                <w:sz w:val="24"/>
                <w:szCs w:val="24"/>
              </w:rPr>
              <w:t>Ostatni rok</w:t>
            </w:r>
          </w:p>
        </w:tc>
        <w:tc>
          <w:tcPr>
            <w:tcW w:w="5103" w:type="dxa"/>
            <w:shd w:val="clear" w:color="auto" w:fill="auto"/>
          </w:tcPr>
          <w:p w14:paraId="759F3745" w14:textId="77777777" w:rsidR="00AA79F9" w:rsidRPr="007F73B6" w:rsidRDefault="00AA79F9" w:rsidP="00EE2941">
            <w:pPr>
              <w:ind w:left="0"/>
              <w:rPr>
                <w:rFonts w:asciiTheme="minorHAnsi" w:hAnsiTheme="minorHAnsi"/>
                <w:sz w:val="24"/>
                <w:szCs w:val="24"/>
              </w:rPr>
            </w:pPr>
            <w:r w:rsidRPr="007F73B6">
              <w:rPr>
                <w:rFonts w:asciiTheme="minorHAnsi" w:hAnsiTheme="minorHAnsi"/>
                <w:sz w:val="24"/>
                <w:szCs w:val="24"/>
              </w:rPr>
              <w:t>2027</w:t>
            </w:r>
          </w:p>
        </w:tc>
      </w:tr>
      <w:tr w:rsidR="00AA79F9" w:rsidRPr="007F73B6" w14:paraId="329A313A" w14:textId="77777777" w:rsidTr="00EE2941">
        <w:trPr>
          <w:jc w:val="center"/>
        </w:trPr>
        <w:tc>
          <w:tcPr>
            <w:tcW w:w="3315" w:type="dxa"/>
            <w:shd w:val="clear" w:color="auto" w:fill="auto"/>
          </w:tcPr>
          <w:p w14:paraId="5891AD61" w14:textId="77777777" w:rsidR="00AA79F9" w:rsidRPr="007F73B6" w:rsidRDefault="00AA79F9" w:rsidP="00EE2941">
            <w:pPr>
              <w:ind w:left="0"/>
              <w:rPr>
                <w:rFonts w:asciiTheme="minorHAnsi" w:hAnsiTheme="minorHAnsi"/>
                <w:b/>
                <w:sz w:val="24"/>
                <w:szCs w:val="24"/>
              </w:rPr>
            </w:pPr>
            <w:r w:rsidRPr="007F73B6">
              <w:rPr>
                <w:rFonts w:asciiTheme="minorHAnsi" w:hAnsiTheme="minorHAnsi"/>
                <w:b/>
                <w:sz w:val="24"/>
                <w:szCs w:val="24"/>
              </w:rPr>
              <w:t>Kwalifikowalny od</w:t>
            </w:r>
          </w:p>
        </w:tc>
        <w:tc>
          <w:tcPr>
            <w:tcW w:w="5103" w:type="dxa"/>
            <w:shd w:val="clear" w:color="auto" w:fill="auto"/>
          </w:tcPr>
          <w:p w14:paraId="67B55567" w14:textId="77777777" w:rsidR="00AA79F9" w:rsidRPr="007F73B6" w:rsidRDefault="00AA79F9" w:rsidP="00EE2941">
            <w:pPr>
              <w:ind w:left="0"/>
              <w:rPr>
                <w:rFonts w:asciiTheme="minorHAnsi" w:hAnsiTheme="minorHAnsi"/>
                <w:sz w:val="24"/>
                <w:szCs w:val="24"/>
                <w:lang w:val="en-GB"/>
              </w:rPr>
            </w:pPr>
          </w:p>
        </w:tc>
      </w:tr>
      <w:tr w:rsidR="00AA79F9" w:rsidRPr="007F73B6" w14:paraId="6352C1BF" w14:textId="77777777" w:rsidTr="00EE2941">
        <w:trPr>
          <w:jc w:val="center"/>
        </w:trPr>
        <w:tc>
          <w:tcPr>
            <w:tcW w:w="3315" w:type="dxa"/>
            <w:shd w:val="clear" w:color="auto" w:fill="auto"/>
          </w:tcPr>
          <w:p w14:paraId="605F4B9F" w14:textId="77777777" w:rsidR="00AA79F9" w:rsidRPr="007F73B6" w:rsidRDefault="00AA79F9" w:rsidP="00EE2941">
            <w:pPr>
              <w:ind w:left="0"/>
              <w:rPr>
                <w:rFonts w:asciiTheme="minorHAnsi" w:hAnsiTheme="minorHAnsi"/>
                <w:b/>
                <w:sz w:val="24"/>
                <w:szCs w:val="24"/>
              </w:rPr>
            </w:pPr>
            <w:r w:rsidRPr="007F73B6">
              <w:rPr>
                <w:rFonts w:asciiTheme="minorHAnsi" w:hAnsiTheme="minorHAnsi"/>
                <w:b/>
                <w:sz w:val="24"/>
                <w:szCs w:val="24"/>
              </w:rPr>
              <w:t>Kwalifikowalny do</w:t>
            </w:r>
          </w:p>
        </w:tc>
        <w:tc>
          <w:tcPr>
            <w:tcW w:w="5103" w:type="dxa"/>
            <w:shd w:val="clear" w:color="auto" w:fill="auto"/>
          </w:tcPr>
          <w:p w14:paraId="42E4EC87" w14:textId="77777777" w:rsidR="00AA79F9" w:rsidRPr="007F73B6" w:rsidRDefault="00AA79F9" w:rsidP="00EE2941">
            <w:pPr>
              <w:ind w:left="0"/>
              <w:rPr>
                <w:rFonts w:asciiTheme="minorHAnsi" w:hAnsiTheme="minorHAnsi"/>
                <w:sz w:val="24"/>
                <w:szCs w:val="24"/>
                <w:lang w:val="en-GB"/>
              </w:rPr>
            </w:pPr>
          </w:p>
        </w:tc>
      </w:tr>
      <w:tr w:rsidR="00AA79F9" w:rsidRPr="007F73B6" w14:paraId="220A9722" w14:textId="77777777" w:rsidTr="00EE2941">
        <w:trPr>
          <w:jc w:val="center"/>
        </w:trPr>
        <w:tc>
          <w:tcPr>
            <w:tcW w:w="3315" w:type="dxa"/>
            <w:shd w:val="clear" w:color="auto" w:fill="auto"/>
          </w:tcPr>
          <w:p w14:paraId="78DF99E5" w14:textId="77777777" w:rsidR="00AA79F9" w:rsidRPr="007F73B6" w:rsidRDefault="00AA79F9" w:rsidP="00EE2941">
            <w:pPr>
              <w:ind w:left="0"/>
              <w:rPr>
                <w:rFonts w:asciiTheme="minorHAnsi" w:hAnsiTheme="minorHAnsi"/>
                <w:b/>
                <w:sz w:val="24"/>
                <w:szCs w:val="24"/>
              </w:rPr>
            </w:pPr>
            <w:r w:rsidRPr="007F73B6">
              <w:rPr>
                <w:rFonts w:asciiTheme="minorHAnsi" w:hAnsiTheme="minorHAnsi"/>
                <w:b/>
                <w:sz w:val="24"/>
                <w:szCs w:val="24"/>
              </w:rPr>
              <w:t>Nr decyzji Komisji</w:t>
            </w:r>
          </w:p>
        </w:tc>
        <w:tc>
          <w:tcPr>
            <w:tcW w:w="5103" w:type="dxa"/>
            <w:shd w:val="clear" w:color="auto" w:fill="auto"/>
          </w:tcPr>
          <w:p w14:paraId="351FDA68" w14:textId="77777777" w:rsidR="00AA79F9" w:rsidRPr="007F73B6" w:rsidRDefault="00AA79F9" w:rsidP="00EE2941">
            <w:pPr>
              <w:ind w:left="0"/>
              <w:rPr>
                <w:rFonts w:asciiTheme="minorHAnsi" w:hAnsiTheme="minorHAnsi"/>
                <w:i/>
                <w:sz w:val="24"/>
                <w:szCs w:val="24"/>
                <w:lang w:val="en-GB"/>
              </w:rPr>
            </w:pPr>
          </w:p>
        </w:tc>
      </w:tr>
      <w:tr w:rsidR="00AA79F9" w:rsidRPr="007F73B6" w14:paraId="2AF7BF52" w14:textId="77777777" w:rsidTr="00EE2941">
        <w:trPr>
          <w:jc w:val="center"/>
        </w:trPr>
        <w:tc>
          <w:tcPr>
            <w:tcW w:w="3315" w:type="dxa"/>
            <w:shd w:val="clear" w:color="auto" w:fill="auto"/>
          </w:tcPr>
          <w:p w14:paraId="0B54B48B" w14:textId="77777777" w:rsidR="00AA79F9" w:rsidRPr="007F73B6" w:rsidRDefault="00AA79F9" w:rsidP="00EE2941">
            <w:pPr>
              <w:ind w:left="0"/>
              <w:rPr>
                <w:rFonts w:asciiTheme="minorHAnsi" w:hAnsiTheme="minorHAnsi"/>
                <w:b/>
                <w:sz w:val="24"/>
                <w:szCs w:val="24"/>
              </w:rPr>
            </w:pPr>
            <w:r w:rsidRPr="007F73B6">
              <w:rPr>
                <w:rFonts w:asciiTheme="minorHAnsi" w:hAnsiTheme="minorHAnsi"/>
                <w:b/>
                <w:sz w:val="24"/>
                <w:szCs w:val="24"/>
              </w:rPr>
              <w:t>Data decyzji Komisji</w:t>
            </w:r>
          </w:p>
        </w:tc>
        <w:tc>
          <w:tcPr>
            <w:tcW w:w="5103" w:type="dxa"/>
            <w:shd w:val="clear" w:color="auto" w:fill="auto"/>
          </w:tcPr>
          <w:p w14:paraId="4B9EED05" w14:textId="77777777" w:rsidR="00AA79F9" w:rsidRPr="007F73B6" w:rsidRDefault="00AA79F9" w:rsidP="00EE2941">
            <w:pPr>
              <w:ind w:left="0"/>
              <w:rPr>
                <w:rFonts w:asciiTheme="minorHAnsi" w:hAnsiTheme="minorHAnsi"/>
                <w:i/>
                <w:sz w:val="24"/>
                <w:szCs w:val="24"/>
                <w:lang w:val="en-GB"/>
              </w:rPr>
            </w:pPr>
          </w:p>
        </w:tc>
      </w:tr>
      <w:tr w:rsidR="00AA79F9" w:rsidRPr="007F73B6" w14:paraId="7E6FEB25" w14:textId="77777777" w:rsidTr="00EE2941">
        <w:trPr>
          <w:jc w:val="center"/>
        </w:trPr>
        <w:tc>
          <w:tcPr>
            <w:tcW w:w="3315" w:type="dxa"/>
            <w:shd w:val="clear" w:color="auto" w:fill="auto"/>
          </w:tcPr>
          <w:p w14:paraId="7D7372D8" w14:textId="77777777" w:rsidR="00AA79F9" w:rsidRPr="007F73B6" w:rsidRDefault="00AA79F9" w:rsidP="00EE2941">
            <w:pPr>
              <w:ind w:left="0"/>
              <w:jc w:val="left"/>
              <w:rPr>
                <w:rFonts w:asciiTheme="minorHAnsi" w:hAnsiTheme="minorHAnsi"/>
                <w:b/>
                <w:sz w:val="24"/>
                <w:szCs w:val="24"/>
              </w:rPr>
            </w:pPr>
            <w:r w:rsidRPr="007F73B6">
              <w:rPr>
                <w:rFonts w:asciiTheme="minorHAnsi" w:hAnsiTheme="minorHAnsi"/>
                <w:b/>
                <w:sz w:val="24"/>
                <w:szCs w:val="24"/>
              </w:rPr>
              <w:t>Nr decyzji zmieniającej program</w:t>
            </w:r>
          </w:p>
        </w:tc>
        <w:tc>
          <w:tcPr>
            <w:tcW w:w="5103" w:type="dxa"/>
            <w:shd w:val="clear" w:color="auto" w:fill="auto"/>
          </w:tcPr>
          <w:p w14:paraId="5109C24D" w14:textId="77777777" w:rsidR="00AA79F9" w:rsidRPr="007F73B6" w:rsidRDefault="00AA79F9" w:rsidP="00EE2941">
            <w:pPr>
              <w:ind w:left="0"/>
              <w:rPr>
                <w:rFonts w:asciiTheme="minorHAnsi" w:hAnsiTheme="minorHAnsi"/>
                <w:i/>
                <w:sz w:val="24"/>
                <w:szCs w:val="24"/>
                <w:lang w:val="en-GB"/>
              </w:rPr>
            </w:pPr>
          </w:p>
        </w:tc>
      </w:tr>
      <w:tr w:rsidR="00AA79F9" w:rsidRPr="007F73B6" w14:paraId="1126D4C2" w14:textId="77777777" w:rsidTr="00EE2941">
        <w:trPr>
          <w:jc w:val="center"/>
        </w:trPr>
        <w:tc>
          <w:tcPr>
            <w:tcW w:w="3315" w:type="dxa"/>
            <w:shd w:val="clear" w:color="auto" w:fill="auto"/>
          </w:tcPr>
          <w:p w14:paraId="269CEF37" w14:textId="77777777" w:rsidR="00AA79F9" w:rsidRPr="007F73B6" w:rsidRDefault="00AA79F9" w:rsidP="00EE2941">
            <w:pPr>
              <w:ind w:left="0"/>
              <w:jc w:val="left"/>
              <w:rPr>
                <w:rFonts w:asciiTheme="minorHAnsi" w:hAnsiTheme="minorHAnsi"/>
                <w:b/>
                <w:sz w:val="24"/>
                <w:szCs w:val="24"/>
              </w:rPr>
            </w:pPr>
            <w:r w:rsidRPr="007F73B6">
              <w:rPr>
                <w:rFonts w:asciiTheme="minorHAnsi" w:hAnsiTheme="minorHAnsi"/>
                <w:b/>
                <w:sz w:val="24"/>
                <w:szCs w:val="24"/>
              </w:rPr>
              <w:t>Data wejścia w życie decyzji zmieniającej program</w:t>
            </w:r>
          </w:p>
        </w:tc>
        <w:tc>
          <w:tcPr>
            <w:tcW w:w="5103" w:type="dxa"/>
            <w:shd w:val="clear" w:color="auto" w:fill="auto"/>
          </w:tcPr>
          <w:p w14:paraId="6D91E5B9" w14:textId="77777777" w:rsidR="00AA79F9" w:rsidRPr="007F73B6" w:rsidRDefault="00AA79F9" w:rsidP="00EE2941">
            <w:pPr>
              <w:ind w:left="0"/>
              <w:rPr>
                <w:rFonts w:asciiTheme="minorHAnsi" w:hAnsiTheme="minorHAnsi"/>
                <w:sz w:val="24"/>
                <w:szCs w:val="24"/>
              </w:rPr>
            </w:pPr>
          </w:p>
        </w:tc>
      </w:tr>
      <w:tr w:rsidR="00AA79F9" w:rsidRPr="007F73B6" w14:paraId="7A764D0C" w14:textId="77777777" w:rsidTr="00EE2941">
        <w:trPr>
          <w:jc w:val="center"/>
        </w:trPr>
        <w:tc>
          <w:tcPr>
            <w:tcW w:w="3315" w:type="dxa"/>
            <w:shd w:val="clear" w:color="auto" w:fill="auto"/>
          </w:tcPr>
          <w:p w14:paraId="19BCD532" w14:textId="77777777" w:rsidR="00AA79F9" w:rsidRPr="007F73B6" w:rsidRDefault="00AA79F9" w:rsidP="00EE2941">
            <w:pPr>
              <w:ind w:left="0"/>
              <w:jc w:val="left"/>
              <w:rPr>
                <w:rFonts w:asciiTheme="minorHAnsi" w:hAnsiTheme="minorHAnsi"/>
                <w:b/>
                <w:sz w:val="24"/>
                <w:szCs w:val="24"/>
              </w:rPr>
            </w:pPr>
            <w:r w:rsidRPr="007F73B6">
              <w:rPr>
                <w:rFonts w:asciiTheme="minorHAnsi" w:hAnsiTheme="minorHAnsi"/>
                <w:b/>
                <w:sz w:val="24"/>
                <w:szCs w:val="24"/>
              </w:rPr>
              <w:t>Regiony NUTS objęte programem</w:t>
            </w:r>
          </w:p>
        </w:tc>
        <w:tc>
          <w:tcPr>
            <w:tcW w:w="5103" w:type="dxa"/>
            <w:shd w:val="clear" w:color="auto" w:fill="auto"/>
          </w:tcPr>
          <w:p w14:paraId="7C4B93E9" w14:textId="77777777" w:rsidR="00AA79F9" w:rsidRPr="007F73B6" w:rsidRDefault="00AA79F9" w:rsidP="00EE2941">
            <w:pPr>
              <w:ind w:left="0"/>
              <w:rPr>
                <w:rFonts w:asciiTheme="minorHAnsi" w:hAnsiTheme="minorHAnsi"/>
                <w:sz w:val="24"/>
                <w:szCs w:val="24"/>
              </w:rPr>
            </w:pPr>
            <w:r w:rsidRPr="007F73B6">
              <w:rPr>
                <w:rFonts w:asciiTheme="minorHAnsi" w:hAnsiTheme="minorHAnsi"/>
                <w:sz w:val="24"/>
                <w:szCs w:val="24"/>
              </w:rPr>
              <w:t>Zob. Załącznik 1</w:t>
            </w:r>
          </w:p>
        </w:tc>
      </w:tr>
      <w:tr w:rsidR="00AA79F9" w:rsidRPr="007F73B6" w14:paraId="677E999F" w14:textId="77777777" w:rsidTr="00EE2941">
        <w:trPr>
          <w:jc w:val="center"/>
        </w:trPr>
        <w:tc>
          <w:tcPr>
            <w:tcW w:w="3315" w:type="dxa"/>
            <w:shd w:val="clear" w:color="auto" w:fill="auto"/>
          </w:tcPr>
          <w:p w14:paraId="2776CBDC" w14:textId="77777777" w:rsidR="00AA79F9" w:rsidRPr="007F73B6" w:rsidRDefault="00AA79F9" w:rsidP="00EE2941">
            <w:pPr>
              <w:ind w:left="0"/>
              <w:rPr>
                <w:rFonts w:asciiTheme="minorHAnsi" w:hAnsiTheme="minorHAnsi"/>
                <w:b/>
                <w:sz w:val="24"/>
                <w:szCs w:val="24"/>
              </w:rPr>
            </w:pPr>
            <w:r w:rsidRPr="007F73B6">
              <w:rPr>
                <w:rFonts w:asciiTheme="minorHAnsi" w:hAnsiTheme="minorHAnsi"/>
                <w:b/>
                <w:sz w:val="24"/>
                <w:szCs w:val="24"/>
              </w:rPr>
              <w:t xml:space="preserve">Komponent </w:t>
            </w:r>
          </w:p>
        </w:tc>
        <w:tc>
          <w:tcPr>
            <w:tcW w:w="5103" w:type="dxa"/>
            <w:shd w:val="clear" w:color="auto" w:fill="auto"/>
          </w:tcPr>
          <w:p w14:paraId="13776C33" w14:textId="77777777" w:rsidR="00AA79F9" w:rsidRPr="007F73B6" w:rsidRDefault="00AA79F9" w:rsidP="00EE2941">
            <w:pPr>
              <w:ind w:left="0"/>
              <w:jc w:val="left"/>
              <w:rPr>
                <w:rFonts w:asciiTheme="minorHAnsi" w:hAnsiTheme="minorHAnsi"/>
                <w:sz w:val="24"/>
                <w:szCs w:val="24"/>
              </w:rPr>
            </w:pPr>
            <w:r w:rsidRPr="007F73B6">
              <w:rPr>
                <w:rFonts w:asciiTheme="minorHAnsi" w:hAnsiTheme="minorHAnsi"/>
                <w:b/>
                <w:sz w:val="24"/>
                <w:szCs w:val="24"/>
              </w:rPr>
              <w:t>B</w:t>
            </w:r>
          </w:p>
        </w:tc>
      </w:tr>
    </w:tbl>
    <w:p w14:paraId="3F7A8267" w14:textId="032EB4D8" w:rsidR="008727F2" w:rsidRDefault="008727F2" w:rsidP="008727F2">
      <w:pPr>
        <w:spacing w:before="240" w:after="240" w:line="240" w:lineRule="auto"/>
        <w:ind w:left="0"/>
        <w:rPr>
          <w:rFonts w:asciiTheme="minorHAnsi" w:hAnsiTheme="minorHAnsi"/>
          <w:b/>
          <w:sz w:val="24"/>
          <w:szCs w:val="24"/>
        </w:rPr>
      </w:pPr>
    </w:p>
    <w:p w14:paraId="6BD0CFD7" w14:textId="70628357" w:rsidR="000C1289" w:rsidRDefault="000C1289" w:rsidP="008727F2">
      <w:pPr>
        <w:spacing w:before="240" w:after="240" w:line="240" w:lineRule="auto"/>
        <w:ind w:left="0"/>
        <w:rPr>
          <w:rFonts w:asciiTheme="minorHAnsi" w:hAnsiTheme="minorHAnsi"/>
          <w:b/>
          <w:sz w:val="24"/>
          <w:szCs w:val="24"/>
        </w:rPr>
      </w:pPr>
      <w:r>
        <w:lastRenderedPageBreak/>
        <w:br w:type="page"/>
      </w:r>
    </w:p>
    <w:sdt>
      <w:sdtPr>
        <w:rPr>
          <w:rFonts w:ascii="Times New Roman" w:eastAsia="Times New Roman" w:hAnsi="Times New Roman" w:cs="Times New Roman"/>
          <w:b w:val="0"/>
          <w:bCs w:val="0"/>
          <w:color w:val="auto"/>
          <w:sz w:val="20"/>
          <w:szCs w:val="20"/>
          <w:lang w:eastAsia="en-US"/>
        </w:rPr>
        <w:id w:val="251871655"/>
        <w:docPartObj>
          <w:docPartGallery w:val="Table of Contents"/>
          <w:docPartUnique/>
        </w:docPartObj>
      </w:sdtPr>
      <w:sdtEndPr>
        <w:rPr>
          <w:noProof/>
        </w:rPr>
      </w:sdtEndPr>
      <w:sdtContent>
        <w:p w14:paraId="4DDE92BC" w14:textId="77777777" w:rsidR="007A5BF6" w:rsidRDefault="00FC56EC" w:rsidP="00FC56EC">
          <w:pPr>
            <w:pStyle w:val="Nagwekspisutreci"/>
            <w:rPr>
              <w:noProof/>
            </w:rPr>
          </w:pPr>
          <w:r>
            <w:t>Spis treści</w:t>
          </w:r>
          <w:r w:rsidR="00646F95">
            <w:fldChar w:fldCharType="begin"/>
          </w:r>
          <w:r w:rsidR="00646F95">
            <w:instrText xml:space="preserve"> TOC \o "1-3" \h \z \u </w:instrText>
          </w:r>
          <w:r w:rsidR="00646F95">
            <w:fldChar w:fldCharType="separate"/>
          </w:r>
        </w:p>
        <w:p w14:paraId="6EB02351" w14:textId="77777777" w:rsidR="007A5BF6" w:rsidRDefault="00ED61BA">
          <w:pPr>
            <w:pStyle w:val="Spistreci2"/>
            <w:rPr>
              <w:rFonts w:eastAsiaTheme="minorEastAsia" w:cstheme="minorBidi"/>
              <w:b w:val="0"/>
              <w:bCs w:val="0"/>
              <w:noProof/>
              <w:sz w:val="22"/>
              <w:szCs w:val="22"/>
              <w:lang w:eastAsia="pl-PL"/>
            </w:rPr>
          </w:pPr>
          <w:hyperlink w:anchor="_Toc71036584" w:history="1">
            <w:r w:rsidR="007A5BF6" w:rsidRPr="007736E0">
              <w:rPr>
                <w:rStyle w:val="Hipercze"/>
                <w:noProof/>
              </w:rPr>
              <w:t>1. Strategia wspólnego programu: główne wyzwania rozwojowe i działania polityki</w:t>
            </w:r>
            <w:r w:rsidR="007A5BF6">
              <w:rPr>
                <w:noProof/>
                <w:webHidden/>
              </w:rPr>
              <w:tab/>
            </w:r>
            <w:r w:rsidR="007A5BF6">
              <w:rPr>
                <w:noProof/>
                <w:webHidden/>
              </w:rPr>
              <w:fldChar w:fldCharType="begin"/>
            </w:r>
            <w:r w:rsidR="007A5BF6">
              <w:rPr>
                <w:noProof/>
                <w:webHidden/>
              </w:rPr>
              <w:instrText xml:space="preserve"> PAGEREF _Toc71036584 \h </w:instrText>
            </w:r>
            <w:r w:rsidR="007A5BF6">
              <w:rPr>
                <w:noProof/>
                <w:webHidden/>
              </w:rPr>
            </w:r>
            <w:r w:rsidR="007A5BF6">
              <w:rPr>
                <w:noProof/>
                <w:webHidden/>
              </w:rPr>
              <w:fldChar w:fldCharType="separate"/>
            </w:r>
            <w:r w:rsidR="007A5BF6">
              <w:rPr>
                <w:noProof/>
                <w:webHidden/>
              </w:rPr>
              <w:t>4</w:t>
            </w:r>
            <w:r w:rsidR="007A5BF6">
              <w:rPr>
                <w:noProof/>
                <w:webHidden/>
              </w:rPr>
              <w:fldChar w:fldCharType="end"/>
            </w:r>
          </w:hyperlink>
        </w:p>
        <w:p w14:paraId="7647BF47" w14:textId="77777777" w:rsidR="007A5BF6" w:rsidRDefault="00ED61BA">
          <w:pPr>
            <w:pStyle w:val="Spistreci2"/>
            <w:rPr>
              <w:rFonts w:eastAsiaTheme="minorEastAsia" w:cstheme="minorBidi"/>
              <w:b w:val="0"/>
              <w:bCs w:val="0"/>
              <w:noProof/>
              <w:sz w:val="22"/>
              <w:szCs w:val="22"/>
              <w:lang w:eastAsia="pl-PL"/>
            </w:rPr>
          </w:pPr>
          <w:hyperlink w:anchor="_Toc71036585" w:history="1">
            <w:r w:rsidR="007A5BF6" w:rsidRPr="007736E0">
              <w:rPr>
                <w:rStyle w:val="Hipercze"/>
                <w:noProof/>
              </w:rPr>
              <w:t>1.1. Obszar objęty programem (nie jest wymagany dla programów Interreg C)</w:t>
            </w:r>
            <w:r w:rsidR="007A5BF6">
              <w:rPr>
                <w:noProof/>
                <w:webHidden/>
              </w:rPr>
              <w:tab/>
            </w:r>
            <w:r w:rsidR="007A5BF6">
              <w:rPr>
                <w:noProof/>
                <w:webHidden/>
              </w:rPr>
              <w:fldChar w:fldCharType="begin"/>
            </w:r>
            <w:r w:rsidR="007A5BF6">
              <w:rPr>
                <w:noProof/>
                <w:webHidden/>
              </w:rPr>
              <w:instrText xml:space="preserve"> PAGEREF _Toc71036585 \h </w:instrText>
            </w:r>
            <w:r w:rsidR="007A5BF6">
              <w:rPr>
                <w:noProof/>
                <w:webHidden/>
              </w:rPr>
            </w:r>
            <w:r w:rsidR="007A5BF6">
              <w:rPr>
                <w:noProof/>
                <w:webHidden/>
              </w:rPr>
              <w:fldChar w:fldCharType="separate"/>
            </w:r>
            <w:r w:rsidR="007A5BF6">
              <w:rPr>
                <w:noProof/>
                <w:webHidden/>
              </w:rPr>
              <w:t>4</w:t>
            </w:r>
            <w:r w:rsidR="007A5BF6">
              <w:rPr>
                <w:noProof/>
                <w:webHidden/>
              </w:rPr>
              <w:fldChar w:fldCharType="end"/>
            </w:r>
          </w:hyperlink>
        </w:p>
        <w:p w14:paraId="3981F35D" w14:textId="77777777" w:rsidR="007A5BF6" w:rsidRDefault="00ED61BA">
          <w:pPr>
            <w:pStyle w:val="Spistreci2"/>
            <w:rPr>
              <w:rFonts w:eastAsiaTheme="minorEastAsia" w:cstheme="minorBidi"/>
              <w:b w:val="0"/>
              <w:bCs w:val="0"/>
              <w:noProof/>
              <w:sz w:val="22"/>
              <w:szCs w:val="22"/>
              <w:lang w:eastAsia="pl-PL"/>
            </w:rPr>
          </w:pPr>
          <w:hyperlink w:anchor="_Toc71036586" w:history="1">
            <w:r w:rsidR="007A5BF6" w:rsidRPr="007736E0">
              <w:rPr>
                <w:rStyle w:val="Hipercze"/>
                <w:noProof/>
              </w:rPr>
              <w:t>1.2. Podsumowanie najważniejszych wspólnych wyzwań z uwzględnieniem zróżnicowania gospodarczego, społecznego i terytorialnego i nierówności, potrzeb podejmowania wspólnych inwestycji i komplementarności i synergii z pozostałymi formami wsparcia, wniosków z przeszłych doświadczeń i strategii makroregionalnych i strategii na rzecz basenów morskich, w przypadku których obszar objęty programem jest w całości lub części objęty jedną lub więcej strategiami.</w:t>
            </w:r>
            <w:r w:rsidR="007A5BF6">
              <w:rPr>
                <w:noProof/>
                <w:webHidden/>
              </w:rPr>
              <w:tab/>
            </w:r>
            <w:r w:rsidR="007A5BF6">
              <w:rPr>
                <w:noProof/>
                <w:webHidden/>
              </w:rPr>
              <w:fldChar w:fldCharType="begin"/>
            </w:r>
            <w:r w:rsidR="007A5BF6">
              <w:rPr>
                <w:noProof/>
                <w:webHidden/>
              </w:rPr>
              <w:instrText xml:space="preserve"> PAGEREF _Toc71036586 \h </w:instrText>
            </w:r>
            <w:r w:rsidR="007A5BF6">
              <w:rPr>
                <w:noProof/>
                <w:webHidden/>
              </w:rPr>
            </w:r>
            <w:r w:rsidR="007A5BF6">
              <w:rPr>
                <w:noProof/>
                <w:webHidden/>
              </w:rPr>
              <w:fldChar w:fldCharType="separate"/>
            </w:r>
            <w:r w:rsidR="007A5BF6">
              <w:rPr>
                <w:noProof/>
                <w:webHidden/>
              </w:rPr>
              <w:t>5</w:t>
            </w:r>
            <w:r w:rsidR="007A5BF6">
              <w:rPr>
                <w:noProof/>
                <w:webHidden/>
              </w:rPr>
              <w:fldChar w:fldCharType="end"/>
            </w:r>
          </w:hyperlink>
        </w:p>
        <w:p w14:paraId="49621844" w14:textId="77777777" w:rsidR="007A5BF6" w:rsidRDefault="00ED61BA">
          <w:pPr>
            <w:pStyle w:val="Spistreci1"/>
            <w:rPr>
              <w:rFonts w:asciiTheme="minorHAnsi" w:eastAsiaTheme="minorEastAsia" w:hAnsiTheme="minorHAnsi" w:cstheme="minorBidi"/>
              <w:b w:val="0"/>
              <w:bCs w:val="0"/>
              <w:caps w:val="0"/>
              <w:sz w:val="22"/>
              <w:szCs w:val="22"/>
              <w:lang w:eastAsia="pl-PL"/>
            </w:rPr>
          </w:pPr>
          <w:hyperlink w:anchor="_Toc71036587" w:history="1">
            <w:r w:rsidR="007A5BF6" w:rsidRPr="007736E0">
              <w:rPr>
                <w:rStyle w:val="Hipercze"/>
                <w:rFonts w:ascii="Trebuchet MS" w:hAnsi="Trebuchet MS"/>
              </w:rPr>
              <w:t>Zrównoważony rozwój gospodarczy</w:t>
            </w:r>
            <w:r w:rsidR="007A5BF6">
              <w:rPr>
                <w:webHidden/>
              </w:rPr>
              <w:tab/>
            </w:r>
            <w:r w:rsidR="007A5BF6">
              <w:rPr>
                <w:webHidden/>
              </w:rPr>
              <w:fldChar w:fldCharType="begin"/>
            </w:r>
            <w:r w:rsidR="007A5BF6">
              <w:rPr>
                <w:webHidden/>
              </w:rPr>
              <w:instrText xml:space="preserve"> PAGEREF _Toc71036587 \h </w:instrText>
            </w:r>
            <w:r w:rsidR="007A5BF6">
              <w:rPr>
                <w:webHidden/>
              </w:rPr>
            </w:r>
            <w:r w:rsidR="007A5BF6">
              <w:rPr>
                <w:webHidden/>
              </w:rPr>
              <w:fldChar w:fldCharType="separate"/>
            </w:r>
            <w:r w:rsidR="007A5BF6">
              <w:rPr>
                <w:webHidden/>
              </w:rPr>
              <w:t>5</w:t>
            </w:r>
            <w:r w:rsidR="007A5BF6">
              <w:rPr>
                <w:webHidden/>
              </w:rPr>
              <w:fldChar w:fldCharType="end"/>
            </w:r>
          </w:hyperlink>
        </w:p>
        <w:p w14:paraId="5349CE9B" w14:textId="77777777" w:rsidR="007A5BF6" w:rsidRDefault="00ED61BA">
          <w:pPr>
            <w:pStyle w:val="Spistreci1"/>
            <w:rPr>
              <w:rFonts w:asciiTheme="minorHAnsi" w:eastAsiaTheme="minorEastAsia" w:hAnsiTheme="minorHAnsi" w:cstheme="minorBidi"/>
              <w:b w:val="0"/>
              <w:bCs w:val="0"/>
              <w:caps w:val="0"/>
              <w:sz w:val="22"/>
              <w:szCs w:val="22"/>
              <w:lang w:eastAsia="pl-PL"/>
            </w:rPr>
          </w:pPr>
          <w:hyperlink w:anchor="_Toc71036588" w:history="1">
            <w:r w:rsidR="007A5BF6" w:rsidRPr="007736E0">
              <w:rPr>
                <w:rStyle w:val="Hipercze"/>
                <w:rFonts w:ascii="Trebuchet MS" w:hAnsi="Trebuchet MS"/>
              </w:rPr>
              <w:t>Środowisko, energia i zmiany klimatu</w:t>
            </w:r>
            <w:r w:rsidR="007A5BF6">
              <w:rPr>
                <w:webHidden/>
              </w:rPr>
              <w:tab/>
            </w:r>
            <w:r w:rsidR="007A5BF6">
              <w:rPr>
                <w:webHidden/>
              </w:rPr>
              <w:fldChar w:fldCharType="begin"/>
            </w:r>
            <w:r w:rsidR="007A5BF6">
              <w:rPr>
                <w:webHidden/>
              </w:rPr>
              <w:instrText xml:space="preserve"> PAGEREF _Toc71036588 \h </w:instrText>
            </w:r>
            <w:r w:rsidR="007A5BF6">
              <w:rPr>
                <w:webHidden/>
              </w:rPr>
            </w:r>
            <w:r w:rsidR="007A5BF6">
              <w:rPr>
                <w:webHidden/>
              </w:rPr>
              <w:fldChar w:fldCharType="separate"/>
            </w:r>
            <w:r w:rsidR="007A5BF6">
              <w:rPr>
                <w:webHidden/>
              </w:rPr>
              <w:t>11</w:t>
            </w:r>
            <w:r w:rsidR="007A5BF6">
              <w:rPr>
                <w:webHidden/>
              </w:rPr>
              <w:fldChar w:fldCharType="end"/>
            </w:r>
          </w:hyperlink>
        </w:p>
        <w:p w14:paraId="5187EB59" w14:textId="77777777" w:rsidR="007A5BF6" w:rsidRDefault="00ED61BA">
          <w:pPr>
            <w:pStyle w:val="Spistreci1"/>
            <w:rPr>
              <w:rFonts w:asciiTheme="minorHAnsi" w:eastAsiaTheme="minorEastAsia" w:hAnsiTheme="minorHAnsi" w:cstheme="minorBidi"/>
              <w:b w:val="0"/>
              <w:bCs w:val="0"/>
              <w:caps w:val="0"/>
              <w:sz w:val="22"/>
              <w:szCs w:val="22"/>
              <w:lang w:eastAsia="pl-PL"/>
            </w:rPr>
          </w:pPr>
          <w:hyperlink w:anchor="_Toc71036589" w:history="1">
            <w:r w:rsidR="007A5BF6" w:rsidRPr="007736E0">
              <w:rPr>
                <w:rStyle w:val="Hipercze"/>
                <w:rFonts w:ascii="Trebuchet MS" w:hAnsi="Trebuchet MS"/>
              </w:rPr>
              <w:t>Zrównoważony transport i łączność</w:t>
            </w:r>
            <w:r w:rsidR="007A5BF6">
              <w:rPr>
                <w:webHidden/>
              </w:rPr>
              <w:tab/>
            </w:r>
            <w:r w:rsidR="007A5BF6">
              <w:rPr>
                <w:webHidden/>
              </w:rPr>
              <w:fldChar w:fldCharType="begin"/>
            </w:r>
            <w:r w:rsidR="007A5BF6">
              <w:rPr>
                <w:webHidden/>
              </w:rPr>
              <w:instrText xml:space="preserve"> PAGEREF _Toc71036589 \h </w:instrText>
            </w:r>
            <w:r w:rsidR="007A5BF6">
              <w:rPr>
                <w:webHidden/>
              </w:rPr>
            </w:r>
            <w:r w:rsidR="007A5BF6">
              <w:rPr>
                <w:webHidden/>
              </w:rPr>
              <w:fldChar w:fldCharType="separate"/>
            </w:r>
            <w:r w:rsidR="007A5BF6">
              <w:rPr>
                <w:webHidden/>
              </w:rPr>
              <w:t>16</w:t>
            </w:r>
            <w:r w:rsidR="007A5BF6">
              <w:rPr>
                <w:webHidden/>
              </w:rPr>
              <w:fldChar w:fldCharType="end"/>
            </w:r>
          </w:hyperlink>
        </w:p>
        <w:p w14:paraId="665C8368" w14:textId="77777777" w:rsidR="007A5BF6" w:rsidRDefault="00ED61BA">
          <w:pPr>
            <w:pStyle w:val="Spistreci2"/>
            <w:rPr>
              <w:rFonts w:eastAsiaTheme="minorEastAsia" w:cstheme="minorBidi"/>
              <w:b w:val="0"/>
              <w:bCs w:val="0"/>
              <w:noProof/>
              <w:sz w:val="22"/>
              <w:szCs w:val="22"/>
              <w:lang w:eastAsia="pl-PL"/>
            </w:rPr>
          </w:pPr>
          <w:hyperlink w:anchor="_Toc71036590" w:history="1">
            <w:r w:rsidR="007A5BF6" w:rsidRPr="007736E0">
              <w:rPr>
                <w:rStyle w:val="Hipercze"/>
                <w:rFonts w:ascii="Trebuchet MS" w:hAnsi="Trebuchet MS"/>
                <w:noProof/>
              </w:rPr>
              <w:t>Zmiany demograficzne i równość szans</w:t>
            </w:r>
            <w:r w:rsidR="007A5BF6">
              <w:rPr>
                <w:noProof/>
                <w:webHidden/>
              </w:rPr>
              <w:tab/>
            </w:r>
            <w:r w:rsidR="007A5BF6">
              <w:rPr>
                <w:noProof/>
                <w:webHidden/>
              </w:rPr>
              <w:fldChar w:fldCharType="begin"/>
            </w:r>
            <w:r w:rsidR="007A5BF6">
              <w:rPr>
                <w:noProof/>
                <w:webHidden/>
              </w:rPr>
              <w:instrText xml:space="preserve"> PAGEREF _Toc71036590 \h </w:instrText>
            </w:r>
            <w:r w:rsidR="007A5BF6">
              <w:rPr>
                <w:noProof/>
                <w:webHidden/>
              </w:rPr>
            </w:r>
            <w:r w:rsidR="007A5BF6">
              <w:rPr>
                <w:noProof/>
                <w:webHidden/>
              </w:rPr>
              <w:fldChar w:fldCharType="separate"/>
            </w:r>
            <w:r w:rsidR="007A5BF6">
              <w:rPr>
                <w:noProof/>
                <w:webHidden/>
              </w:rPr>
              <w:t>18</w:t>
            </w:r>
            <w:r w:rsidR="007A5BF6">
              <w:rPr>
                <w:noProof/>
                <w:webHidden/>
              </w:rPr>
              <w:fldChar w:fldCharType="end"/>
            </w:r>
          </w:hyperlink>
        </w:p>
        <w:p w14:paraId="062A10F7" w14:textId="77777777" w:rsidR="007A5BF6" w:rsidRDefault="00ED61BA">
          <w:pPr>
            <w:pStyle w:val="Spistreci2"/>
            <w:rPr>
              <w:rFonts w:eastAsiaTheme="minorEastAsia" w:cstheme="minorBidi"/>
              <w:b w:val="0"/>
              <w:bCs w:val="0"/>
              <w:noProof/>
              <w:sz w:val="22"/>
              <w:szCs w:val="22"/>
              <w:lang w:eastAsia="pl-PL"/>
            </w:rPr>
          </w:pPr>
          <w:hyperlink w:anchor="_Toc71036591" w:history="1">
            <w:r w:rsidR="007A5BF6" w:rsidRPr="007736E0">
              <w:rPr>
                <w:rStyle w:val="Hipercze"/>
                <w:rFonts w:ascii="Trebuchet MS" w:hAnsi="Trebuchet MS"/>
                <w:noProof/>
              </w:rPr>
              <w:t>Cyfryzacja</w:t>
            </w:r>
            <w:r w:rsidR="007A5BF6">
              <w:rPr>
                <w:noProof/>
                <w:webHidden/>
              </w:rPr>
              <w:tab/>
            </w:r>
            <w:r w:rsidR="007A5BF6">
              <w:rPr>
                <w:noProof/>
                <w:webHidden/>
              </w:rPr>
              <w:fldChar w:fldCharType="begin"/>
            </w:r>
            <w:r w:rsidR="007A5BF6">
              <w:rPr>
                <w:noProof/>
                <w:webHidden/>
              </w:rPr>
              <w:instrText xml:space="preserve"> PAGEREF _Toc71036591 \h </w:instrText>
            </w:r>
            <w:r w:rsidR="007A5BF6">
              <w:rPr>
                <w:noProof/>
                <w:webHidden/>
              </w:rPr>
            </w:r>
            <w:r w:rsidR="007A5BF6">
              <w:rPr>
                <w:noProof/>
                <w:webHidden/>
              </w:rPr>
              <w:fldChar w:fldCharType="separate"/>
            </w:r>
            <w:r w:rsidR="007A5BF6">
              <w:rPr>
                <w:noProof/>
                <w:webHidden/>
              </w:rPr>
              <w:t>21</w:t>
            </w:r>
            <w:r w:rsidR="007A5BF6">
              <w:rPr>
                <w:noProof/>
                <w:webHidden/>
              </w:rPr>
              <w:fldChar w:fldCharType="end"/>
            </w:r>
          </w:hyperlink>
        </w:p>
        <w:p w14:paraId="16D98197" w14:textId="77777777" w:rsidR="007A5BF6" w:rsidRDefault="00ED61BA">
          <w:pPr>
            <w:pStyle w:val="Spistreci2"/>
            <w:rPr>
              <w:rFonts w:eastAsiaTheme="minorEastAsia" w:cstheme="minorBidi"/>
              <w:b w:val="0"/>
              <w:bCs w:val="0"/>
              <w:noProof/>
              <w:sz w:val="22"/>
              <w:szCs w:val="22"/>
              <w:lang w:eastAsia="pl-PL"/>
            </w:rPr>
          </w:pPr>
          <w:hyperlink w:anchor="_Toc71036592" w:history="1">
            <w:r w:rsidR="007A5BF6" w:rsidRPr="007736E0">
              <w:rPr>
                <w:rStyle w:val="Hipercze"/>
                <w:rFonts w:ascii="Trebuchet MS" w:hAnsi="Trebuchet MS"/>
                <w:noProof/>
              </w:rPr>
              <w:t>Współpraca i zarządzanie</w:t>
            </w:r>
            <w:r w:rsidR="007A5BF6">
              <w:rPr>
                <w:noProof/>
                <w:webHidden/>
              </w:rPr>
              <w:tab/>
            </w:r>
            <w:r w:rsidR="007A5BF6">
              <w:rPr>
                <w:noProof/>
                <w:webHidden/>
              </w:rPr>
              <w:fldChar w:fldCharType="begin"/>
            </w:r>
            <w:r w:rsidR="007A5BF6">
              <w:rPr>
                <w:noProof/>
                <w:webHidden/>
              </w:rPr>
              <w:instrText xml:space="preserve"> PAGEREF _Toc71036592 \h </w:instrText>
            </w:r>
            <w:r w:rsidR="007A5BF6">
              <w:rPr>
                <w:noProof/>
                <w:webHidden/>
              </w:rPr>
            </w:r>
            <w:r w:rsidR="007A5BF6">
              <w:rPr>
                <w:noProof/>
                <w:webHidden/>
              </w:rPr>
              <w:fldChar w:fldCharType="separate"/>
            </w:r>
            <w:r w:rsidR="007A5BF6">
              <w:rPr>
                <w:noProof/>
                <w:webHidden/>
              </w:rPr>
              <w:t>24</w:t>
            </w:r>
            <w:r w:rsidR="007A5BF6">
              <w:rPr>
                <w:noProof/>
                <w:webHidden/>
              </w:rPr>
              <w:fldChar w:fldCharType="end"/>
            </w:r>
          </w:hyperlink>
        </w:p>
        <w:p w14:paraId="314D37A0" w14:textId="77777777" w:rsidR="007A5BF6" w:rsidRDefault="00ED61BA">
          <w:pPr>
            <w:pStyle w:val="Spistreci2"/>
            <w:rPr>
              <w:rFonts w:eastAsiaTheme="minorEastAsia" w:cstheme="minorBidi"/>
              <w:b w:val="0"/>
              <w:bCs w:val="0"/>
              <w:noProof/>
              <w:sz w:val="22"/>
              <w:szCs w:val="22"/>
              <w:lang w:eastAsia="pl-PL"/>
            </w:rPr>
          </w:pPr>
          <w:hyperlink w:anchor="_Toc71036593" w:history="1">
            <w:r w:rsidR="007A5BF6" w:rsidRPr="007736E0">
              <w:rPr>
                <w:rStyle w:val="Hipercze"/>
                <w:rFonts w:ascii="Trebuchet MS" w:hAnsi="Trebuchet MS"/>
                <w:noProof/>
              </w:rPr>
              <w:t>Skutki pandemii COVID-19</w:t>
            </w:r>
            <w:r w:rsidR="007A5BF6">
              <w:rPr>
                <w:noProof/>
                <w:webHidden/>
              </w:rPr>
              <w:tab/>
            </w:r>
            <w:r w:rsidR="007A5BF6">
              <w:rPr>
                <w:noProof/>
                <w:webHidden/>
              </w:rPr>
              <w:fldChar w:fldCharType="begin"/>
            </w:r>
            <w:r w:rsidR="007A5BF6">
              <w:rPr>
                <w:noProof/>
                <w:webHidden/>
              </w:rPr>
              <w:instrText xml:space="preserve"> PAGEREF _Toc71036593 \h </w:instrText>
            </w:r>
            <w:r w:rsidR="007A5BF6">
              <w:rPr>
                <w:noProof/>
                <w:webHidden/>
              </w:rPr>
            </w:r>
            <w:r w:rsidR="007A5BF6">
              <w:rPr>
                <w:noProof/>
                <w:webHidden/>
              </w:rPr>
              <w:fldChar w:fldCharType="separate"/>
            </w:r>
            <w:r w:rsidR="007A5BF6">
              <w:rPr>
                <w:noProof/>
                <w:webHidden/>
              </w:rPr>
              <w:t>25</w:t>
            </w:r>
            <w:r w:rsidR="007A5BF6">
              <w:rPr>
                <w:noProof/>
                <w:webHidden/>
              </w:rPr>
              <w:fldChar w:fldCharType="end"/>
            </w:r>
          </w:hyperlink>
        </w:p>
        <w:p w14:paraId="7A5BD0AF" w14:textId="77777777" w:rsidR="007A5BF6" w:rsidRDefault="00ED61BA">
          <w:pPr>
            <w:pStyle w:val="Spistreci1"/>
            <w:rPr>
              <w:rFonts w:asciiTheme="minorHAnsi" w:eastAsiaTheme="minorEastAsia" w:hAnsiTheme="minorHAnsi" w:cstheme="minorBidi"/>
              <w:b w:val="0"/>
              <w:bCs w:val="0"/>
              <w:caps w:val="0"/>
              <w:sz w:val="22"/>
              <w:szCs w:val="22"/>
              <w:lang w:eastAsia="pl-PL"/>
            </w:rPr>
          </w:pPr>
          <w:hyperlink w:anchor="_Toc71036594" w:history="1">
            <w:r w:rsidR="007A5BF6" w:rsidRPr="007736E0">
              <w:rPr>
                <w:rStyle w:val="Hipercze"/>
                <w:rFonts w:ascii="Trebuchet MS" w:hAnsi="Trebuchet MS"/>
              </w:rPr>
              <w:t>Wyciągnięte wnioski</w:t>
            </w:r>
            <w:r w:rsidR="007A5BF6">
              <w:rPr>
                <w:webHidden/>
              </w:rPr>
              <w:tab/>
            </w:r>
            <w:r w:rsidR="007A5BF6">
              <w:rPr>
                <w:webHidden/>
              </w:rPr>
              <w:fldChar w:fldCharType="begin"/>
            </w:r>
            <w:r w:rsidR="007A5BF6">
              <w:rPr>
                <w:webHidden/>
              </w:rPr>
              <w:instrText xml:space="preserve"> PAGEREF _Toc71036594 \h </w:instrText>
            </w:r>
            <w:r w:rsidR="007A5BF6">
              <w:rPr>
                <w:webHidden/>
              </w:rPr>
            </w:r>
            <w:r w:rsidR="007A5BF6">
              <w:rPr>
                <w:webHidden/>
              </w:rPr>
              <w:fldChar w:fldCharType="separate"/>
            </w:r>
            <w:r w:rsidR="007A5BF6">
              <w:rPr>
                <w:webHidden/>
              </w:rPr>
              <w:t>26</w:t>
            </w:r>
            <w:r w:rsidR="007A5BF6">
              <w:rPr>
                <w:webHidden/>
              </w:rPr>
              <w:fldChar w:fldCharType="end"/>
            </w:r>
          </w:hyperlink>
        </w:p>
        <w:p w14:paraId="2F61C86E" w14:textId="77777777" w:rsidR="007A5BF6" w:rsidRDefault="00ED61BA">
          <w:pPr>
            <w:pStyle w:val="Spistreci1"/>
            <w:rPr>
              <w:rFonts w:asciiTheme="minorHAnsi" w:eastAsiaTheme="minorEastAsia" w:hAnsiTheme="minorHAnsi" w:cstheme="minorBidi"/>
              <w:b w:val="0"/>
              <w:bCs w:val="0"/>
              <w:caps w:val="0"/>
              <w:sz w:val="22"/>
              <w:szCs w:val="22"/>
              <w:lang w:eastAsia="pl-PL"/>
            </w:rPr>
          </w:pPr>
          <w:hyperlink w:anchor="_Toc71036595" w:history="1">
            <w:r w:rsidR="007A5BF6" w:rsidRPr="007736E0">
              <w:rPr>
                <w:rStyle w:val="Hipercze"/>
                <w:rFonts w:ascii="Trebuchet MS" w:hAnsi="Trebuchet MS"/>
              </w:rPr>
              <w:t>Komplementarność i synergie (w tym wkład w strategie makroregionalne)</w:t>
            </w:r>
            <w:r w:rsidR="007A5BF6">
              <w:rPr>
                <w:webHidden/>
              </w:rPr>
              <w:tab/>
            </w:r>
            <w:r w:rsidR="007A5BF6">
              <w:rPr>
                <w:webHidden/>
              </w:rPr>
              <w:fldChar w:fldCharType="begin"/>
            </w:r>
            <w:r w:rsidR="007A5BF6">
              <w:rPr>
                <w:webHidden/>
              </w:rPr>
              <w:instrText xml:space="preserve"> PAGEREF _Toc71036595 \h </w:instrText>
            </w:r>
            <w:r w:rsidR="007A5BF6">
              <w:rPr>
                <w:webHidden/>
              </w:rPr>
            </w:r>
            <w:r w:rsidR="007A5BF6">
              <w:rPr>
                <w:webHidden/>
              </w:rPr>
              <w:fldChar w:fldCharType="separate"/>
            </w:r>
            <w:r w:rsidR="007A5BF6">
              <w:rPr>
                <w:webHidden/>
              </w:rPr>
              <w:t>27</w:t>
            </w:r>
            <w:r w:rsidR="007A5BF6">
              <w:rPr>
                <w:webHidden/>
              </w:rPr>
              <w:fldChar w:fldCharType="end"/>
            </w:r>
          </w:hyperlink>
        </w:p>
        <w:p w14:paraId="5552EB5E" w14:textId="77777777" w:rsidR="007A5BF6" w:rsidRDefault="00ED61BA">
          <w:pPr>
            <w:pStyle w:val="Spistreci1"/>
            <w:rPr>
              <w:rFonts w:asciiTheme="minorHAnsi" w:eastAsiaTheme="minorEastAsia" w:hAnsiTheme="minorHAnsi" w:cstheme="minorBidi"/>
              <w:b w:val="0"/>
              <w:bCs w:val="0"/>
              <w:caps w:val="0"/>
              <w:sz w:val="22"/>
              <w:szCs w:val="22"/>
              <w:lang w:eastAsia="pl-PL"/>
            </w:rPr>
          </w:pPr>
          <w:hyperlink w:anchor="_Toc71036596" w:history="1">
            <w:r w:rsidR="007A5BF6" w:rsidRPr="007736E0">
              <w:rPr>
                <w:rStyle w:val="Hipercze"/>
                <w:rFonts w:ascii="Trebuchet MS" w:hAnsi="Trebuchet MS"/>
              </w:rPr>
              <w:t>Wizja, misja i zasady realizacji programu</w:t>
            </w:r>
            <w:r w:rsidR="007A5BF6">
              <w:rPr>
                <w:webHidden/>
              </w:rPr>
              <w:tab/>
            </w:r>
            <w:r w:rsidR="007A5BF6">
              <w:rPr>
                <w:webHidden/>
              </w:rPr>
              <w:fldChar w:fldCharType="begin"/>
            </w:r>
            <w:r w:rsidR="007A5BF6">
              <w:rPr>
                <w:webHidden/>
              </w:rPr>
              <w:instrText xml:space="preserve"> PAGEREF _Toc71036596 \h </w:instrText>
            </w:r>
            <w:r w:rsidR="007A5BF6">
              <w:rPr>
                <w:webHidden/>
              </w:rPr>
            </w:r>
            <w:r w:rsidR="007A5BF6">
              <w:rPr>
                <w:webHidden/>
              </w:rPr>
              <w:fldChar w:fldCharType="separate"/>
            </w:r>
            <w:r w:rsidR="007A5BF6">
              <w:rPr>
                <w:webHidden/>
              </w:rPr>
              <w:t>29</w:t>
            </w:r>
            <w:r w:rsidR="007A5BF6">
              <w:rPr>
                <w:webHidden/>
              </w:rPr>
              <w:fldChar w:fldCharType="end"/>
            </w:r>
          </w:hyperlink>
        </w:p>
        <w:p w14:paraId="691C52F5" w14:textId="77777777" w:rsidR="007A5BF6" w:rsidRDefault="00ED61BA">
          <w:pPr>
            <w:pStyle w:val="Spistreci2"/>
            <w:rPr>
              <w:rFonts w:eastAsiaTheme="minorEastAsia" w:cstheme="minorBidi"/>
              <w:b w:val="0"/>
              <w:bCs w:val="0"/>
              <w:noProof/>
              <w:sz w:val="22"/>
              <w:szCs w:val="22"/>
              <w:lang w:eastAsia="pl-PL"/>
            </w:rPr>
          </w:pPr>
          <w:hyperlink w:anchor="_Toc71036597" w:history="1">
            <w:r w:rsidR="007A5BF6" w:rsidRPr="007736E0">
              <w:rPr>
                <w:rStyle w:val="Hipercze"/>
                <w:rFonts w:ascii="Trebuchet MS" w:hAnsi="Trebuchet MS"/>
                <w:noProof/>
              </w:rPr>
              <w:t>Wizja i misja Programu</w:t>
            </w:r>
            <w:r w:rsidR="007A5BF6">
              <w:rPr>
                <w:noProof/>
                <w:webHidden/>
              </w:rPr>
              <w:tab/>
            </w:r>
            <w:r w:rsidR="007A5BF6">
              <w:rPr>
                <w:noProof/>
                <w:webHidden/>
              </w:rPr>
              <w:fldChar w:fldCharType="begin"/>
            </w:r>
            <w:r w:rsidR="007A5BF6">
              <w:rPr>
                <w:noProof/>
                <w:webHidden/>
              </w:rPr>
              <w:instrText xml:space="preserve"> PAGEREF _Toc71036597 \h </w:instrText>
            </w:r>
            <w:r w:rsidR="007A5BF6">
              <w:rPr>
                <w:noProof/>
                <w:webHidden/>
              </w:rPr>
            </w:r>
            <w:r w:rsidR="007A5BF6">
              <w:rPr>
                <w:noProof/>
                <w:webHidden/>
              </w:rPr>
              <w:fldChar w:fldCharType="separate"/>
            </w:r>
            <w:r w:rsidR="007A5BF6">
              <w:rPr>
                <w:noProof/>
                <w:webHidden/>
              </w:rPr>
              <w:t>29</w:t>
            </w:r>
            <w:r w:rsidR="007A5BF6">
              <w:rPr>
                <w:noProof/>
                <w:webHidden/>
              </w:rPr>
              <w:fldChar w:fldCharType="end"/>
            </w:r>
          </w:hyperlink>
        </w:p>
        <w:p w14:paraId="7EA76AB9" w14:textId="77777777" w:rsidR="007A5BF6" w:rsidRDefault="00ED61BA">
          <w:pPr>
            <w:pStyle w:val="Spistreci2"/>
            <w:rPr>
              <w:rFonts w:eastAsiaTheme="minorEastAsia" w:cstheme="minorBidi"/>
              <w:b w:val="0"/>
              <w:bCs w:val="0"/>
              <w:noProof/>
              <w:sz w:val="22"/>
              <w:szCs w:val="22"/>
              <w:lang w:eastAsia="pl-PL"/>
            </w:rPr>
          </w:pPr>
          <w:hyperlink w:anchor="_Toc71036598" w:history="1">
            <w:r w:rsidR="007A5BF6" w:rsidRPr="007736E0">
              <w:rPr>
                <w:rStyle w:val="Hipercze"/>
                <w:noProof/>
              </w:rPr>
              <w:t>1.3. Uzasadnienie wyboru celów polityki i celów szczegółowych Programu Interreg, odpowiednich priorytetów, celów szczegółowych i form wsparcia, podejścia do brakujących połączeń w infrastrukturze transnarodowej, jeżeli takie istnieją</w:t>
            </w:r>
            <w:r w:rsidR="007A5BF6">
              <w:rPr>
                <w:noProof/>
                <w:webHidden/>
              </w:rPr>
              <w:tab/>
            </w:r>
            <w:r w:rsidR="007A5BF6">
              <w:rPr>
                <w:noProof/>
                <w:webHidden/>
              </w:rPr>
              <w:fldChar w:fldCharType="begin"/>
            </w:r>
            <w:r w:rsidR="007A5BF6">
              <w:rPr>
                <w:noProof/>
                <w:webHidden/>
              </w:rPr>
              <w:instrText xml:space="preserve"> PAGEREF _Toc71036598 \h </w:instrText>
            </w:r>
            <w:r w:rsidR="007A5BF6">
              <w:rPr>
                <w:noProof/>
                <w:webHidden/>
              </w:rPr>
            </w:r>
            <w:r w:rsidR="007A5BF6">
              <w:rPr>
                <w:noProof/>
                <w:webHidden/>
              </w:rPr>
              <w:fldChar w:fldCharType="separate"/>
            </w:r>
            <w:r w:rsidR="007A5BF6">
              <w:rPr>
                <w:noProof/>
                <w:webHidden/>
              </w:rPr>
              <w:t>32</w:t>
            </w:r>
            <w:r w:rsidR="007A5BF6">
              <w:rPr>
                <w:noProof/>
                <w:webHidden/>
              </w:rPr>
              <w:fldChar w:fldCharType="end"/>
            </w:r>
          </w:hyperlink>
        </w:p>
        <w:p w14:paraId="77B646B8" w14:textId="77777777" w:rsidR="007A5BF6" w:rsidRDefault="00ED61BA">
          <w:pPr>
            <w:pStyle w:val="Spistreci2"/>
            <w:rPr>
              <w:rFonts w:eastAsiaTheme="minorEastAsia" w:cstheme="minorBidi"/>
              <w:b w:val="0"/>
              <w:bCs w:val="0"/>
              <w:noProof/>
              <w:sz w:val="22"/>
              <w:szCs w:val="22"/>
              <w:lang w:eastAsia="pl-PL"/>
            </w:rPr>
          </w:pPr>
          <w:hyperlink w:anchor="_Toc71036599" w:history="1">
            <w:r w:rsidR="007A5BF6" w:rsidRPr="007736E0">
              <w:rPr>
                <w:rStyle w:val="Hipercze"/>
                <w:noProof/>
              </w:rPr>
              <w:t>2. Priorytety</w:t>
            </w:r>
            <w:r w:rsidR="007A5BF6">
              <w:rPr>
                <w:noProof/>
                <w:webHidden/>
              </w:rPr>
              <w:tab/>
            </w:r>
            <w:r w:rsidR="007A5BF6">
              <w:rPr>
                <w:noProof/>
                <w:webHidden/>
              </w:rPr>
              <w:fldChar w:fldCharType="begin"/>
            </w:r>
            <w:r w:rsidR="007A5BF6">
              <w:rPr>
                <w:noProof/>
                <w:webHidden/>
              </w:rPr>
              <w:instrText xml:space="preserve"> PAGEREF _Toc71036599 \h </w:instrText>
            </w:r>
            <w:r w:rsidR="007A5BF6">
              <w:rPr>
                <w:noProof/>
                <w:webHidden/>
              </w:rPr>
            </w:r>
            <w:r w:rsidR="007A5BF6">
              <w:rPr>
                <w:noProof/>
                <w:webHidden/>
              </w:rPr>
              <w:fldChar w:fldCharType="separate"/>
            </w:r>
            <w:r w:rsidR="007A5BF6">
              <w:rPr>
                <w:noProof/>
                <w:webHidden/>
              </w:rPr>
              <w:t>42</w:t>
            </w:r>
            <w:r w:rsidR="007A5BF6">
              <w:rPr>
                <w:noProof/>
                <w:webHidden/>
              </w:rPr>
              <w:fldChar w:fldCharType="end"/>
            </w:r>
          </w:hyperlink>
        </w:p>
        <w:p w14:paraId="26C4094A" w14:textId="77777777" w:rsidR="007A5BF6" w:rsidRDefault="00ED61BA">
          <w:pPr>
            <w:pStyle w:val="Spistreci2"/>
            <w:rPr>
              <w:rFonts w:eastAsiaTheme="minorEastAsia" w:cstheme="minorBidi"/>
              <w:b w:val="0"/>
              <w:bCs w:val="0"/>
              <w:noProof/>
              <w:sz w:val="22"/>
              <w:szCs w:val="22"/>
              <w:lang w:eastAsia="pl-PL"/>
            </w:rPr>
          </w:pPr>
          <w:hyperlink w:anchor="_Toc71036600" w:history="1">
            <w:r w:rsidR="007A5BF6" w:rsidRPr="007736E0">
              <w:rPr>
                <w:rStyle w:val="Hipercze"/>
                <w:noProof/>
              </w:rPr>
              <w:t>2.1. Tytuł priorytetu (dla każdego priorytetu)</w:t>
            </w:r>
            <w:r w:rsidR="007A5BF6">
              <w:rPr>
                <w:noProof/>
                <w:webHidden/>
              </w:rPr>
              <w:tab/>
            </w:r>
            <w:r w:rsidR="007A5BF6">
              <w:rPr>
                <w:noProof/>
                <w:webHidden/>
              </w:rPr>
              <w:fldChar w:fldCharType="begin"/>
            </w:r>
            <w:r w:rsidR="007A5BF6">
              <w:rPr>
                <w:noProof/>
                <w:webHidden/>
              </w:rPr>
              <w:instrText xml:space="preserve"> PAGEREF _Toc71036600 \h </w:instrText>
            </w:r>
            <w:r w:rsidR="007A5BF6">
              <w:rPr>
                <w:noProof/>
                <w:webHidden/>
              </w:rPr>
            </w:r>
            <w:r w:rsidR="007A5BF6">
              <w:rPr>
                <w:noProof/>
                <w:webHidden/>
              </w:rPr>
              <w:fldChar w:fldCharType="separate"/>
            </w:r>
            <w:r w:rsidR="007A5BF6">
              <w:rPr>
                <w:noProof/>
                <w:webHidden/>
              </w:rPr>
              <w:t>42</w:t>
            </w:r>
            <w:r w:rsidR="007A5BF6">
              <w:rPr>
                <w:noProof/>
                <w:webHidden/>
              </w:rPr>
              <w:fldChar w:fldCharType="end"/>
            </w:r>
          </w:hyperlink>
        </w:p>
        <w:p w14:paraId="49A52CE1" w14:textId="77777777" w:rsidR="007A5BF6" w:rsidRDefault="00ED61BA">
          <w:pPr>
            <w:pStyle w:val="Spistreci2"/>
            <w:rPr>
              <w:rFonts w:eastAsiaTheme="minorEastAsia" w:cstheme="minorBidi"/>
              <w:b w:val="0"/>
              <w:bCs w:val="0"/>
              <w:noProof/>
              <w:sz w:val="22"/>
              <w:szCs w:val="22"/>
              <w:lang w:eastAsia="pl-PL"/>
            </w:rPr>
          </w:pPr>
          <w:hyperlink w:anchor="_Toc71036601" w:history="1">
            <w:r w:rsidR="007A5BF6" w:rsidRPr="007736E0">
              <w:rPr>
                <w:rStyle w:val="Hipercze"/>
                <w:noProof/>
              </w:rPr>
              <w:t>Priorytet 1: Współpraca na rzecz inteligentnej Europy Środkowej</w:t>
            </w:r>
            <w:r w:rsidR="007A5BF6">
              <w:rPr>
                <w:noProof/>
                <w:webHidden/>
              </w:rPr>
              <w:tab/>
            </w:r>
            <w:r w:rsidR="007A5BF6">
              <w:rPr>
                <w:noProof/>
                <w:webHidden/>
              </w:rPr>
              <w:fldChar w:fldCharType="begin"/>
            </w:r>
            <w:r w:rsidR="007A5BF6">
              <w:rPr>
                <w:noProof/>
                <w:webHidden/>
              </w:rPr>
              <w:instrText xml:space="preserve"> PAGEREF _Toc71036601 \h </w:instrText>
            </w:r>
            <w:r w:rsidR="007A5BF6">
              <w:rPr>
                <w:noProof/>
                <w:webHidden/>
              </w:rPr>
            </w:r>
            <w:r w:rsidR="007A5BF6">
              <w:rPr>
                <w:noProof/>
                <w:webHidden/>
              </w:rPr>
              <w:fldChar w:fldCharType="separate"/>
            </w:r>
            <w:r w:rsidR="007A5BF6">
              <w:rPr>
                <w:noProof/>
                <w:webHidden/>
              </w:rPr>
              <w:t>42</w:t>
            </w:r>
            <w:r w:rsidR="007A5BF6">
              <w:rPr>
                <w:noProof/>
                <w:webHidden/>
              </w:rPr>
              <w:fldChar w:fldCharType="end"/>
            </w:r>
          </w:hyperlink>
        </w:p>
        <w:p w14:paraId="60B79B23" w14:textId="77777777" w:rsidR="007A5BF6" w:rsidRDefault="00ED61BA">
          <w:pPr>
            <w:pStyle w:val="Spistreci2"/>
            <w:tabs>
              <w:tab w:val="left" w:pos="1418"/>
            </w:tabs>
            <w:rPr>
              <w:rFonts w:eastAsiaTheme="minorEastAsia" w:cstheme="minorBidi"/>
              <w:b w:val="0"/>
              <w:bCs w:val="0"/>
              <w:noProof/>
              <w:sz w:val="22"/>
              <w:szCs w:val="22"/>
              <w:lang w:eastAsia="pl-PL"/>
            </w:rPr>
          </w:pPr>
          <w:hyperlink w:anchor="_Toc71036602" w:history="1">
            <w:r w:rsidR="007A5BF6" w:rsidRPr="007736E0">
              <w:rPr>
                <w:rStyle w:val="Hipercze"/>
                <w:noProof/>
              </w:rPr>
              <w:t>PO1 –</w:t>
            </w:r>
            <w:r w:rsidR="007A5BF6">
              <w:rPr>
                <w:rFonts w:eastAsiaTheme="minorEastAsia" w:cstheme="minorBidi"/>
                <w:b w:val="0"/>
                <w:bCs w:val="0"/>
                <w:noProof/>
                <w:sz w:val="22"/>
                <w:szCs w:val="22"/>
                <w:lang w:eastAsia="pl-PL"/>
              </w:rPr>
              <w:tab/>
            </w:r>
            <w:r w:rsidR="007A5BF6" w:rsidRPr="007736E0">
              <w:rPr>
                <w:rStyle w:val="Hipercze"/>
                <w:noProof/>
              </w:rPr>
              <w:t>(i) Wzmacnianie zdolności badawczo-innowacyjnych i wykorzystanie zaawansowanych technologii</w:t>
            </w:r>
            <w:r w:rsidR="007A5BF6">
              <w:rPr>
                <w:noProof/>
                <w:webHidden/>
              </w:rPr>
              <w:tab/>
            </w:r>
            <w:r w:rsidR="007A5BF6">
              <w:rPr>
                <w:noProof/>
                <w:webHidden/>
              </w:rPr>
              <w:fldChar w:fldCharType="begin"/>
            </w:r>
            <w:r w:rsidR="007A5BF6">
              <w:rPr>
                <w:noProof/>
                <w:webHidden/>
              </w:rPr>
              <w:instrText xml:space="preserve"> PAGEREF _Toc71036602 \h </w:instrText>
            </w:r>
            <w:r w:rsidR="007A5BF6">
              <w:rPr>
                <w:noProof/>
                <w:webHidden/>
              </w:rPr>
            </w:r>
            <w:r w:rsidR="007A5BF6">
              <w:rPr>
                <w:noProof/>
                <w:webHidden/>
              </w:rPr>
              <w:fldChar w:fldCharType="separate"/>
            </w:r>
            <w:r w:rsidR="007A5BF6">
              <w:rPr>
                <w:noProof/>
                <w:webHidden/>
              </w:rPr>
              <w:t>42</w:t>
            </w:r>
            <w:r w:rsidR="007A5BF6">
              <w:rPr>
                <w:noProof/>
                <w:webHidden/>
              </w:rPr>
              <w:fldChar w:fldCharType="end"/>
            </w:r>
          </w:hyperlink>
        </w:p>
        <w:p w14:paraId="7EC78107" w14:textId="77777777" w:rsidR="007A5BF6" w:rsidRDefault="00ED61BA">
          <w:pPr>
            <w:pStyle w:val="Spistreci2"/>
            <w:tabs>
              <w:tab w:val="left" w:pos="1418"/>
            </w:tabs>
            <w:rPr>
              <w:rFonts w:eastAsiaTheme="minorEastAsia" w:cstheme="minorBidi"/>
              <w:b w:val="0"/>
              <w:bCs w:val="0"/>
              <w:noProof/>
              <w:sz w:val="22"/>
              <w:szCs w:val="22"/>
              <w:lang w:eastAsia="pl-PL"/>
            </w:rPr>
          </w:pPr>
          <w:hyperlink w:anchor="_Toc71036603" w:history="1">
            <w:r w:rsidR="007A5BF6" w:rsidRPr="007736E0">
              <w:rPr>
                <w:rStyle w:val="Hipercze"/>
                <w:noProof/>
              </w:rPr>
              <w:t xml:space="preserve">PO1 - </w:t>
            </w:r>
            <w:r w:rsidR="007A5BF6">
              <w:rPr>
                <w:rFonts w:eastAsiaTheme="minorEastAsia" w:cstheme="minorBidi"/>
                <w:b w:val="0"/>
                <w:bCs w:val="0"/>
                <w:noProof/>
                <w:sz w:val="22"/>
                <w:szCs w:val="22"/>
                <w:lang w:eastAsia="pl-PL"/>
              </w:rPr>
              <w:tab/>
            </w:r>
            <w:r w:rsidR="007A5BF6" w:rsidRPr="007736E0">
              <w:rPr>
                <w:rStyle w:val="Hipercze"/>
                <w:noProof/>
              </w:rPr>
              <w:t>(iv) Rozwijanie umiejętności na potrzeby inteligentnej specjalizacji, przemian przemysłowych i rozwoju przedsiębiorczości</w:t>
            </w:r>
            <w:r w:rsidR="007A5BF6">
              <w:rPr>
                <w:noProof/>
                <w:webHidden/>
              </w:rPr>
              <w:tab/>
            </w:r>
            <w:r w:rsidR="007A5BF6">
              <w:rPr>
                <w:noProof/>
                <w:webHidden/>
              </w:rPr>
              <w:fldChar w:fldCharType="begin"/>
            </w:r>
            <w:r w:rsidR="007A5BF6">
              <w:rPr>
                <w:noProof/>
                <w:webHidden/>
              </w:rPr>
              <w:instrText xml:space="preserve"> PAGEREF _Toc71036603 \h </w:instrText>
            </w:r>
            <w:r w:rsidR="007A5BF6">
              <w:rPr>
                <w:noProof/>
                <w:webHidden/>
              </w:rPr>
            </w:r>
            <w:r w:rsidR="007A5BF6">
              <w:rPr>
                <w:noProof/>
                <w:webHidden/>
              </w:rPr>
              <w:fldChar w:fldCharType="separate"/>
            </w:r>
            <w:r w:rsidR="007A5BF6">
              <w:rPr>
                <w:noProof/>
                <w:webHidden/>
              </w:rPr>
              <w:t>50</w:t>
            </w:r>
            <w:r w:rsidR="007A5BF6">
              <w:rPr>
                <w:noProof/>
                <w:webHidden/>
              </w:rPr>
              <w:fldChar w:fldCharType="end"/>
            </w:r>
          </w:hyperlink>
        </w:p>
        <w:p w14:paraId="46ADD849" w14:textId="77777777" w:rsidR="007A5BF6" w:rsidRDefault="00ED61BA">
          <w:pPr>
            <w:pStyle w:val="Spistreci2"/>
            <w:rPr>
              <w:rFonts w:eastAsiaTheme="minorEastAsia" w:cstheme="minorBidi"/>
              <w:b w:val="0"/>
              <w:bCs w:val="0"/>
              <w:noProof/>
              <w:sz w:val="22"/>
              <w:szCs w:val="22"/>
              <w:lang w:eastAsia="pl-PL"/>
            </w:rPr>
          </w:pPr>
          <w:hyperlink w:anchor="_Toc71036604" w:history="1">
            <w:r w:rsidR="007A5BF6" w:rsidRPr="007736E0">
              <w:rPr>
                <w:rStyle w:val="Hipercze"/>
                <w:noProof/>
              </w:rPr>
              <w:t>Priorytet 2: Współpraca na rzecz bardziej zielonej Europy Środkowej</w:t>
            </w:r>
            <w:r w:rsidR="007A5BF6">
              <w:rPr>
                <w:noProof/>
                <w:webHidden/>
              </w:rPr>
              <w:tab/>
            </w:r>
            <w:r w:rsidR="007A5BF6">
              <w:rPr>
                <w:noProof/>
                <w:webHidden/>
              </w:rPr>
              <w:fldChar w:fldCharType="begin"/>
            </w:r>
            <w:r w:rsidR="007A5BF6">
              <w:rPr>
                <w:noProof/>
                <w:webHidden/>
              </w:rPr>
              <w:instrText xml:space="preserve"> PAGEREF _Toc71036604 \h </w:instrText>
            </w:r>
            <w:r w:rsidR="007A5BF6">
              <w:rPr>
                <w:noProof/>
                <w:webHidden/>
              </w:rPr>
            </w:r>
            <w:r w:rsidR="007A5BF6">
              <w:rPr>
                <w:noProof/>
                <w:webHidden/>
              </w:rPr>
              <w:fldChar w:fldCharType="separate"/>
            </w:r>
            <w:r w:rsidR="007A5BF6">
              <w:rPr>
                <w:noProof/>
                <w:webHidden/>
              </w:rPr>
              <w:t>57</w:t>
            </w:r>
            <w:r w:rsidR="007A5BF6">
              <w:rPr>
                <w:noProof/>
                <w:webHidden/>
              </w:rPr>
              <w:fldChar w:fldCharType="end"/>
            </w:r>
          </w:hyperlink>
        </w:p>
        <w:p w14:paraId="164F5432" w14:textId="77777777" w:rsidR="007A5BF6" w:rsidRDefault="00ED61BA">
          <w:pPr>
            <w:pStyle w:val="Spistreci2"/>
            <w:tabs>
              <w:tab w:val="left" w:pos="1418"/>
            </w:tabs>
            <w:rPr>
              <w:rFonts w:eastAsiaTheme="minorEastAsia" w:cstheme="minorBidi"/>
              <w:b w:val="0"/>
              <w:bCs w:val="0"/>
              <w:noProof/>
              <w:sz w:val="22"/>
              <w:szCs w:val="22"/>
              <w:lang w:eastAsia="pl-PL"/>
            </w:rPr>
          </w:pPr>
          <w:hyperlink w:anchor="_Toc71036605" w:history="1">
            <w:r w:rsidR="007A5BF6" w:rsidRPr="007736E0">
              <w:rPr>
                <w:rStyle w:val="Hipercze"/>
                <w:noProof/>
              </w:rPr>
              <w:t xml:space="preserve">PO2 - </w:t>
            </w:r>
            <w:r w:rsidR="007A5BF6">
              <w:rPr>
                <w:rFonts w:eastAsiaTheme="minorEastAsia" w:cstheme="minorBidi"/>
                <w:b w:val="0"/>
                <w:bCs w:val="0"/>
                <w:noProof/>
                <w:sz w:val="22"/>
                <w:szCs w:val="22"/>
                <w:lang w:eastAsia="pl-PL"/>
              </w:rPr>
              <w:tab/>
            </w:r>
            <w:r w:rsidR="007A5BF6" w:rsidRPr="007736E0">
              <w:rPr>
                <w:rStyle w:val="Hipercze"/>
                <w:noProof/>
              </w:rPr>
              <w:t>(i) Promowanie działań zwiększających efektywność energetyczną i zmniejszanie emisji gazów cieplarnianych</w:t>
            </w:r>
            <w:r w:rsidR="007A5BF6">
              <w:rPr>
                <w:noProof/>
                <w:webHidden/>
              </w:rPr>
              <w:tab/>
            </w:r>
            <w:r w:rsidR="007A5BF6">
              <w:rPr>
                <w:noProof/>
                <w:webHidden/>
              </w:rPr>
              <w:fldChar w:fldCharType="begin"/>
            </w:r>
            <w:r w:rsidR="007A5BF6">
              <w:rPr>
                <w:noProof/>
                <w:webHidden/>
              </w:rPr>
              <w:instrText xml:space="preserve"> PAGEREF _Toc71036605 \h </w:instrText>
            </w:r>
            <w:r w:rsidR="007A5BF6">
              <w:rPr>
                <w:noProof/>
                <w:webHidden/>
              </w:rPr>
            </w:r>
            <w:r w:rsidR="007A5BF6">
              <w:rPr>
                <w:noProof/>
                <w:webHidden/>
              </w:rPr>
              <w:fldChar w:fldCharType="separate"/>
            </w:r>
            <w:r w:rsidR="007A5BF6">
              <w:rPr>
                <w:noProof/>
                <w:webHidden/>
              </w:rPr>
              <w:t>57</w:t>
            </w:r>
            <w:r w:rsidR="007A5BF6">
              <w:rPr>
                <w:noProof/>
                <w:webHidden/>
              </w:rPr>
              <w:fldChar w:fldCharType="end"/>
            </w:r>
          </w:hyperlink>
        </w:p>
        <w:p w14:paraId="7C5DB650" w14:textId="77777777" w:rsidR="007A5BF6" w:rsidRDefault="00ED61BA">
          <w:pPr>
            <w:pStyle w:val="Spistreci2"/>
            <w:tabs>
              <w:tab w:val="left" w:pos="1418"/>
            </w:tabs>
            <w:rPr>
              <w:rFonts w:eastAsiaTheme="minorEastAsia" w:cstheme="minorBidi"/>
              <w:b w:val="0"/>
              <w:bCs w:val="0"/>
              <w:noProof/>
              <w:sz w:val="22"/>
              <w:szCs w:val="22"/>
              <w:lang w:eastAsia="pl-PL"/>
            </w:rPr>
          </w:pPr>
          <w:hyperlink w:anchor="_Toc71036606" w:history="1">
            <w:r w:rsidR="007A5BF6" w:rsidRPr="007736E0">
              <w:rPr>
                <w:rStyle w:val="Hipercze"/>
                <w:noProof/>
              </w:rPr>
              <w:t xml:space="preserve">PO2 – </w:t>
            </w:r>
            <w:r w:rsidR="007A5BF6">
              <w:rPr>
                <w:rFonts w:eastAsiaTheme="minorEastAsia" w:cstheme="minorBidi"/>
                <w:b w:val="0"/>
                <w:bCs w:val="0"/>
                <w:noProof/>
                <w:sz w:val="22"/>
                <w:szCs w:val="22"/>
                <w:lang w:eastAsia="pl-PL"/>
              </w:rPr>
              <w:tab/>
            </w:r>
            <w:r w:rsidR="007A5BF6" w:rsidRPr="007736E0">
              <w:rPr>
                <w:rStyle w:val="Hipercze"/>
                <w:noProof/>
              </w:rPr>
              <w:t>(iv) Promowanie działań na rzecz dostosowania do zmian klimatu, przeciwdziałania ryzyku i odporności na katastrofy naturalne, z uwzględnieniem podejść opartych na ekosystemach</w:t>
            </w:r>
            <w:r w:rsidR="007A5BF6">
              <w:rPr>
                <w:noProof/>
                <w:webHidden/>
              </w:rPr>
              <w:tab/>
            </w:r>
            <w:r w:rsidR="007A5BF6">
              <w:rPr>
                <w:noProof/>
                <w:webHidden/>
              </w:rPr>
              <w:fldChar w:fldCharType="begin"/>
            </w:r>
            <w:r w:rsidR="007A5BF6">
              <w:rPr>
                <w:noProof/>
                <w:webHidden/>
              </w:rPr>
              <w:instrText xml:space="preserve"> PAGEREF _Toc71036606 \h </w:instrText>
            </w:r>
            <w:r w:rsidR="007A5BF6">
              <w:rPr>
                <w:noProof/>
                <w:webHidden/>
              </w:rPr>
            </w:r>
            <w:r w:rsidR="007A5BF6">
              <w:rPr>
                <w:noProof/>
                <w:webHidden/>
              </w:rPr>
              <w:fldChar w:fldCharType="separate"/>
            </w:r>
            <w:r w:rsidR="007A5BF6">
              <w:rPr>
                <w:noProof/>
                <w:webHidden/>
              </w:rPr>
              <w:t>65</w:t>
            </w:r>
            <w:r w:rsidR="007A5BF6">
              <w:rPr>
                <w:noProof/>
                <w:webHidden/>
              </w:rPr>
              <w:fldChar w:fldCharType="end"/>
            </w:r>
          </w:hyperlink>
        </w:p>
        <w:p w14:paraId="32280516" w14:textId="77777777" w:rsidR="007A5BF6" w:rsidRDefault="00ED61BA">
          <w:pPr>
            <w:pStyle w:val="Spistreci2"/>
            <w:tabs>
              <w:tab w:val="left" w:pos="1418"/>
            </w:tabs>
            <w:rPr>
              <w:rFonts w:eastAsiaTheme="minorEastAsia" w:cstheme="minorBidi"/>
              <w:b w:val="0"/>
              <w:bCs w:val="0"/>
              <w:noProof/>
              <w:sz w:val="22"/>
              <w:szCs w:val="22"/>
              <w:lang w:eastAsia="pl-PL"/>
            </w:rPr>
          </w:pPr>
          <w:hyperlink w:anchor="_Toc71036607" w:history="1">
            <w:r w:rsidR="007A5BF6" w:rsidRPr="007736E0">
              <w:rPr>
                <w:rStyle w:val="Hipercze"/>
                <w:noProof/>
              </w:rPr>
              <w:t xml:space="preserve">PO2- </w:t>
            </w:r>
            <w:r w:rsidR="007A5BF6">
              <w:rPr>
                <w:rFonts w:eastAsiaTheme="minorEastAsia" w:cstheme="minorBidi"/>
                <w:b w:val="0"/>
                <w:bCs w:val="0"/>
                <w:noProof/>
                <w:sz w:val="22"/>
                <w:szCs w:val="22"/>
                <w:lang w:eastAsia="pl-PL"/>
              </w:rPr>
              <w:tab/>
            </w:r>
            <w:r w:rsidR="007A5BF6" w:rsidRPr="007736E0">
              <w:rPr>
                <w:rStyle w:val="Hipercze"/>
                <w:noProof/>
              </w:rPr>
              <w:t>(vi) Promowanie przejścia do gospodarki o obiegu zamkniętym, o efektywnym wykorzystaniu zasobów</w:t>
            </w:r>
            <w:r w:rsidR="007A5BF6">
              <w:rPr>
                <w:noProof/>
                <w:webHidden/>
              </w:rPr>
              <w:tab/>
            </w:r>
            <w:r w:rsidR="007A5BF6">
              <w:rPr>
                <w:noProof/>
                <w:webHidden/>
              </w:rPr>
              <w:fldChar w:fldCharType="begin"/>
            </w:r>
            <w:r w:rsidR="007A5BF6">
              <w:rPr>
                <w:noProof/>
                <w:webHidden/>
              </w:rPr>
              <w:instrText xml:space="preserve"> PAGEREF _Toc71036607 \h </w:instrText>
            </w:r>
            <w:r w:rsidR="007A5BF6">
              <w:rPr>
                <w:noProof/>
                <w:webHidden/>
              </w:rPr>
            </w:r>
            <w:r w:rsidR="007A5BF6">
              <w:rPr>
                <w:noProof/>
                <w:webHidden/>
              </w:rPr>
              <w:fldChar w:fldCharType="separate"/>
            </w:r>
            <w:r w:rsidR="007A5BF6">
              <w:rPr>
                <w:noProof/>
                <w:webHidden/>
              </w:rPr>
              <w:t>72</w:t>
            </w:r>
            <w:r w:rsidR="007A5BF6">
              <w:rPr>
                <w:noProof/>
                <w:webHidden/>
              </w:rPr>
              <w:fldChar w:fldCharType="end"/>
            </w:r>
          </w:hyperlink>
        </w:p>
        <w:p w14:paraId="4457F7BB" w14:textId="77777777" w:rsidR="007A5BF6" w:rsidRDefault="00ED61BA">
          <w:pPr>
            <w:pStyle w:val="Spistreci2"/>
            <w:tabs>
              <w:tab w:val="left" w:pos="1418"/>
            </w:tabs>
            <w:rPr>
              <w:rFonts w:eastAsiaTheme="minorEastAsia" w:cstheme="minorBidi"/>
              <w:b w:val="0"/>
              <w:bCs w:val="0"/>
              <w:noProof/>
              <w:sz w:val="22"/>
              <w:szCs w:val="22"/>
              <w:lang w:eastAsia="pl-PL"/>
            </w:rPr>
          </w:pPr>
          <w:hyperlink w:anchor="_Toc71036608" w:history="1">
            <w:r w:rsidR="007A5BF6" w:rsidRPr="007736E0">
              <w:rPr>
                <w:rStyle w:val="Hipercze"/>
                <w:noProof/>
              </w:rPr>
              <w:t>PO2-</w:t>
            </w:r>
            <w:r w:rsidR="007A5BF6">
              <w:rPr>
                <w:rFonts w:eastAsiaTheme="minorEastAsia" w:cstheme="minorBidi"/>
                <w:b w:val="0"/>
                <w:bCs w:val="0"/>
                <w:noProof/>
                <w:sz w:val="22"/>
                <w:szCs w:val="22"/>
                <w:lang w:eastAsia="pl-PL"/>
              </w:rPr>
              <w:tab/>
            </w:r>
            <w:r w:rsidR="007A5BF6" w:rsidRPr="007736E0">
              <w:rPr>
                <w:rStyle w:val="Hipercze"/>
                <w:noProof/>
              </w:rPr>
              <w:t>(vii) Wzmacnianie  ochrony i zachowania przyrody, różnorodności biologicznej i zielonej infrastruktury, w tym na obszarach miejskich, oraz ograniczenie wszelkich form zanieczyszczeń</w:t>
            </w:r>
            <w:r w:rsidR="007A5BF6">
              <w:rPr>
                <w:noProof/>
                <w:webHidden/>
              </w:rPr>
              <w:tab/>
            </w:r>
            <w:r w:rsidR="007A5BF6">
              <w:rPr>
                <w:noProof/>
                <w:webHidden/>
              </w:rPr>
              <w:fldChar w:fldCharType="begin"/>
            </w:r>
            <w:r w:rsidR="007A5BF6">
              <w:rPr>
                <w:noProof/>
                <w:webHidden/>
              </w:rPr>
              <w:instrText xml:space="preserve"> PAGEREF _Toc71036608 \h </w:instrText>
            </w:r>
            <w:r w:rsidR="007A5BF6">
              <w:rPr>
                <w:noProof/>
                <w:webHidden/>
              </w:rPr>
            </w:r>
            <w:r w:rsidR="007A5BF6">
              <w:rPr>
                <w:noProof/>
                <w:webHidden/>
              </w:rPr>
              <w:fldChar w:fldCharType="separate"/>
            </w:r>
            <w:r w:rsidR="007A5BF6">
              <w:rPr>
                <w:noProof/>
                <w:webHidden/>
              </w:rPr>
              <w:t>80</w:t>
            </w:r>
            <w:r w:rsidR="007A5BF6">
              <w:rPr>
                <w:noProof/>
                <w:webHidden/>
              </w:rPr>
              <w:fldChar w:fldCharType="end"/>
            </w:r>
          </w:hyperlink>
        </w:p>
        <w:p w14:paraId="7DC7997F" w14:textId="77777777" w:rsidR="007A5BF6" w:rsidRDefault="00ED61BA">
          <w:pPr>
            <w:pStyle w:val="Spistreci2"/>
            <w:tabs>
              <w:tab w:val="left" w:pos="1418"/>
            </w:tabs>
            <w:rPr>
              <w:rFonts w:eastAsiaTheme="minorEastAsia" w:cstheme="minorBidi"/>
              <w:b w:val="0"/>
              <w:bCs w:val="0"/>
              <w:noProof/>
              <w:sz w:val="22"/>
              <w:szCs w:val="22"/>
              <w:lang w:eastAsia="pl-PL"/>
            </w:rPr>
          </w:pPr>
          <w:hyperlink w:anchor="_Toc71036609" w:history="1">
            <w:r w:rsidR="007A5BF6" w:rsidRPr="007736E0">
              <w:rPr>
                <w:rStyle w:val="Hipercze"/>
                <w:noProof/>
              </w:rPr>
              <w:t>PO2-</w:t>
            </w:r>
            <w:r w:rsidR="007A5BF6">
              <w:rPr>
                <w:rFonts w:eastAsiaTheme="minorEastAsia" w:cstheme="minorBidi"/>
                <w:b w:val="0"/>
                <w:bCs w:val="0"/>
                <w:noProof/>
                <w:sz w:val="22"/>
                <w:szCs w:val="22"/>
                <w:lang w:eastAsia="pl-PL"/>
              </w:rPr>
              <w:tab/>
            </w:r>
            <w:r w:rsidR="007A5BF6" w:rsidRPr="007736E0">
              <w:rPr>
                <w:rStyle w:val="Hipercze"/>
                <w:noProof/>
              </w:rPr>
              <w:t>(viii) Promowanie zrównoważonej multimodalnej mobilności miejskiej jako elementu przejścia w kierunku gospodarki o zerowej emisji dwutlenku węgla netto</w:t>
            </w:r>
            <w:r w:rsidR="007A5BF6">
              <w:rPr>
                <w:noProof/>
                <w:webHidden/>
              </w:rPr>
              <w:tab/>
            </w:r>
            <w:r w:rsidR="007A5BF6">
              <w:rPr>
                <w:noProof/>
                <w:webHidden/>
              </w:rPr>
              <w:fldChar w:fldCharType="begin"/>
            </w:r>
            <w:r w:rsidR="007A5BF6">
              <w:rPr>
                <w:noProof/>
                <w:webHidden/>
              </w:rPr>
              <w:instrText xml:space="preserve"> PAGEREF _Toc71036609 \h </w:instrText>
            </w:r>
            <w:r w:rsidR="007A5BF6">
              <w:rPr>
                <w:noProof/>
                <w:webHidden/>
              </w:rPr>
            </w:r>
            <w:r w:rsidR="007A5BF6">
              <w:rPr>
                <w:noProof/>
                <w:webHidden/>
              </w:rPr>
              <w:fldChar w:fldCharType="separate"/>
            </w:r>
            <w:r w:rsidR="007A5BF6">
              <w:rPr>
                <w:noProof/>
                <w:webHidden/>
              </w:rPr>
              <w:t>87</w:t>
            </w:r>
            <w:r w:rsidR="007A5BF6">
              <w:rPr>
                <w:noProof/>
                <w:webHidden/>
              </w:rPr>
              <w:fldChar w:fldCharType="end"/>
            </w:r>
          </w:hyperlink>
        </w:p>
        <w:p w14:paraId="6D5891CC" w14:textId="77777777" w:rsidR="007A5BF6" w:rsidRDefault="00ED61BA">
          <w:pPr>
            <w:pStyle w:val="Spistreci2"/>
            <w:rPr>
              <w:rFonts w:eastAsiaTheme="minorEastAsia" w:cstheme="minorBidi"/>
              <w:b w:val="0"/>
              <w:bCs w:val="0"/>
              <w:noProof/>
              <w:sz w:val="22"/>
              <w:szCs w:val="22"/>
              <w:lang w:eastAsia="pl-PL"/>
            </w:rPr>
          </w:pPr>
          <w:hyperlink w:anchor="_Toc71036610" w:history="1">
            <w:r w:rsidR="007A5BF6" w:rsidRPr="007736E0">
              <w:rPr>
                <w:rStyle w:val="Hipercze"/>
                <w:noProof/>
              </w:rPr>
              <w:t>Priorytet 3: Współpraca na rzecz lepiej połączonej Europy Środkowej</w:t>
            </w:r>
            <w:r w:rsidR="007A5BF6">
              <w:rPr>
                <w:noProof/>
                <w:webHidden/>
              </w:rPr>
              <w:tab/>
            </w:r>
            <w:r w:rsidR="007A5BF6">
              <w:rPr>
                <w:noProof/>
                <w:webHidden/>
              </w:rPr>
              <w:fldChar w:fldCharType="begin"/>
            </w:r>
            <w:r w:rsidR="007A5BF6">
              <w:rPr>
                <w:noProof/>
                <w:webHidden/>
              </w:rPr>
              <w:instrText xml:space="preserve"> PAGEREF _Toc71036610 \h </w:instrText>
            </w:r>
            <w:r w:rsidR="007A5BF6">
              <w:rPr>
                <w:noProof/>
                <w:webHidden/>
              </w:rPr>
            </w:r>
            <w:r w:rsidR="007A5BF6">
              <w:rPr>
                <w:noProof/>
                <w:webHidden/>
              </w:rPr>
              <w:fldChar w:fldCharType="separate"/>
            </w:r>
            <w:r w:rsidR="007A5BF6">
              <w:rPr>
                <w:noProof/>
                <w:webHidden/>
              </w:rPr>
              <w:t>94</w:t>
            </w:r>
            <w:r w:rsidR="007A5BF6">
              <w:rPr>
                <w:noProof/>
                <w:webHidden/>
              </w:rPr>
              <w:fldChar w:fldCharType="end"/>
            </w:r>
          </w:hyperlink>
        </w:p>
        <w:p w14:paraId="79DE3844" w14:textId="77777777" w:rsidR="007A5BF6" w:rsidRDefault="00ED61BA">
          <w:pPr>
            <w:pStyle w:val="Spistreci2"/>
            <w:tabs>
              <w:tab w:val="left" w:pos="1418"/>
            </w:tabs>
            <w:rPr>
              <w:rFonts w:eastAsiaTheme="minorEastAsia" w:cstheme="minorBidi"/>
              <w:b w:val="0"/>
              <w:bCs w:val="0"/>
              <w:noProof/>
              <w:sz w:val="22"/>
              <w:szCs w:val="22"/>
              <w:lang w:eastAsia="pl-PL"/>
            </w:rPr>
          </w:pPr>
          <w:hyperlink w:anchor="_Toc71036611" w:history="1">
            <w:r w:rsidR="007A5BF6" w:rsidRPr="007736E0">
              <w:rPr>
                <w:rStyle w:val="Hipercze"/>
                <w:noProof/>
              </w:rPr>
              <w:t>PO3 -</w:t>
            </w:r>
            <w:r w:rsidR="007A5BF6">
              <w:rPr>
                <w:rFonts w:eastAsiaTheme="minorEastAsia" w:cstheme="minorBidi"/>
                <w:b w:val="0"/>
                <w:bCs w:val="0"/>
                <w:noProof/>
                <w:sz w:val="22"/>
                <w:szCs w:val="22"/>
                <w:lang w:eastAsia="pl-PL"/>
              </w:rPr>
              <w:tab/>
            </w:r>
            <w:r w:rsidR="007A5BF6" w:rsidRPr="007736E0">
              <w:rPr>
                <w:rStyle w:val="Hipercze"/>
                <w:noProof/>
              </w:rPr>
              <w:t>(ii)  Rozwój zrównoważonej, odpornej na zmiany klimatu, inteligentnej i intermodalnej mobilności na poziomie krajowym, regionalnym i lokalnym, w tym poprawa dostępności sieci TEN-T i mobilności transgranicznej</w:t>
            </w:r>
            <w:r w:rsidR="007A5BF6">
              <w:rPr>
                <w:noProof/>
                <w:webHidden/>
              </w:rPr>
              <w:tab/>
            </w:r>
            <w:r w:rsidR="007A5BF6">
              <w:rPr>
                <w:noProof/>
                <w:webHidden/>
              </w:rPr>
              <w:fldChar w:fldCharType="begin"/>
            </w:r>
            <w:r w:rsidR="007A5BF6">
              <w:rPr>
                <w:noProof/>
                <w:webHidden/>
              </w:rPr>
              <w:instrText xml:space="preserve"> PAGEREF _Toc71036611 \h </w:instrText>
            </w:r>
            <w:r w:rsidR="007A5BF6">
              <w:rPr>
                <w:noProof/>
                <w:webHidden/>
              </w:rPr>
            </w:r>
            <w:r w:rsidR="007A5BF6">
              <w:rPr>
                <w:noProof/>
                <w:webHidden/>
              </w:rPr>
              <w:fldChar w:fldCharType="separate"/>
            </w:r>
            <w:r w:rsidR="007A5BF6">
              <w:rPr>
                <w:noProof/>
                <w:webHidden/>
              </w:rPr>
              <w:t>94</w:t>
            </w:r>
            <w:r w:rsidR="007A5BF6">
              <w:rPr>
                <w:noProof/>
                <w:webHidden/>
              </w:rPr>
              <w:fldChar w:fldCharType="end"/>
            </w:r>
          </w:hyperlink>
        </w:p>
        <w:p w14:paraId="5D217DF7" w14:textId="77777777" w:rsidR="007A5BF6" w:rsidRDefault="00ED61BA">
          <w:pPr>
            <w:pStyle w:val="Spistreci2"/>
            <w:rPr>
              <w:rFonts w:eastAsiaTheme="minorEastAsia" w:cstheme="minorBidi"/>
              <w:b w:val="0"/>
              <w:bCs w:val="0"/>
              <w:noProof/>
              <w:sz w:val="22"/>
              <w:szCs w:val="22"/>
              <w:lang w:eastAsia="pl-PL"/>
            </w:rPr>
          </w:pPr>
          <w:hyperlink w:anchor="_Toc71036612" w:history="1">
            <w:r w:rsidR="007A5BF6" w:rsidRPr="007736E0">
              <w:rPr>
                <w:rStyle w:val="Hipercze"/>
                <w:noProof/>
              </w:rPr>
              <w:t>Priorytet 4: Poprawa systemu zarządzania współpracą w Europie Środkowej</w:t>
            </w:r>
            <w:r w:rsidR="007A5BF6">
              <w:rPr>
                <w:noProof/>
                <w:webHidden/>
              </w:rPr>
              <w:tab/>
            </w:r>
            <w:r w:rsidR="007A5BF6">
              <w:rPr>
                <w:noProof/>
                <w:webHidden/>
              </w:rPr>
              <w:fldChar w:fldCharType="begin"/>
            </w:r>
            <w:r w:rsidR="007A5BF6">
              <w:rPr>
                <w:noProof/>
                <w:webHidden/>
              </w:rPr>
              <w:instrText xml:space="preserve"> PAGEREF _Toc71036612 \h </w:instrText>
            </w:r>
            <w:r w:rsidR="007A5BF6">
              <w:rPr>
                <w:noProof/>
                <w:webHidden/>
              </w:rPr>
            </w:r>
            <w:r w:rsidR="007A5BF6">
              <w:rPr>
                <w:noProof/>
                <w:webHidden/>
              </w:rPr>
              <w:fldChar w:fldCharType="separate"/>
            </w:r>
            <w:r w:rsidR="007A5BF6">
              <w:rPr>
                <w:noProof/>
                <w:webHidden/>
              </w:rPr>
              <w:t>102</w:t>
            </w:r>
            <w:r w:rsidR="007A5BF6">
              <w:rPr>
                <w:noProof/>
                <w:webHidden/>
              </w:rPr>
              <w:fldChar w:fldCharType="end"/>
            </w:r>
          </w:hyperlink>
        </w:p>
        <w:p w14:paraId="68EA50E8" w14:textId="77777777" w:rsidR="007A5BF6" w:rsidRDefault="00ED61BA">
          <w:pPr>
            <w:pStyle w:val="Spistreci2"/>
            <w:rPr>
              <w:rFonts w:eastAsiaTheme="minorEastAsia" w:cstheme="minorBidi"/>
              <w:b w:val="0"/>
              <w:bCs w:val="0"/>
              <w:noProof/>
              <w:sz w:val="22"/>
              <w:szCs w:val="22"/>
              <w:lang w:eastAsia="pl-PL"/>
            </w:rPr>
          </w:pPr>
          <w:hyperlink w:anchor="_Toc71036613" w:history="1">
            <w:r w:rsidR="007A5BF6" w:rsidRPr="007736E0">
              <w:rPr>
                <w:rStyle w:val="Hipercze"/>
                <w:noProof/>
              </w:rPr>
              <w:t>ISO 1 - Lepsze zarządzanie współpracą</w:t>
            </w:r>
            <w:r w:rsidR="007A5BF6">
              <w:rPr>
                <w:noProof/>
                <w:webHidden/>
              </w:rPr>
              <w:tab/>
            </w:r>
            <w:r w:rsidR="007A5BF6">
              <w:rPr>
                <w:noProof/>
                <w:webHidden/>
              </w:rPr>
              <w:fldChar w:fldCharType="begin"/>
            </w:r>
            <w:r w:rsidR="007A5BF6">
              <w:rPr>
                <w:noProof/>
                <w:webHidden/>
              </w:rPr>
              <w:instrText xml:space="preserve"> PAGEREF _Toc71036613 \h </w:instrText>
            </w:r>
            <w:r w:rsidR="007A5BF6">
              <w:rPr>
                <w:noProof/>
                <w:webHidden/>
              </w:rPr>
            </w:r>
            <w:r w:rsidR="007A5BF6">
              <w:rPr>
                <w:noProof/>
                <w:webHidden/>
              </w:rPr>
              <w:fldChar w:fldCharType="separate"/>
            </w:r>
            <w:r w:rsidR="007A5BF6">
              <w:rPr>
                <w:noProof/>
                <w:webHidden/>
              </w:rPr>
              <w:t>102</w:t>
            </w:r>
            <w:r w:rsidR="007A5BF6">
              <w:rPr>
                <w:noProof/>
                <w:webHidden/>
              </w:rPr>
              <w:fldChar w:fldCharType="end"/>
            </w:r>
          </w:hyperlink>
        </w:p>
        <w:p w14:paraId="002ECEDE" w14:textId="77777777" w:rsidR="007A5BF6" w:rsidRDefault="00ED61BA">
          <w:pPr>
            <w:pStyle w:val="Spistreci2"/>
            <w:rPr>
              <w:rFonts w:eastAsiaTheme="minorEastAsia" w:cstheme="minorBidi"/>
              <w:b w:val="0"/>
              <w:bCs w:val="0"/>
              <w:noProof/>
              <w:sz w:val="22"/>
              <w:szCs w:val="22"/>
              <w:lang w:eastAsia="pl-PL"/>
            </w:rPr>
          </w:pPr>
          <w:hyperlink w:anchor="_Toc71036614" w:history="1">
            <w:r w:rsidR="007A5BF6" w:rsidRPr="007736E0">
              <w:rPr>
                <w:rStyle w:val="Hipercze"/>
                <w:noProof/>
              </w:rPr>
              <w:t>3. Plan finansowy</w:t>
            </w:r>
            <w:r w:rsidR="007A5BF6">
              <w:rPr>
                <w:noProof/>
                <w:webHidden/>
              </w:rPr>
              <w:tab/>
            </w:r>
            <w:r w:rsidR="007A5BF6">
              <w:rPr>
                <w:noProof/>
                <w:webHidden/>
              </w:rPr>
              <w:fldChar w:fldCharType="begin"/>
            </w:r>
            <w:r w:rsidR="007A5BF6">
              <w:rPr>
                <w:noProof/>
                <w:webHidden/>
              </w:rPr>
              <w:instrText xml:space="preserve"> PAGEREF _Toc71036614 \h </w:instrText>
            </w:r>
            <w:r w:rsidR="007A5BF6">
              <w:rPr>
                <w:noProof/>
                <w:webHidden/>
              </w:rPr>
            </w:r>
            <w:r w:rsidR="007A5BF6">
              <w:rPr>
                <w:noProof/>
                <w:webHidden/>
              </w:rPr>
              <w:fldChar w:fldCharType="separate"/>
            </w:r>
            <w:r w:rsidR="007A5BF6">
              <w:rPr>
                <w:noProof/>
                <w:webHidden/>
              </w:rPr>
              <w:t>109</w:t>
            </w:r>
            <w:r w:rsidR="007A5BF6">
              <w:rPr>
                <w:noProof/>
                <w:webHidden/>
              </w:rPr>
              <w:fldChar w:fldCharType="end"/>
            </w:r>
          </w:hyperlink>
        </w:p>
        <w:p w14:paraId="1EC2D46C" w14:textId="77777777" w:rsidR="007A5BF6" w:rsidRDefault="00ED61BA">
          <w:pPr>
            <w:pStyle w:val="Spistreci2"/>
            <w:rPr>
              <w:rFonts w:eastAsiaTheme="minorEastAsia" w:cstheme="minorBidi"/>
              <w:b w:val="0"/>
              <w:bCs w:val="0"/>
              <w:noProof/>
              <w:sz w:val="22"/>
              <w:szCs w:val="22"/>
              <w:lang w:eastAsia="pl-PL"/>
            </w:rPr>
          </w:pPr>
          <w:hyperlink w:anchor="_Toc71036615" w:history="1">
            <w:r w:rsidR="007A5BF6" w:rsidRPr="007736E0">
              <w:rPr>
                <w:rStyle w:val="Hipercze"/>
                <w:noProof/>
              </w:rPr>
              <w:t>4. Działania podejmowane w celu zaangażowania właściwych partnerów programu w przygotowanie programu Interreg i rola takich partnerów programu w realizacji, monitorowaniu i ocenie</w:t>
            </w:r>
            <w:r w:rsidR="007A5BF6">
              <w:rPr>
                <w:noProof/>
                <w:webHidden/>
              </w:rPr>
              <w:tab/>
            </w:r>
            <w:r w:rsidR="007A5BF6">
              <w:rPr>
                <w:noProof/>
                <w:webHidden/>
              </w:rPr>
              <w:fldChar w:fldCharType="begin"/>
            </w:r>
            <w:r w:rsidR="007A5BF6">
              <w:rPr>
                <w:noProof/>
                <w:webHidden/>
              </w:rPr>
              <w:instrText xml:space="preserve"> PAGEREF _Toc71036615 \h </w:instrText>
            </w:r>
            <w:r w:rsidR="007A5BF6">
              <w:rPr>
                <w:noProof/>
                <w:webHidden/>
              </w:rPr>
            </w:r>
            <w:r w:rsidR="007A5BF6">
              <w:rPr>
                <w:noProof/>
                <w:webHidden/>
              </w:rPr>
              <w:fldChar w:fldCharType="separate"/>
            </w:r>
            <w:r w:rsidR="007A5BF6">
              <w:rPr>
                <w:noProof/>
                <w:webHidden/>
              </w:rPr>
              <w:t>112</w:t>
            </w:r>
            <w:r w:rsidR="007A5BF6">
              <w:rPr>
                <w:noProof/>
                <w:webHidden/>
              </w:rPr>
              <w:fldChar w:fldCharType="end"/>
            </w:r>
          </w:hyperlink>
        </w:p>
        <w:p w14:paraId="335BE870" w14:textId="77777777" w:rsidR="007A5BF6" w:rsidRDefault="00ED61BA">
          <w:pPr>
            <w:pStyle w:val="Spistreci2"/>
            <w:rPr>
              <w:rFonts w:eastAsiaTheme="minorEastAsia" w:cstheme="minorBidi"/>
              <w:b w:val="0"/>
              <w:bCs w:val="0"/>
              <w:noProof/>
              <w:sz w:val="22"/>
              <w:szCs w:val="22"/>
              <w:lang w:eastAsia="pl-PL"/>
            </w:rPr>
          </w:pPr>
          <w:hyperlink w:anchor="_Toc71036616" w:history="1">
            <w:r w:rsidR="007A5BF6" w:rsidRPr="007736E0">
              <w:rPr>
                <w:rStyle w:val="Hipercze"/>
                <w:noProof/>
              </w:rPr>
              <w:t>5. Sposób podejścia do komunikacji i widoczności programu Interreg (celów, docelowych odbiorców, kanałów komunikacji, w tym zasięgu kampanii w mediach społecznościowych, jeżeli odpowiednie, planowy budżet i właściwe wskaźniki monitorowania i oceny)</w:t>
            </w:r>
            <w:r w:rsidR="007A5BF6">
              <w:rPr>
                <w:noProof/>
                <w:webHidden/>
              </w:rPr>
              <w:tab/>
            </w:r>
            <w:r w:rsidR="007A5BF6">
              <w:rPr>
                <w:noProof/>
                <w:webHidden/>
              </w:rPr>
              <w:fldChar w:fldCharType="begin"/>
            </w:r>
            <w:r w:rsidR="007A5BF6">
              <w:rPr>
                <w:noProof/>
                <w:webHidden/>
              </w:rPr>
              <w:instrText xml:space="preserve"> PAGEREF _Toc71036616 \h </w:instrText>
            </w:r>
            <w:r w:rsidR="007A5BF6">
              <w:rPr>
                <w:noProof/>
                <w:webHidden/>
              </w:rPr>
            </w:r>
            <w:r w:rsidR="007A5BF6">
              <w:rPr>
                <w:noProof/>
                <w:webHidden/>
              </w:rPr>
              <w:fldChar w:fldCharType="separate"/>
            </w:r>
            <w:r w:rsidR="007A5BF6">
              <w:rPr>
                <w:noProof/>
                <w:webHidden/>
              </w:rPr>
              <w:t>116</w:t>
            </w:r>
            <w:r w:rsidR="007A5BF6">
              <w:rPr>
                <w:noProof/>
                <w:webHidden/>
              </w:rPr>
              <w:fldChar w:fldCharType="end"/>
            </w:r>
          </w:hyperlink>
        </w:p>
        <w:p w14:paraId="67F0D133" w14:textId="77777777" w:rsidR="007A5BF6" w:rsidRDefault="00ED61BA">
          <w:pPr>
            <w:pStyle w:val="Spistreci2"/>
            <w:rPr>
              <w:rFonts w:eastAsiaTheme="minorEastAsia" w:cstheme="minorBidi"/>
              <w:b w:val="0"/>
              <w:bCs w:val="0"/>
              <w:noProof/>
              <w:sz w:val="22"/>
              <w:szCs w:val="22"/>
              <w:lang w:eastAsia="pl-PL"/>
            </w:rPr>
          </w:pPr>
          <w:hyperlink w:anchor="_Toc71036617" w:history="1">
            <w:r w:rsidR="007A5BF6" w:rsidRPr="007736E0">
              <w:rPr>
                <w:rStyle w:val="Hipercze"/>
                <w:noProof/>
              </w:rPr>
              <w:t>6. Wskazanie wsparcia dla projektów na małą skalę, w tym małych projektów w ramach funduszy małych projektów</w:t>
            </w:r>
            <w:r w:rsidR="007A5BF6">
              <w:rPr>
                <w:noProof/>
                <w:webHidden/>
              </w:rPr>
              <w:tab/>
            </w:r>
            <w:r w:rsidR="007A5BF6">
              <w:rPr>
                <w:noProof/>
                <w:webHidden/>
              </w:rPr>
              <w:fldChar w:fldCharType="begin"/>
            </w:r>
            <w:r w:rsidR="007A5BF6">
              <w:rPr>
                <w:noProof/>
                <w:webHidden/>
              </w:rPr>
              <w:instrText xml:space="preserve"> PAGEREF _Toc71036617 \h </w:instrText>
            </w:r>
            <w:r w:rsidR="007A5BF6">
              <w:rPr>
                <w:noProof/>
                <w:webHidden/>
              </w:rPr>
            </w:r>
            <w:r w:rsidR="007A5BF6">
              <w:rPr>
                <w:noProof/>
                <w:webHidden/>
              </w:rPr>
              <w:fldChar w:fldCharType="separate"/>
            </w:r>
            <w:r w:rsidR="007A5BF6">
              <w:rPr>
                <w:noProof/>
                <w:webHidden/>
              </w:rPr>
              <w:t>119</w:t>
            </w:r>
            <w:r w:rsidR="007A5BF6">
              <w:rPr>
                <w:noProof/>
                <w:webHidden/>
              </w:rPr>
              <w:fldChar w:fldCharType="end"/>
            </w:r>
          </w:hyperlink>
        </w:p>
        <w:p w14:paraId="1C967A6E" w14:textId="77777777" w:rsidR="007A5BF6" w:rsidRDefault="00ED61BA">
          <w:pPr>
            <w:pStyle w:val="Spistreci2"/>
            <w:rPr>
              <w:rFonts w:eastAsiaTheme="minorEastAsia" w:cstheme="minorBidi"/>
              <w:b w:val="0"/>
              <w:bCs w:val="0"/>
              <w:noProof/>
              <w:sz w:val="22"/>
              <w:szCs w:val="22"/>
              <w:lang w:eastAsia="pl-PL"/>
            </w:rPr>
          </w:pPr>
          <w:hyperlink w:anchor="_Toc71036618" w:history="1">
            <w:r w:rsidR="007A5BF6" w:rsidRPr="007736E0">
              <w:rPr>
                <w:rStyle w:val="Hipercze"/>
                <w:noProof/>
              </w:rPr>
              <w:t>7. Przepisy wykonawcze</w:t>
            </w:r>
            <w:r w:rsidR="007A5BF6">
              <w:rPr>
                <w:noProof/>
                <w:webHidden/>
              </w:rPr>
              <w:tab/>
            </w:r>
            <w:r w:rsidR="007A5BF6">
              <w:rPr>
                <w:noProof/>
                <w:webHidden/>
              </w:rPr>
              <w:fldChar w:fldCharType="begin"/>
            </w:r>
            <w:r w:rsidR="007A5BF6">
              <w:rPr>
                <w:noProof/>
                <w:webHidden/>
              </w:rPr>
              <w:instrText xml:space="preserve"> PAGEREF _Toc71036618 \h </w:instrText>
            </w:r>
            <w:r w:rsidR="007A5BF6">
              <w:rPr>
                <w:noProof/>
                <w:webHidden/>
              </w:rPr>
            </w:r>
            <w:r w:rsidR="007A5BF6">
              <w:rPr>
                <w:noProof/>
                <w:webHidden/>
              </w:rPr>
              <w:fldChar w:fldCharType="separate"/>
            </w:r>
            <w:r w:rsidR="007A5BF6">
              <w:rPr>
                <w:noProof/>
                <w:webHidden/>
              </w:rPr>
              <w:t>120</w:t>
            </w:r>
            <w:r w:rsidR="007A5BF6">
              <w:rPr>
                <w:noProof/>
                <w:webHidden/>
              </w:rPr>
              <w:fldChar w:fldCharType="end"/>
            </w:r>
          </w:hyperlink>
        </w:p>
        <w:p w14:paraId="53E38CD3" w14:textId="77777777" w:rsidR="007A5BF6" w:rsidRDefault="00ED61BA">
          <w:pPr>
            <w:pStyle w:val="Spistreci2"/>
            <w:rPr>
              <w:rFonts w:eastAsiaTheme="minorEastAsia" w:cstheme="minorBidi"/>
              <w:b w:val="0"/>
              <w:bCs w:val="0"/>
              <w:noProof/>
              <w:sz w:val="22"/>
              <w:szCs w:val="22"/>
              <w:lang w:eastAsia="pl-PL"/>
            </w:rPr>
          </w:pPr>
          <w:hyperlink w:anchor="_Toc71036619" w:history="1">
            <w:r w:rsidR="007A5BF6" w:rsidRPr="007736E0">
              <w:rPr>
                <w:rStyle w:val="Hipercze"/>
                <w:noProof/>
              </w:rPr>
              <w:t>7.1. Instytucje programu</w:t>
            </w:r>
            <w:r w:rsidR="007A5BF6">
              <w:rPr>
                <w:noProof/>
                <w:webHidden/>
              </w:rPr>
              <w:tab/>
            </w:r>
            <w:r w:rsidR="007A5BF6">
              <w:rPr>
                <w:noProof/>
                <w:webHidden/>
              </w:rPr>
              <w:fldChar w:fldCharType="begin"/>
            </w:r>
            <w:r w:rsidR="007A5BF6">
              <w:rPr>
                <w:noProof/>
                <w:webHidden/>
              </w:rPr>
              <w:instrText xml:space="preserve"> PAGEREF _Toc71036619 \h </w:instrText>
            </w:r>
            <w:r w:rsidR="007A5BF6">
              <w:rPr>
                <w:noProof/>
                <w:webHidden/>
              </w:rPr>
            </w:r>
            <w:r w:rsidR="007A5BF6">
              <w:rPr>
                <w:noProof/>
                <w:webHidden/>
              </w:rPr>
              <w:fldChar w:fldCharType="separate"/>
            </w:r>
            <w:r w:rsidR="007A5BF6">
              <w:rPr>
                <w:noProof/>
                <w:webHidden/>
              </w:rPr>
              <w:t>120</w:t>
            </w:r>
            <w:r w:rsidR="007A5BF6">
              <w:rPr>
                <w:noProof/>
                <w:webHidden/>
              </w:rPr>
              <w:fldChar w:fldCharType="end"/>
            </w:r>
          </w:hyperlink>
        </w:p>
        <w:p w14:paraId="5B9E63B3" w14:textId="77777777" w:rsidR="007A5BF6" w:rsidRDefault="00ED61BA">
          <w:pPr>
            <w:pStyle w:val="Spistreci2"/>
            <w:rPr>
              <w:rFonts w:eastAsiaTheme="minorEastAsia" w:cstheme="minorBidi"/>
              <w:b w:val="0"/>
              <w:bCs w:val="0"/>
              <w:noProof/>
              <w:sz w:val="22"/>
              <w:szCs w:val="22"/>
              <w:lang w:eastAsia="pl-PL"/>
            </w:rPr>
          </w:pPr>
          <w:hyperlink w:anchor="_Toc71036620" w:history="1">
            <w:r w:rsidR="007A5BF6" w:rsidRPr="007736E0">
              <w:rPr>
                <w:rStyle w:val="Hipercze"/>
                <w:noProof/>
              </w:rPr>
              <w:t>7.2. Procedura utworzenia wspólnego sekretariatu</w:t>
            </w:r>
            <w:r w:rsidR="007A5BF6">
              <w:rPr>
                <w:noProof/>
                <w:webHidden/>
              </w:rPr>
              <w:tab/>
            </w:r>
            <w:r w:rsidR="007A5BF6">
              <w:rPr>
                <w:noProof/>
                <w:webHidden/>
              </w:rPr>
              <w:fldChar w:fldCharType="begin"/>
            </w:r>
            <w:r w:rsidR="007A5BF6">
              <w:rPr>
                <w:noProof/>
                <w:webHidden/>
              </w:rPr>
              <w:instrText xml:space="preserve"> PAGEREF _Toc71036620 \h </w:instrText>
            </w:r>
            <w:r w:rsidR="007A5BF6">
              <w:rPr>
                <w:noProof/>
                <w:webHidden/>
              </w:rPr>
            </w:r>
            <w:r w:rsidR="007A5BF6">
              <w:rPr>
                <w:noProof/>
                <w:webHidden/>
              </w:rPr>
              <w:fldChar w:fldCharType="separate"/>
            </w:r>
            <w:r w:rsidR="007A5BF6">
              <w:rPr>
                <w:noProof/>
                <w:webHidden/>
              </w:rPr>
              <w:t>120</w:t>
            </w:r>
            <w:r w:rsidR="007A5BF6">
              <w:rPr>
                <w:noProof/>
                <w:webHidden/>
              </w:rPr>
              <w:fldChar w:fldCharType="end"/>
            </w:r>
          </w:hyperlink>
        </w:p>
        <w:p w14:paraId="6663BD31" w14:textId="77777777" w:rsidR="007A5BF6" w:rsidRDefault="00ED61BA">
          <w:pPr>
            <w:pStyle w:val="Spistreci2"/>
            <w:rPr>
              <w:rFonts w:eastAsiaTheme="minorEastAsia" w:cstheme="minorBidi"/>
              <w:b w:val="0"/>
              <w:bCs w:val="0"/>
              <w:noProof/>
              <w:sz w:val="22"/>
              <w:szCs w:val="22"/>
              <w:lang w:eastAsia="pl-PL"/>
            </w:rPr>
          </w:pPr>
          <w:hyperlink w:anchor="_Toc71036621" w:history="1">
            <w:r w:rsidR="007A5BF6" w:rsidRPr="007736E0">
              <w:rPr>
                <w:rStyle w:val="Hipercze"/>
                <w:noProof/>
              </w:rPr>
              <w:t>7.3. Podział odpowiedzialności między zaangażowane państwa członkowskie i odpowiednio państwa trzecie i KTZ na wypadek korekt finansowych nakładanych przez instytucję zarządzającą lub Komisję</w:t>
            </w:r>
            <w:r w:rsidR="007A5BF6">
              <w:rPr>
                <w:noProof/>
                <w:webHidden/>
              </w:rPr>
              <w:tab/>
            </w:r>
            <w:r w:rsidR="007A5BF6">
              <w:rPr>
                <w:noProof/>
                <w:webHidden/>
              </w:rPr>
              <w:fldChar w:fldCharType="begin"/>
            </w:r>
            <w:r w:rsidR="007A5BF6">
              <w:rPr>
                <w:noProof/>
                <w:webHidden/>
              </w:rPr>
              <w:instrText xml:space="preserve"> PAGEREF _Toc71036621 \h </w:instrText>
            </w:r>
            <w:r w:rsidR="007A5BF6">
              <w:rPr>
                <w:noProof/>
                <w:webHidden/>
              </w:rPr>
            </w:r>
            <w:r w:rsidR="007A5BF6">
              <w:rPr>
                <w:noProof/>
                <w:webHidden/>
              </w:rPr>
              <w:fldChar w:fldCharType="separate"/>
            </w:r>
            <w:r w:rsidR="007A5BF6">
              <w:rPr>
                <w:noProof/>
                <w:webHidden/>
              </w:rPr>
              <w:t>121</w:t>
            </w:r>
            <w:r w:rsidR="007A5BF6">
              <w:rPr>
                <w:noProof/>
                <w:webHidden/>
              </w:rPr>
              <w:fldChar w:fldCharType="end"/>
            </w:r>
          </w:hyperlink>
        </w:p>
        <w:p w14:paraId="1B5DE19C" w14:textId="77777777" w:rsidR="007A5BF6" w:rsidRDefault="00ED61BA">
          <w:pPr>
            <w:pStyle w:val="Spistreci2"/>
            <w:rPr>
              <w:rFonts w:eastAsiaTheme="minorEastAsia" w:cstheme="minorBidi"/>
              <w:b w:val="0"/>
              <w:bCs w:val="0"/>
              <w:noProof/>
              <w:sz w:val="22"/>
              <w:szCs w:val="22"/>
              <w:lang w:eastAsia="pl-PL"/>
            </w:rPr>
          </w:pPr>
          <w:hyperlink w:anchor="_Toc71036622" w:history="1">
            <w:r w:rsidR="007A5BF6" w:rsidRPr="007736E0">
              <w:rPr>
                <w:rStyle w:val="Hipercze"/>
                <w:noProof/>
              </w:rPr>
              <w:t>8. Stosowanie kosztów jednostkowych, kwot ryczałtowych, stawek stałych i środków finansowych, z wyłączeniem kosztów</w:t>
            </w:r>
            <w:r w:rsidR="007A5BF6">
              <w:rPr>
                <w:noProof/>
                <w:webHidden/>
              </w:rPr>
              <w:tab/>
            </w:r>
            <w:r w:rsidR="007A5BF6">
              <w:rPr>
                <w:noProof/>
                <w:webHidden/>
              </w:rPr>
              <w:fldChar w:fldCharType="begin"/>
            </w:r>
            <w:r w:rsidR="007A5BF6">
              <w:rPr>
                <w:noProof/>
                <w:webHidden/>
              </w:rPr>
              <w:instrText xml:space="preserve"> PAGEREF _Toc71036622 \h </w:instrText>
            </w:r>
            <w:r w:rsidR="007A5BF6">
              <w:rPr>
                <w:noProof/>
                <w:webHidden/>
              </w:rPr>
            </w:r>
            <w:r w:rsidR="007A5BF6">
              <w:rPr>
                <w:noProof/>
                <w:webHidden/>
              </w:rPr>
              <w:fldChar w:fldCharType="separate"/>
            </w:r>
            <w:r w:rsidR="007A5BF6">
              <w:rPr>
                <w:noProof/>
                <w:webHidden/>
              </w:rPr>
              <w:t>124</w:t>
            </w:r>
            <w:r w:rsidR="007A5BF6">
              <w:rPr>
                <w:noProof/>
                <w:webHidden/>
              </w:rPr>
              <w:fldChar w:fldCharType="end"/>
            </w:r>
          </w:hyperlink>
        </w:p>
        <w:p w14:paraId="7BA4EB38" w14:textId="77777777" w:rsidR="007A5BF6" w:rsidRDefault="00ED61BA">
          <w:pPr>
            <w:pStyle w:val="Spistreci2"/>
            <w:rPr>
              <w:rFonts w:eastAsiaTheme="minorEastAsia" w:cstheme="minorBidi"/>
              <w:b w:val="0"/>
              <w:bCs w:val="0"/>
              <w:noProof/>
              <w:sz w:val="22"/>
              <w:szCs w:val="22"/>
              <w:lang w:eastAsia="pl-PL"/>
            </w:rPr>
          </w:pPr>
          <w:hyperlink w:anchor="_Toc71036623" w:history="1">
            <w:r w:rsidR="007A5BF6" w:rsidRPr="007736E0">
              <w:rPr>
                <w:rStyle w:val="Hipercze"/>
                <w:noProof/>
              </w:rPr>
              <w:t>ZAŁĄCZNIKI</w:t>
            </w:r>
            <w:r w:rsidR="007A5BF6">
              <w:rPr>
                <w:noProof/>
                <w:webHidden/>
              </w:rPr>
              <w:tab/>
            </w:r>
            <w:r w:rsidR="007A5BF6">
              <w:rPr>
                <w:noProof/>
                <w:webHidden/>
              </w:rPr>
              <w:fldChar w:fldCharType="begin"/>
            </w:r>
            <w:r w:rsidR="007A5BF6">
              <w:rPr>
                <w:noProof/>
                <w:webHidden/>
              </w:rPr>
              <w:instrText xml:space="preserve"> PAGEREF _Toc71036623 \h </w:instrText>
            </w:r>
            <w:r w:rsidR="007A5BF6">
              <w:rPr>
                <w:noProof/>
                <w:webHidden/>
              </w:rPr>
            </w:r>
            <w:r w:rsidR="007A5BF6">
              <w:rPr>
                <w:noProof/>
                <w:webHidden/>
              </w:rPr>
              <w:fldChar w:fldCharType="separate"/>
            </w:r>
            <w:r w:rsidR="007A5BF6">
              <w:rPr>
                <w:noProof/>
                <w:webHidden/>
              </w:rPr>
              <w:t>125</w:t>
            </w:r>
            <w:r w:rsidR="007A5BF6">
              <w:rPr>
                <w:noProof/>
                <w:webHidden/>
              </w:rPr>
              <w:fldChar w:fldCharType="end"/>
            </w:r>
          </w:hyperlink>
        </w:p>
        <w:p w14:paraId="40813142" w14:textId="028C7FD9" w:rsidR="00646F95" w:rsidRDefault="00646F95" w:rsidP="00646F95">
          <w:pPr>
            <w:ind w:left="0"/>
          </w:pPr>
          <w:r>
            <w:rPr>
              <w:b/>
            </w:rPr>
            <w:fldChar w:fldCharType="end"/>
          </w:r>
        </w:p>
      </w:sdtContent>
    </w:sdt>
    <w:p w14:paraId="0E55A010" w14:textId="77777777" w:rsidR="000C1289" w:rsidRDefault="000C1289" w:rsidP="008727F2">
      <w:pPr>
        <w:spacing w:before="240" w:after="240" w:line="240" w:lineRule="auto"/>
        <w:ind w:left="0"/>
        <w:rPr>
          <w:rFonts w:asciiTheme="minorHAnsi" w:hAnsiTheme="minorHAnsi"/>
          <w:b/>
          <w:sz w:val="24"/>
          <w:szCs w:val="24"/>
        </w:rPr>
      </w:pPr>
    </w:p>
    <w:p w14:paraId="59E96E33" w14:textId="77777777" w:rsidR="008727F2" w:rsidRDefault="008727F2">
      <w:pPr>
        <w:spacing w:before="0" w:line="240" w:lineRule="auto"/>
        <w:ind w:left="0" w:right="0"/>
        <w:jc w:val="left"/>
        <w:rPr>
          <w:rFonts w:asciiTheme="minorHAnsi" w:hAnsiTheme="minorHAnsi"/>
          <w:b/>
          <w:sz w:val="24"/>
          <w:szCs w:val="24"/>
        </w:rPr>
      </w:pPr>
      <w:r>
        <w:br w:type="page"/>
      </w:r>
    </w:p>
    <w:p w14:paraId="6B3590FD" w14:textId="67AA3D54" w:rsidR="008727F2" w:rsidRPr="00D80606" w:rsidRDefault="00F70089" w:rsidP="005A23E6">
      <w:pPr>
        <w:pStyle w:val="CE-Headline1"/>
      </w:pPr>
      <w:bookmarkStart w:id="12" w:name="_Toc71036584"/>
      <w:r w:rsidRPr="00D80606">
        <w:lastRenderedPageBreak/>
        <w:t>Strategia wspólnego programu: główne wyzwania rozwojowe i działania polityki</w:t>
      </w:r>
      <w:bookmarkEnd w:id="12"/>
    </w:p>
    <w:p w14:paraId="01081A6C" w14:textId="77777777" w:rsidR="008727F2" w:rsidRPr="00D80606" w:rsidRDefault="008727F2" w:rsidP="00173920">
      <w:pPr>
        <w:pStyle w:val="CE-Headline2"/>
      </w:pPr>
      <w:bookmarkStart w:id="13" w:name="_Toc71036585"/>
      <w:r w:rsidRPr="00D80606">
        <w:t>Obszar objęty programem (nie jest wymagany dla programów Interreg C)</w:t>
      </w:r>
      <w:bookmarkEnd w:id="13"/>
    </w:p>
    <w:p w14:paraId="2EEA52EA" w14:textId="77777777" w:rsidR="008727F2" w:rsidRPr="00D80606" w:rsidRDefault="008727F2" w:rsidP="005C009E">
      <w:pPr>
        <w:ind w:left="0"/>
        <w:rPr>
          <w:rFonts w:asciiTheme="minorHAnsi" w:hAnsiTheme="minorHAnsi"/>
          <w:color w:val="000000"/>
        </w:rPr>
      </w:pPr>
      <w:r w:rsidRPr="00D80606">
        <w:rPr>
          <w:rFonts w:asciiTheme="minorHAnsi" w:hAnsiTheme="minorHAnsi"/>
          <w:color w:val="000000"/>
        </w:rPr>
        <w:t>Podstawa: art. 17 ust. 4 lit. a, art. 17 ust. 9 lit. a</w:t>
      </w:r>
    </w:p>
    <w:p w14:paraId="6E7B9EE4" w14:textId="77777777" w:rsidR="008727F2" w:rsidRPr="00D80606" w:rsidRDefault="008727F2" w:rsidP="005C009E">
      <w:pPr>
        <w:ind w:left="0"/>
        <w:rPr>
          <w:rFonts w:asciiTheme="minorHAnsi" w:hAnsiTheme="minorHAnsi"/>
        </w:rPr>
      </w:pPr>
      <w:r w:rsidRPr="00D80606">
        <w:rPr>
          <w:rFonts w:asciiTheme="minorHAnsi" w:hAnsiTheme="minorHAnsi"/>
        </w:rPr>
        <w:t>Pole tekstowe [2 000]</w:t>
      </w: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12"/>
      </w:tblGrid>
      <w:tr w:rsidR="008727F2" w:rsidRPr="00701BCE" w14:paraId="14FEABCF" w14:textId="77777777" w:rsidTr="00534603">
        <w:tc>
          <w:tcPr>
            <w:tcW w:w="9212" w:type="dxa"/>
            <w:shd w:val="clear" w:color="auto" w:fill="auto"/>
          </w:tcPr>
          <w:p w14:paraId="6F38DDB9" w14:textId="1C9E6C01" w:rsidR="00534603" w:rsidRPr="00D80606" w:rsidRDefault="00534603" w:rsidP="00701BCE">
            <w:pPr>
              <w:pBdr>
                <w:top w:val="nil"/>
                <w:left w:val="nil"/>
                <w:bottom w:val="nil"/>
                <w:right w:val="nil"/>
                <w:between w:val="nil"/>
              </w:pBdr>
              <w:ind w:left="22" w:right="0"/>
              <w:rPr>
                <w:rFonts w:asciiTheme="minorHAnsi" w:eastAsia="Arial" w:hAnsiTheme="minorHAnsi" w:cs="Arial"/>
                <w:color w:val="000000"/>
                <w:sz w:val="24"/>
                <w:szCs w:val="24"/>
              </w:rPr>
            </w:pPr>
            <w:r w:rsidRPr="00D80606">
              <w:rPr>
                <w:rFonts w:asciiTheme="minorHAnsi" w:hAnsiTheme="minorHAnsi"/>
                <w:color w:val="000000"/>
                <w:sz w:val="24"/>
                <w:szCs w:val="24"/>
              </w:rPr>
              <w:t>W skład obszaru objętego programem Interreg EUROPA ŚRODKOWA wchodzi dziewięć państw członkowskich. Obejmuje on wszystkie regiony Austrii, Chorwacji, Czech, Polski, Słowacji</w:t>
            </w:r>
            <w:r w:rsidR="0088132A" w:rsidRPr="00D80606">
              <w:rPr>
                <w:rFonts w:asciiTheme="minorHAnsi" w:hAnsiTheme="minorHAnsi"/>
                <w:color w:val="000000"/>
                <w:sz w:val="24"/>
                <w:szCs w:val="24"/>
              </w:rPr>
              <w:t>,</w:t>
            </w:r>
            <w:r w:rsidR="001172FB">
              <w:rPr>
                <w:rFonts w:asciiTheme="minorHAnsi" w:hAnsiTheme="minorHAnsi"/>
                <w:color w:val="000000"/>
                <w:sz w:val="24"/>
                <w:szCs w:val="24"/>
              </w:rPr>
              <w:t xml:space="preserve"> </w:t>
            </w:r>
            <w:r w:rsidRPr="00D80606">
              <w:rPr>
                <w:rFonts w:asciiTheme="minorHAnsi" w:hAnsiTheme="minorHAnsi"/>
                <w:color w:val="000000"/>
                <w:sz w:val="24"/>
                <w:szCs w:val="24"/>
              </w:rPr>
              <w:t>Słowenii</w:t>
            </w:r>
            <w:r w:rsidR="0088132A" w:rsidRPr="00D80606">
              <w:rPr>
                <w:rFonts w:asciiTheme="minorHAnsi" w:hAnsiTheme="minorHAnsi"/>
                <w:color w:val="000000"/>
                <w:sz w:val="24"/>
                <w:szCs w:val="24"/>
              </w:rPr>
              <w:t xml:space="preserve"> i Węgier</w:t>
            </w:r>
            <w:r w:rsidRPr="00D80606">
              <w:rPr>
                <w:rFonts w:asciiTheme="minorHAnsi" w:hAnsiTheme="minorHAnsi"/>
                <w:color w:val="000000"/>
                <w:sz w:val="24"/>
                <w:szCs w:val="24"/>
              </w:rPr>
              <w:t xml:space="preserve"> oraz wybrane regiony Niemiec i Włoch. W programie uczestniczą niemieckie kraje związkowe: Badenia-Wirtembergia, Bayern, Berlin, Brandenburgia, Meklemburgia-Pomorze Przednie, Saksonia, Saksonia-Anhalt, Turyngia oraz region Braunschweig w Dolnej Saksonii. Włoskie regiony uczestniczące to: Piemont, Dolina Aosty, Liguria, Lombardia, Wenecja, Driuli Wenecja Julijska, Emilia-Romagna oraz autonomiczne prowincje Bolzano/Bozen i Trydent.</w:t>
            </w:r>
          </w:p>
          <w:p w14:paraId="739EF465" w14:textId="6C165408" w:rsidR="00534603" w:rsidRPr="00D80606" w:rsidRDefault="008B3298" w:rsidP="00C179CC">
            <w:pPr>
              <w:pBdr>
                <w:top w:val="nil"/>
                <w:left w:val="nil"/>
                <w:bottom w:val="nil"/>
                <w:right w:val="nil"/>
                <w:between w:val="nil"/>
              </w:pBdr>
              <w:ind w:left="22" w:right="0"/>
              <w:rPr>
                <w:rFonts w:asciiTheme="minorHAnsi" w:eastAsia="Arial" w:hAnsiTheme="minorHAnsi" w:cs="Arial"/>
                <w:color w:val="000000"/>
                <w:sz w:val="24"/>
                <w:szCs w:val="24"/>
              </w:rPr>
            </w:pPr>
            <w:r w:rsidRPr="00D80606">
              <w:rPr>
                <w:rFonts w:asciiTheme="minorHAnsi" w:hAnsiTheme="minorHAnsi"/>
                <w:color w:val="000000"/>
                <w:sz w:val="24"/>
                <w:szCs w:val="24"/>
              </w:rPr>
              <w:t xml:space="preserve">Ogółem do programu włączono 81 regionów NUTS-2 </w:t>
            </w:r>
            <w:r w:rsidR="00B0434D" w:rsidRPr="00D80606">
              <w:rPr>
                <w:rFonts w:asciiTheme="minorHAnsi" w:hAnsiTheme="minorHAnsi"/>
                <w:color w:val="000000"/>
                <w:sz w:val="24"/>
                <w:szCs w:val="24"/>
              </w:rPr>
              <w:t>zamieszkiwanych przez</w:t>
            </w:r>
            <w:r w:rsidRPr="00D80606">
              <w:rPr>
                <w:rFonts w:asciiTheme="minorHAnsi" w:hAnsiTheme="minorHAnsi"/>
                <w:color w:val="000000"/>
                <w:sz w:val="24"/>
                <w:szCs w:val="24"/>
              </w:rPr>
              <w:t xml:space="preserve"> mniej więcej jedn</w:t>
            </w:r>
            <w:r w:rsidR="00B0434D" w:rsidRPr="00D80606">
              <w:rPr>
                <w:rFonts w:asciiTheme="minorHAnsi" w:hAnsiTheme="minorHAnsi"/>
                <w:color w:val="000000"/>
                <w:sz w:val="24"/>
                <w:szCs w:val="24"/>
              </w:rPr>
              <w:t>ą</w:t>
            </w:r>
            <w:r w:rsidRPr="00D80606">
              <w:rPr>
                <w:rFonts w:asciiTheme="minorHAnsi" w:hAnsiTheme="minorHAnsi"/>
                <w:color w:val="000000"/>
                <w:sz w:val="24"/>
                <w:szCs w:val="24"/>
              </w:rPr>
              <w:t xml:space="preserve"> trzeci</w:t>
            </w:r>
            <w:r w:rsidR="00B0434D" w:rsidRPr="00D80606">
              <w:rPr>
                <w:rFonts w:asciiTheme="minorHAnsi" w:hAnsiTheme="minorHAnsi"/>
                <w:color w:val="000000"/>
                <w:sz w:val="24"/>
                <w:szCs w:val="24"/>
              </w:rPr>
              <w:t>ą</w:t>
            </w:r>
            <w:r w:rsidRPr="00D80606">
              <w:rPr>
                <w:rFonts w:asciiTheme="minorHAnsi" w:hAnsiTheme="minorHAnsi"/>
                <w:color w:val="000000"/>
                <w:sz w:val="24"/>
                <w:szCs w:val="24"/>
              </w:rPr>
              <w:t xml:space="preserve"> ludności Unii Europejskiej (148 mln mieszkańców w 2019 r.). Stanowi to około 25% całego terytorium Unii. Na terenie obszaru objętego programem znajduje się siedem miast o liczbie mieszkańców przekraczającej 1 milion – są to: Praga, Mediolan, Monachium, Budapeszt, Warszawa, Wiedeń i Berlin. Około 33% mieszkańców tego obszaru mieszka w większych miastach, 37% w regionach pośrednich, a 30% na obszarach wiejskich.</w:t>
            </w:r>
          </w:p>
          <w:p w14:paraId="3412C000" w14:textId="7BEFF1A6" w:rsidR="00534603" w:rsidRPr="00D80606" w:rsidRDefault="00F00C42">
            <w:pPr>
              <w:pBdr>
                <w:top w:val="nil"/>
                <w:left w:val="nil"/>
                <w:bottom w:val="nil"/>
                <w:right w:val="nil"/>
                <w:between w:val="nil"/>
              </w:pBdr>
              <w:ind w:left="22" w:right="0"/>
              <w:rPr>
                <w:rFonts w:asciiTheme="minorHAnsi" w:eastAsia="Arial" w:hAnsiTheme="minorHAnsi" w:cs="Arial"/>
                <w:color w:val="000000"/>
                <w:sz w:val="24"/>
                <w:szCs w:val="24"/>
              </w:rPr>
            </w:pPr>
            <w:r w:rsidRPr="00D80606">
              <w:rPr>
                <w:rFonts w:asciiTheme="minorHAnsi" w:hAnsiTheme="minorHAnsi"/>
                <w:color w:val="000000"/>
                <w:sz w:val="24"/>
                <w:szCs w:val="24"/>
              </w:rPr>
              <w:t>Pod względem gospodarczym obszar ten jest przemysłowym jądrem UE. Gospodarka tego obszaru generuje 30% PKB Unii, a jego rozwój przemysłowy jest kluczowym czynnikiem wspomagającym globalną konkurencyjność UE.</w:t>
            </w:r>
            <w:r w:rsidRPr="00D80606">
              <w:rPr>
                <w:sz w:val="24"/>
                <w:szCs w:val="24"/>
              </w:rPr>
              <w:t xml:space="preserve"> </w:t>
            </w:r>
            <w:r w:rsidRPr="00D80606">
              <w:rPr>
                <w:rFonts w:asciiTheme="minorHAnsi" w:hAnsiTheme="minorHAnsi"/>
                <w:color w:val="000000"/>
                <w:sz w:val="24"/>
                <w:szCs w:val="24"/>
              </w:rPr>
              <w:t>Charakteryzuje się on jednak różnicami strukturalnymi pomiędzy obszarami miejskimi/uprzemysłowionymi a obszarami wiejskimi/peryferyjnymi.</w:t>
            </w:r>
          </w:p>
          <w:p w14:paraId="51F9999A" w14:textId="791B003A" w:rsidR="00534603" w:rsidRPr="00D80606" w:rsidRDefault="0061000B">
            <w:pPr>
              <w:pBdr>
                <w:top w:val="nil"/>
                <w:left w:val="nil"/>
                <w:bottom w:val="nil"/>
                <w:right w:val="nil"/>
                <w:between w:val="nil"/>
              </w:pBdr>
              <w:ind w:left="22" w:right="0"/>
              <w:rPr>
                <w:rFonts w:asciiTheme="minorHAnsi" w:eastAsia="Arial" w:hAnsiTheme="minorHAnsi" w:cs="Arial"/>
                <w:color w:val="000000"/>
                <w:sz w:val="24"/>
                <w:szCs w:val="24"/>
              </w:rPr>
            </w:pPr>
            <w:r w:rsidRPr="00D80606">
              <w:rPr>
                <w:rFonts w:asciiTheme="minorHAnsi" w:hAnsiTheme="minorHAnsi"/>
                <w:color w:val="000000"/>
                <w:sz w:val="24"/>
                <w:szCs w:val="24"/>
              </w:rPr>
              <w:t>Obszar objęty programem znajduje się w sercu Europy i łączy jej północ z południem oraz wschód z zachodem. Stanowi on pomost kulturowy od Skandynawii po Morze Śródziemne. Łączy on również kraje z obu stron dawnej żelaznej kurtyny, ze wszystkimi skutkami społeczno-gospodarczymi i politycznymi tego faktu. Pomimo znacznego postępu, różnice gospodarcze i społeczne pomiędzy krajami „wschodu” i „zachodu” w Europie Środkowej są nadal wyraźnie widoczne.</w:t>
            </w:r>
          </w:p>
          <w:p w14:paraId="6E17755F" w14:textId="20219C90" w:rsidR="008727F2" w:rsidRPr="00D80606" w:rsidRDefault="00F00C42">
            <w:pPr>
              <w:pBdr>
                <w:top w:val="nil"/>
                <w:left w:val="nil"/>
                <w:bottom w:val="nil"/>
                <w:right w:val="nil"/>
                <w:between w:val="nil"/>
              </w:pBdr>
              <w:ind w:left="22" w:right="0"/>
              <w:rPr>
                <w:rFonts w:asciiTheme="minorHAnsi" w:eastAsia="Arial" w:hAnsiTheme="minorHAnsi" w:cs="Arial"/>
                <w:color w:val="000000"/>
                <w:sz w:val="24"/>
                <w:szCs w:val="24"/>
              </w:rPr>
            </w:pPr>
            <w:r w:rsidRPr="00D80606">
              <w:rPr>
                <w:rFonts w:asciiTheme="minorHAnsi" w:hAnsiTheme="minorHAnsi"/>
                <w:color w:val="000000"/>
                <w:sz w:val="24"/>
                <w:szCs w:val="24"/>
              </w:rPr>
              <w:t>Obszar ten jest wysoce funkcjonalny. Charakteryzuje się on silnymi interakcjami i powiązaniami w zakresie gospodarki (np. handel), struktur współpracy i zarządzania (np. Grupa Wyszehradzka), środowiska (np. Zielony Pas Europy [</w:t>
            </w:r>
            <w:r w:rsidRPr="008A72BA">
              <w:rPr>
                <w:rFonts w:asciiTheme="minorHAnsi" w:hAnsiTheme="minorHAnsi"/>
                <w:color w:val="000000"/>
                <w:sz w:val="24"/>
                <w:szCs w:val="24"/>
              </w:rPr>
              <w:t>European Green Belt</w:t>
            </w:r>
            <w:r w:rsidRPr="00D80606">
              <w:rPr>
                <w:rFonts w:asciiTheme="minorHAnsi" w:hAnsiTheme="minorHAnsi"/>
                <w:color w:val="000000"/>
                <w:sz w:val="24"/>
                <w:szCs w:val="24"/>
              </w:rPr>
              <w:t>]) oraz więzów kulturowych i historycznych.</w:t>
            </w:r>
          </w:p>
        </w:tc>
      </w:tr>
    </w:tbl>
    <w:p w14:paraId="0911E611" w14:textId="77777777" w:rsidR="00575290" w:rsidRDefault="00575290">
      <w:pPr>
        <w:spacing w:before="0" w:line="240" w:lineRule="auto"/>
        <w:ind w:left="0" w:right="0"/>
        <w:jc w:val="left"/>
        <w:rPr>
          <w:rFonts w:asciiTheme="minorHAnsi" w:hAnsiTheme="minorHAnsi"/>
          <w:b/>
          <w:color w:val="000000"/>
          <w:sz w:val="24"/>
          <w:szCs w:val="24"/>
        </w:rPr>
      </w:pPr>
      <w:r>
        <w:br w:type="page"/>
      </w:r>
    </w:p>
    <w:p w14:paraId="0EB3C0B1" w14:textId="09A90D55" w:rsidR="008727F2" w:rsidRPr="00D80606" w:rsidRDefault="008727F2" w:rsidP="00173920">
      <w:pPr>
        <w:pStyle w:val="CE-Headline2"/>
      </w:pPr>
      <w:bookmarkStart w:id="14" w:name="_Toc71036586"/>
      <w:r w:rsidRPr="00D80606">
        <w:lastRenderedPageBreak/>
        <w:t>Podsumowanie najważniejszych wspólnych wyzwań z uwzględnieniem zróżnicowania gospodarczego, społecznego i terytorialnego i nierówności, potrzeb</w:t>
      </w:r>
      <w:r w:rsidR="00701BCE">
        <w:t xml:space="preserve"> </w:t>
      </w:r>
      <w:r w:rsidRPr="00D80606">
        <w:t>podejmowania wspólnych inwestycji i</w:t>
      </w:r>
      <w:sdt>
        <w:sdtPr>
          <w:tag w:val="goog_rdk_26"/>
          <w:id w:val="-1424566872"/>
        </w:sdtPr>
        <w:sdtEndPr/>
        <w:sdtContent/>
      </w:sdt>
      <w:r w:rsidRPr="00D80606">
        <w:t xml:space="preserve"> komplementarności i synergii z pozostałymi formami wsparcia, wniosków z przeszłych doświadczeń i strategii makroregionalnych i strategii na rzecz basenów morskich, w przypadku których obszar objęty programem jest w całości lub części objęty jedną lub więcej</w:t>
      </w:r>
      <w:sdt>
        <w:sdtPr>
          <w:tag w:val="goog_rdk_27"/>
          <w:id w:val="-51077983"/>
        </w:sdtPr>
        <w:sdtEndPr/>
        <w:sdtContent/>
      </w:sdt>
      <w:r w:rsidRPr="00D80606">
        <w:t xml:space="preserve"> strategiami.</w:t>
      </w:r>
      <w:bookmarkEnd w:id="14"/>
    </w:p>
    <w:p w14:paraId="20F407B7" w14:textId="77777777" w:rsidR="008727F2" w:rsidRPr="00D80606" w:rsidRDefault="008727F2" w:rsidP="005C009E">
      <w:pPr>
        <w:ind w:left="0"/>
        <w:rPr>
          <w:rFonts w:asciiTheme="minorHAnsi" w:hAnsiTheme="minorHAnsi"/>
          <w:color w:val="000000"/>
          <w:szCs w:val="24"/>
        </w:rPr>
      </w:pPr>
      <w:r w:rsidRPr="00D80606">
        <w:rPr>
          <w:rFonts w:asciiTheme="minorHAnsi" w:hAnsiTheme="minorHAnsi"/>
          <w:color w:val="000000"/>
        </w:rPr>
        <w:t>Podstawa: art. 17 ust. 4 lit. b, art. 17 ust. 9 lit. b</w:t>
      </w:r>
    </w:p>
    <w:p w14:paraId="4CD8C0E9" w14:textId="2354F428" w:rsidR="008727F2" w:rsidRDefault="008727F2" w:rsidP="00F767F9">
      <w:pPr>
        <w:ind w:left="0"/>
        <w:rPr>
          <w:rFonts w:asciiTheme="minorHAnsi" w:hAnsiTheme="minorHAnsi"/>
          <w:i/>
        </w:rPr>
      </w:pPr>
      <w:r w:rsidRPr="00D80606">
        <w:rPr>
          <w:rFonts w:asciiTheme="minorHAnsi" w:hAnsiTheme="minorHAnsi"/>
        </w:rPr>
        <w:t>Pole tekstowe [50 000]</w:t>
      </w: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hemeFill="background1" w:themeFillShade="D9"/>
        <w:tblLayout w:type="fixed"/>
        <w:tblLook w:val="0400" w:firstRow="0" w:lastRow="0" w:firstColumn="0" w:lastColumn="0" w:noHBand="0" w:noVBand="1"/>
      </w:tblPr>
      <w:tblGrid>
        <w:gridCol w:w="9212"/>
      </w:tblGrid>
      <w:tr w:rsidR="00F35317" w:rsidRPr="00A557D8" w14:paraId="5F443745" w14:textId="77777777" w:rsidTr="00803BD2">
        <w:tc>
          <w:tcPr>
            <w:tcW w:w="9212" w:type="dxa"/>
            <w:shd w:val="clear" w:color="auto" w:fill="auto"/>
          </w:tcPr>
          <w:p w14:paraId="7B51B194" w14:textId="77777777" w:rsidR="0070343A" w:rsidRPr="008D64E5" w:rsidRDefault="0070343A" w:rsidP="0070343A">
            <w:pPr>
              <w:widowControl w:val="0"/>
              <w:spacing w:after="160" w:line="259" w:lineRule="auto"/>
              <w:ind w:left="0" w:right="0"/>
              <w:rPr>
                <w:rFonts w:ascii="Trebuchet MS" w:eastAsia="Calibri" w:hAnsi="Trebuchet MS"/>
                <w:i/>
                <w:szCs w:val="22"/>
              </w:rPr>
            </w:pPr>
            <w:bookmarkStart w:id="15" w:name="_Toc61245853"/>
            <w:bookmarkStart w:id="16" w:name="_Toc61246192"/>
            <w:r>
              <w:rPr>
                <w:rFonts w:ascii="Trebuchet MS" w:hAnsi="Trebuchet MS"/>
                <w:i/>
                <w:highlight w:val="yellow"/>
              </w:rPr>
              <w:t>Mapy i wykresy zostaną przeniesione do załącznika, a na portalu SFC będzie umieszczony tylko zwykły tekst</w:t>
            </w:r>
          </w:p>
          <w:p w14:paraId="2D8CF982" w14:textId="75B909C2" w:rsidR="00927281" w:rsidRDefault="00927281" w:rsidP="007C7E7A">
            <w:pPr>
              <w:widowControl w:val="0"/>
              <w:spacing w:before="360" w:after="240" w:line="280" w:lineRule="atLeast"/>
              <w:ind w:left="0" w:right="0"/>
              <w:contextualSpacing/>
              <w:jc w:val="left"/>
              <w:outlineLvl w:val="0"/>
              <w:rPr>
                <w:rFonts w:ascii="Trebuchet MS" w:eastAsia="SimSun" w:hAnsi="Trebuchet MS" w:cs="Arial"/>
                <w:bCs/>
                <w:color w:val="A5A5A5"/>
                <w:spacing w:val="5"/>
                <w:kern w:val="32"/>
                <w:sz w:val="28"/>
                <w:szCs w:val="32"/>
              </w:rPr>
            </w:pPr>
            <w:bookmarkStart w:id="17" w:name="_Toc63770024"/>
            <w:bookmarkStart w:id="18" w:name="_Toc64026039"/>
            <w:bookmarkStart w:id="19" w:name="_Toc71036587"/>
            <w:r>
              <w:rPr>
                <w:rFonts w:ascii="Trebuchet MS" w:hAnsi="Trebuchet MS"/>
                <w:color w:val="A5A5A5"/>
                <w:sz w:val="28"/>
              </w:rPr>
              <w:t>Zrównoważony rozwój gospodarczy</w:t>
            </w:r>
            <w:bookmarkEnd w:id="15"/>
            <w:bookmarkEnd w:id="16"/>
            <w:bookmarkEnd w:id="17"/>
            <w:bookmarkEnd w:id="18"/>
            <w:bookmarkEnd w:id="19"/>
          </w:p>
          <w:p w14:paraId="469492C7" w14:textId="77777777" w:rsidR="005924F3" w:rsidRPr="00680741" w:rsidRDefault="005924F3" w:rsidP="007C7E7A">
            <w:pPr>
              <w:widowControl w:val="0"/>
              <w:spacing w:before="360" w:after="240" w:line="280" w:lineRule="atLeast"/>
              <w:ind w:left="0" w:right="0"/>
              <w:contextualSpacing/>
              <w:jc w:val="left"/>
              <w:outlineLvl w:val="0"/>
              <w:rPr>
                <w:rFonts w:ascii="Trebuchet MS" w:eastAsia="SimSun" w:hAnsi="Trebuchet MS" w:cs="Arial"/>
                <w:bCs/>
                <w:color w:val="A5A5A5"/>
                <w:spacing w:val="5"/>
                <w:kern w:val="32"/>
                <w:sz w:val="28"/>
                <w:szCs w:val="32"/>
                <w:lang w:eastAsia="zh-CN"/>
              </w:rPr>
            </w:pPr>
          </w:p>
          <w:p w14:paraId="53DD11D9" w14:textId="5D4BCAC1" w:rsidR="007C6FE9" w:rsidRPr="00D80606" w:rsidRDefault="00F94800"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Trzy dekady po upadku żelaznej kurtyny</w:t>
            </w:r>
            <w:r w:rsidR="00B0434D" w:rsidRPr="00D80606">
              <w:rPr>
                <w:rFonts w:ascii="Trebuchet MS" w:hAnsi="Trebuchet MS"/>
                <w:sz w:val="24"/>
                <w:szCs w:val="24"/>
              </w:rPr>
              <w:t xml:space="preserve"> </w:t>
            </w:r>
            <w:r w:rsidRPr="00D80606">
              <w:rPr>
                <w:rFonts w:ascii="Trebuchet MS" w:hAnsi="Trebuchet MS"/>
                <w:b/>
                <w:sz w:val="24"/>
                <w:szCs w:val="24"/>
              </w:rPr>
              <w:t xml:space="preserve">dysproporcje </w:t>
            </w:r>
            <w:r w:rsidRPr="00D80606">
              <w:rPr>
                <w:rFonts w:ascii="Trebuchet MS" w:hAnsi="Trebuchet MS"/>
                <w:sz w:val="24"/>
                <w:szCs w:val="24"/>
              </w:rPr>
              <w:t xml:space="preserve"> </w:t>
            </w:r>
            <w:r w:rsidRPr="00D80606">
              <w:rPr>
                <w:rFonts w:ascii="Trebuchet MS" w:hAnsi="Trebuchet MS"/>
                <w:b/>
                <w:sz w:val="24"/>
                <w:szCs w:val="24"/>
              </w:rPr>
              <w:t>gospodarcze</w:t>
            </w:r>
            <w:r w:rsidRPr="00D80606">
              <w:rPr>
                <w:rFonts w:ascii="Trebuchet MS" w:hAnsi="Trebuchet MS"/>
                <w:sz w:val="24"/>
                <w:szCs w:val="24"/>
              </w:rPr>
              <w:t xml:space="preserve"> w Europie Środkowej są nadal widoczne, pomimo silnego wzrostu w gospodarkach niegdyś centralnie planowanych. W 10 najbardziej rozwiniętych regionach NUTS-3 średni PKB w przeliczeniu na mieszkańca (według parytetu siły nabywczej) jest około dziewięciokrotnie wyższy niż w 10 najsłabiej rozwiniętych regionach (zob. Rysunek 1). Różnice występują nie tylko pomiędzy krajami, ale także pomiędzy regionami miejskimi i wiejskimi. </w:t>
            </w:r>
          </w:p>
          <w:p w14:paraId="144CB071" w14:textId="0E38374A" w:rsidR="00927281" w:rsidRPr="00D80606" w:rsidRDefault="001720BF"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Zniwelowanie tych różnic</w:t>
            </w:r>
            <w:r w:rsidR="00927281" w:rsidRPr="00D80606">
              <w:rPr>
                <w:rFonts w:ascii="Trebuchet MS" w:hAnsi="Trebuchet MS"/>
                <w:sz w:val="24"/>
                <w:szCs w:val="24"/>
              </w:rPr>
              <w:t xml:space="preserve"> będzie wymagało czasu i podejmowania ciągłych wysiłków politycznych, które stały się jeszcze większym wyzwaniem w związku z pandemią COVID-19 i jej negatywnymi skutkami społeczno-gospodarczymi (zob. sekcja poświęcona COVID-19 w niniejszym rozdziale).</w:t>
            </w:r>
          </w:p>
          <w:p w14:paraId="5D19AC13" w14:textId="0041A288" w:rsidR="00927281" w:rsidRPr="00927281" w:rsidRDefault="00927281" w:rsidP="007C7E7A">
            <w:pPr>
              <w:widowControl w:val="0"/>
              <w:pBdr>
                <w:top w:val="single" w:sz="4" w:space="5" w:color="9E9FA3"/>
              </w:pBdr>
              <w:spacing w:before="0" w:after="120" w:line="290" w:lineRule="exact"/>
              <w:ind w:left="0" w:right="0"/>
              <w:contextualSpacing/>
              <w:jc w:val="left"/>
              <w:rPr>
                <w:rFonts w:ascii="Trebuchet MS" w:eastAsia="SimSun" w:hAnsi="Trebuchet MS" w:cs="Arial"/>
                <w:b/>
                <w:sz w:val="18"/>
                <w:szCs w:val="24"/>
              </w:rPr>
            </w:pPr>
            <w:bookmarkStart w:id="20" w:name="_Ref22812705"/>
            <w:bookmarkStart w:id="21" w:name="_Toc23248775"/>
            <w:r>
              <w:rPr>
                <w:rFonts w:ascii="Trebuchet MS" w:hAnsi="Trebuchet MS"/>
                <w:b/>
                <w:sz w:val="18"/>
              </w:rPr>
              <w:t xml:space="preserve">Rysunek </w:t>
            </w:r>
            <w:r w:rsidRPr="00927281">
              <w:rPr>
                <w:rFonts w:ascii="Trebuchet MS" w:eastAsia="SimSun" w:hAnsi="Trebuchet MS" w:cs="Arial"/>
                <w:b/>
                <w:sz w:val="18"/>
              </w:rPr>
              <w:fldChar w:fldCharType="begin"/>
            </w:r>
            <w:r w:rsidRPr="00927281">
              <w:rPr>
                <w:rFonts w:ascii="Trebuchet MS" w:eastAsia="SimSun" w:hAnsi="Trebuchet MS" w:cs="Arial"/>
                <w:b/>
                <w:sz w:val="18"/>
              </w:rPr>
              <w:instrText xml:space="preserve"> SEQ Figure \* ARABIC </w:instrText>
            </w:r>
            <w:r w:rsidRPr="00927281">
              <w:rPr>
                <w:rFonts w:ascii="Trebuchet MS" w:eastAsia="SimSun" w:hAnsi="Trebuchet MS" w:cs="Arial"/>
                <w:b/>
                <w:sz w:val="18"/>
              </w:rPr>
              <w:fldChar w:fldCharType="separate"/>
            </w:r>
            <w:r w:rsidR="00680741">
              <w:rPr>
                <w:rFonts w:ascii="Trebuchet MS" w:eastAsia="SimSun" w:hAnsi="Trebuchet MS" w:cs="Arial"/>
                <w:b/>
                <w:noProof/>
                <w:sz w:val="18"/>
              </w:rPr>
              <w:t>1</w:t>
            </w:r>
            <w:r w:rsidRPr="00927281">
              <w:rPr>
                <w:rFonts w:ascii="Trebuchet MS" w:eastAsia="SimSun" w:hAnsi="Trebuchet MS" w:cs="Arial"/>
                <w:b/>
                <w:sz w:val="18"/>
              </w:rPr>
              <w:fldChar w:fldCharType="end"/>
            </w:r>
            <w:bookmarkEnd w:id="20"/>
            <w:r>
              <w:rPr>
                <w:rFonts w:ascii="Trebuchet MS" w:hAnsi="Trebuchet MS"/>
                <w:b/>
                <w:sz w:val="18"/>
              </w:rPr>
              <w:t>: Regionalny PKB na mieszkańca, 2017, regiony NUTS-3 według % średniej UE</w:t>
            </w:r>
            <w:bookmarkEnd w:id="21"/>
          </w:p>
          <w:p w14:paraId="3CEB4A9D" w14:textId="77777777" w:rsidR="00927281" w:rsidRPr="00927281" w:rsidRDefault="00927281" w:rsidP="007C7E7A">
            <w:pPr>
              <w:widowControl w:val="0"/>
              <w:spacing w:before="0" w:after="160" w:line="259" w:lineRule="auto"/>
              <w:ind w:left="0" w:right="0"/>
              <w:jc w:val="center"/>
              <w:rPr>
                <w:rFonts w:ascii="Calibri" w:eastAsia="Calibri" w:hAnsi="Calibri"/>
                <w:sz w:val="22"/>
                <w:szCs w:val="22"/>
              </w:rPr>
            </w:pPr>
            <w:r>
              <w:rPr>
                <w:rFonts w:ascii="Calibri" w:hAnsi="Calibri"/>
                <w:noProof/>
                <w:sz w:val="22"/>
                <w:lang w:eastAsia="pl-PL"/>
              </w:rPr>
              <w:lastRenderedPageBreak/>
              <w:drawing>
                <wp:inline distT="0" distB="0" distL="0" distR="0" wp14:anchorId="5D052204" wp14:editId="6DB72ABA">
                  <wp:extent cx="2055317" cy="2905246"/>
                  <wp:effectExtent l="0" t="0" r="2540" b="0"/>
                  <wp:docPr id="3" name="Grafik 3" descr="Mapa przedstawia dane Eurostatu z 2017 roku, dotyczące regionalnego PKB na mieszkańca w państwach i regionach państw biorących udział w programie Interreg Europa Środkowa w porównaniu do średniej unijnej. " title="Mapa przedstawiająca regionalny PKB na mieszkańca (2017 r.) według średniej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1584" cy="2914105"/>
                          </a:xfrm>
                          <a:prstGeom prst="rect">
                            <a:avLst/>
                          </a:prstGeom>
                          <a:noFill/>
                          <a:ln>
                            <a:noFill/>
                          </a:ln>
                        </pic:spPr>
                      </pic:pic>
                    </a:graphicData>
                  </a:graphic>
                </wp:inline>
              </w:drawing>
            </w:r>
          </w:p>
          <w:p w14:paraId="299A5096" w14:textId="77777777" w:rsidR="00927281" w:rsidRPr="00927281" w:rsidRDefault="00927281" w:rsidP="007C7E7A">
            <w:pPr>
              <w:widowControl w:val="0"/>
              <w:pBdr>
                <w:bottom w:val="single" w:sz="4" w:space="5" w:color="9E9FA3"/>
              </w:pBdr>
              <w:spacing w:before="0" w:after="290" w:line="220" w:lineRule="exact"/>
              <w:ind w:left="0" w:right="0"/>
              <w:contextualSpacing/>
              <w:jc w:val="left"/>
              <w:rPr>
                <w:rFonts w:ascii="Trebuchet MS" w:eastAsia="SimSun" w:hAnsi="Trebuchet MS" w:cs="Arial"/>
                <w:sz w:val="16"/>
                <w:szCs w:val="24"/>
              </w:rPr>
            </w:pPr>
            <w:r>
              <w:rPr>
                <w:rFonts w:ascii="Trebuchet MS" w:hAnsi="Trebuchet MS"/>
                <w:sz w:val="16"/>
              </w:rPr>
              <w:t>Źródło: Eurostat, mapa: wiiw</w:t>
            </w:r>
          </w:p>
          <w:p w14:paraId="00E85B07" w14:textId="77777777" w:rsidR="005924F3" w:rsidRPr="00680741" w:rsidRDefault="005924F3" w:rsidP="007C7E7A">
            <w:pPr>
              <w:widowControl w:val="0"/>
              <w:spacing w:before="0" w:after="160" w:line="259" w:lineRule="auto"/>
              <w:ind w:left="0" w:right="0"/>
              <w:rPr>
                <w:rFonts w:ascii="Trebuchet MS" w:eastAsia="Calibri" w:hAnsi="Trebuchet MS"/>
                <w:szCs w:val="22"/>
              </w:rPr>
            </w:pPr>
          </w:p>
          <w:p w14:paraId="20126562" w14:textId="357B611C" w:rsidR="00927281" w:rsidRPr="00D80606" w:rsidRDefault="0003003F"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Europa Środkowa jest </w:t>
            </w:r>
            <w:r w:rsidRPr="00D80606">
              <w:rPr>
                <w:rFonts w:ascii="Trebuchet MS" w:hAnsi="Trebuchet MS"/>
                <w:b/>
                <w:sz w:val="24"/>
                <w:szCs w:val="24"/>
              </w:rPr>
              <w:t>funkcjonalnym obszarem gospodarczym</w:t>
            </w:r>
            <w:r w:rsidRPr="00D80606">
              <w:rPr>
                <w:rFonts w:ascii="Trebuchet MS" w:hAnsi="Trebuchet MS"/>
                <w:sz w:val="24"/>
                <w:szCs w:val="24"/>
              </w:rPr>
              <w:t xml:space="preserve"> i jednym z głównych ośrodków przemysłowych w UE. Pomimo widocznych różnic gospodarczych, kraje Europy Środkowej są ze sobą silnie powiązane. Korzystają one ze wspólnych </w:t>
            </w:r>
            <w:r w:rsidRPr="00D80606">
              <w:rPr>
                <w:rFonts w:ascii="Trebuchet MS" w:hAnsi="Trebuchet MS"/>
                <w:b/>
                <w:sz w:val="24"/>
                <w:szCs w:val="24"/>
              </w:rPr>
              <w:t>łańcuchów wartości</w:t>
            </w:r>
            <w:r w:rsidRPr="00D80606">
              <w:rPr>
                <w:rFonts w:ascii="Trebuchet MS" w:hAnsi="Trebuchet MS"/>
                <w:sz w:val="24"/>
                <w:szCs w:val="24"/>
              </w:rPr>
              <w:t xml:space="preserve"> w wielu gałęziach przemysłu wytwórczego, takich jak przemysł motoryzacyjny. Analiza celowa ESPON CE-FLOWS (VVA i in., 2020) pokazuje, że obszar ten jest siedzibą mających globalne znaczenie </w:t>
            </w:r>
            <w:r w:rsidRPr="00D80606">
              <w:rPr>
                <w:rFonts w:ascii="Trebuchet MS" w:hAnsi="Trebuchet MS"/>
                <w:b/>
                <w:sz w:val="24"/>
                <w:szCs w:val="24"/>
              </w:rPr>
              <w:t>ośrodków produkcyjnych</w:t>
            </w:r>
            <w:r w:rsidRPr="00D80606">
              <w:rPr>
                <w:rFonts w:ascii="Trebuchet MS" w:hAnsi="Trebuchet MS"/>
                <w:sz w:val="24"/>
                <w:szCs w:val="24"/>
              </w:rPr>
              <w:t xml:space="preserve">, np. w Lombardii, Górnej Bawarii i Stuttgarcie. Poza tymi ośrodkami produkcja odgrywa kluczową rolę w większości regionów obszaru objętego programem. Różny jest jednak stopień specjalizacji i stopień powiązań regionalnych. W szczególności wysoce wyspecjalizowane są ośrodki produkcyjne w północnych Włoszech, południowych Niemczech i centralnej Polsce. Ośrodki te zapewniają znaczną wartość dodaną, charakteryzują się bardzo wysokim poziomem wydajności i przyczyniają się do tworzenia kluczowych łańcuchów wartości wraz z otaczającymi je regionami. </w:t>
            </w:r>
          </w:p>
          <w:p w14:paraId="7CC820BD" w14:textId="1E0C88F6" w:rsidR="00927281" w:rsidRPr="00D80606" w:rsidRDefault="00944E97"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Utrzymanie lub dalsze umacnianie tej silnej, globalnej pozycji w przemyśle wytwórczym jest tu głównym wyzwaniem. Czwarta rewolucja przemysłowa i będące udziałem całej Unii Europejskiej dążenie do </w:t>
            </w:r>
            <w:r w:rsidRPr="00D80606">
              <w:rPr>
                <w:rFonts w:ascii="Trebuchet MS" w:hAnsi="Trebuchet MS"/>
                <w:b/>
                <w:sz w:val="24"/>
                <w:szCs w:val="24"/>
              </w:rPr>
              <w:t>zielonej i cyfrowej gospodarki</w:t>
            </w:r>
            <w:r w:rsidRPr="00D80606">
              <w:rPr>
                <w:rFonts w:ascii="Trebuchet MS" w:hAnsi="Trebuchet MS"/>
                <w:sz w:val="24"/>
                <w:szCs w:val="24"/>
              </w:rPr>
              <w:t xml:space="preserve"> wymagają przejścia na rzecz stosowania zaawansowanych technologii oraz wdrażania sił roboczych wykwalifikowanych cyfrowo. Łańcuchy wartości należy poddać przeglądowi, aktualizacji, a następnie stworzyć nowe.</w:t>
            </w:r>
          </w:p>
          <w:p w14:paraId="5783D24A" w14:textId="291B96BE" w:rsidR="00414673"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Połączenie postępu technologicznego i globalnej konkurencji oznacza, że rządy, przedsiębiorstwa i obywatele muszą się dostosować, aby wykorzystać potencjalne korzyści i nie pozostać w tyle. Ma to wpływ na </w:t>
            </w:r>
            <w:r w:rsidRPr="00D80606">
              <w:rPr>
                <w:rFonts w:ascii="Trebuchet MS" w:hAnsi="Trebuchet MS"/>
                <w:b/>
                <w:sz w:val="24"/>
                <w:szCs w:val="24"/>
              </w:rPr>
              <w:t>kluczowe obszary działalności gospodarczej</w:t>
            </w:r>
            <w:r w:rsidRPr="00D80606">
              <w:rPr>
                <w:rFonts w:ascii="Trebuchet MS" w:hAnsi="Trebuchet MS"/>
                <w:sz w:val="24"/>
                <w:szCs w:val="24"/>
              </w:rPr>
              <w:t xml:space="preserve">, które mają duże znaczenie dla Europy Środkowej, takie jak produkcja, ale także na inne priorytetowe obszary technologii inteligentnej </w:t>
            </w:r>
            <w:r w:rsidRPr="00D80606">
              <w:rPr>
                <w:rFonts w:ascii="Trebuchet MS" w:hAnsi="Trebuchet MS"/>
                <w:sz w:val="24"/>
                <w:szCs w:val="24"/>
              </w:rPr>
              <w:lastRenderedPageBreak/>
              <w:t xml:space="preserve">specjalizacji (S3) i sektory polityki, takie jak </w:t>
            </w:r>
          </w:p>
          <w:p w14:paraId="6CA5E4DD" w14:textId="1DADD086" w:rsidR="00414673" w:rsidRPr="00D80606" w:rsidRDefault="00927281" w:rsidP="00D80606">
            <w:pPr>
              <w:pStyle w:val="Akapitzlist"/>
              <w:widowControl w:val="0"/>
              <w:numPr>
                <w:ilvl w:val="0"/>
                <w:numId w:val="74"/>
              </w:numPr>
              <w:spacing w:before="0"/>
              <w:ind w:left="357" w:right="0" w:hanging="357"/>
              <w:jc w:val="left"/>
              <w:rPr>
                <w:rFonts w:ascii="Trebuchet MS" w:eastAsia="Calibri" w:hAnsi="Trebuchet MS"/>
                <w:sz w:val="24"/>
                <w:szCs w:val="24"/>
              </w:rPr>
            </w:pPr>
            <w:r w:rsidRPr="00D80606">
              <w:rPr>
                <w:rFonts w:ascii="Trebuchet MS" w:hAnsi="Trebuchet MS"/>
                <w:sz w:val="24"/>
                <w:szCs w:val="24"/>
              </w:rPr>
              <w:t xml:space="preserve">Energia i środowisko; </w:t>
            </w:r>
          </w:p>
          <w:p w14:paraId="14DDE0C8" w14:textId="302578D3" w:rsidR="00414673" w:rsidRPr="00D80606" w:rsidRDefault="00927281" w:rsidP="00D80606">
            <w:pPr>
              <w:pStyle w:val="Akapitzlist"/>
              <w:widowControl w:val="0"/>
              <w:numPr>
                <w:ilvl w:val="0"/>
                <w:numId w:val="74"/>
              </w:numPr>
              <w:spacing w:before="0"/>
              <w:ind w:left="357" w:right="0" w:hanging="357"/>
              <w:jc w:val="left"/>
              <w:rPr>
                <w:rFonts w:ascii="Trebuchet MS" w:eastAsia="Calibri" w:hAnsi="Trebuchet MS"/>
                <w:sz w:val="24"/>
                <w:szCs w:val="24"/>
              </w:rPr>
            </w:pPr>
            <w:r w:rsidRPr="00D80606">
              <w:rPr>
                <w:rFonts w:ascii="Trebuchet MS" w:hAnsi="Trebuchet MS"/>
                <w:sz w:val="24"/>
                <w:szCs w:val="24"/>
              </w:rPr>
              <w:t xml:space="preserve">Zdrowie publiczne, medycyna i nauki przyrodnicze; </w:t>
            </w:r>
          </w:p>
          <w:p w14:paraId="0262FCD8" w14:textId="28990FD2" w:rsidR="00414673" w:rsidRPr="00D80606" w:rsidRDefault="00927281" w:rsidP="00D80606">
            <w:pPr>
              <w:pStyle w:val="Akapitzlist"/>
              <w:widowControl w:val="0"/>
              <w:numPr>
                <w:ilvl w:val="0"/>
                <w:numId w:val="74"/>
              </w:numPr>
              <w:spacing w:before="0"/>
              <w:ind w:left="357" w:right="0" w:hanging="357"/>
              <w:jc w:val="left"/>
              <w:rPr>
                <w:rFonts w:ascii="Trebuchet MS" w:eastAsia="Calibri" w:hAnsi="Trebuchet MS"/>
                <w:sz w:val="24"/>
                <w:szCs w:val="24"/>
              </w:rPr>
            </w:pPr>
            <w:r w:rsidRPr="00D80606">
              <w:rPr>
                <w:rFonts w:ascii="Trebuchet MS" w:hAnsi="Trebuchet MS"/>
                <w:sz w:val="24"/>
                <w:szCs w:val="24"/>
              </w:rPr>
              <w:t>Gospodarka rolna i biogospodarka;</w:t>
            </w:r>
          </w:p>
          <w:p w14:paraId="7BCC1F4C" w14:textId="1300A49D" w:rsidR="00414673" w:rsidRPr="00D80606" w:rsidRDefault="00927281" w:rsidP="00D80606">
            <w:pPr>
              <w:pStyle w:val="Akapitzlist"/>
              <w:widowControl w:val="0"/>
              <w:numPr>
                <w:ilvl w:val="0"/>
                <w:numId w:val="74"/>
              </w:numPr>
              <w:spacing w:before="0"/>
              <w:ind w:left="357" w:right="0" w:hanging="357"/>
              <w:jc w:val="left"/>
              <w:rPr>
                <w:rFonts w:ascii="Trebuchet MS" w:eastAsia="Calibri" w:hAnsi="Trebuchet MS"/>
                <w:sz w:val="24"/>
                <w:szCs w:val="24"/>
              </w:rPr>
            </w:pPr>
            <w:r w:rsidRPr="00D80606">
              <w:rPr>
                <w:rFonts w:ascii="Trebuchet MS" w:hAnsi="Trebuchet MS"/>
                <w:sz w:val="24"/>
                <w:szCs w:val="24"/>
              </w:rPr>
              <w:t>Zaawansowane materiały i nanotechnologia;</w:t>
            </w:r>
          </w:p>
          <w:p w14:paraId="60447692" w14:textId="1AB7CCCA" w:rsidR="00414673" w:rsidRPr="00D80606" w:rsidRDefault="00927281" w:rsidP="00D80606">
            <w:pPr>
              <w:pStyle w:val="Akapitzlist"/>
              <w:widowControl w:val="0"/>
              <w:numPr>
                <w:ilvl w:val="0"/>
                <w:numId w:val="74"/>
              </w:numPr>
              <w:spacing w:before="0"/>
              <w:ind w:left="357" w:right="0" w:hanging="357"/>
              <w:jc w:val="left"/>
              <w:rPr>
                <w:rFonts w:ascii="Trebuchet MS" w:eastAsia="Calibri" w:hAnsi="Trebuchet MS"/>
                <w:sz w:val="24"/>
                <w:szCs w:val="24"/>
              </w:rPr>
            </w:pPr>
            <w:r w:rsidRPr="00D80606">
              <w:rPr>
                <w:rFonts w:ascii="Trebuchet MS" w:hAnsi="Trebuchet MS"/>
                <w:sz w:val="24"/>
                <w:szCs w:val="24"/>
              </w:rPr>
              <w:t>Transport i mobilność;</w:t>
            </w:r>
          </w:p>
          <w:p w14:paraId="6BCBFF95" w14:textId="18382C3D" w:rsidR="00414673" w:rsidRPr="00D80606" w:rsidRDefault="00927281" w:rsidP="00D80606">
            <w:pPr>
              <w:pStyle w:val="Akapitzlist"/>
              <w:widowControl w:val="0"/>
              <w:numPr>
                <w:ilvl w:val="0"/>
                <w:numId w:val="74"/>
              </w:numPr>
              <w:spacing w:before="0"/>
              <w:ind w:left="357" w:right="0" w:hanging="357"/>
              <w:jc w:val="left"/>
              <w:rPr>
                <w:rFonts w:ascii="Trebuchet MS" w:eastAsia="Calibri" w:hAnsi="Trebuchet MS"/>
                <w:sz w:val="24"/>
                <w:szCs w:val="24"/>
              </w:rPr>
            </w:pPr>
            <w:r w:rsidRPr="00D80606">
              <w:rPr>
                <w:rFonts w:ascii="Trebuchet MS" w:hAnsi="Trebuchet MS"/>
                <w:sz w:val="24"/>
                <w:szCs w:val="24"/>
              </w:rPr>
              <w:t xml:space="preserve">Zaawansowane systemy produkcyjne; lub </w:t>
            </w:r>
          </w:p>
          <w:p w14:paraId="7EE891CF" w14:textId="3E05E53F" w:rsidR="00414673" w:rsidRPr="00D80606" w:rsidRDefault="00927281" w:rsidP="00D80606">
            <w:pPr>
              <w:pStyle w:val="Akapitzlist"/>
              <w:widowControl w:val="0"/>
              <w:numPr>
                <w:ilvl w:val="0"/>
                <w:numId w:val="74"/>
              </w:numPr>
              <w:spacing w:before="0"/>
              <w:ind w:left="357" w:right="0" w:hanging="357"/>
              <w:jc w:val="left"/>
              <w:rPr>
                <w:rFonts w:ascii="Trebuchet MS" w:eastAsia="Calibri" w:hAnsi="Trebuchet MS"/>
                <w:sz w:val="24"/>
                <w:szCs w:val="24"/>
              </w:rPr>
            </w:pPr>
            <w:r w:rsidRPr="00D80606">
              <w:rPr>
                <w:rFonts w:ascii="Trebuchet MS" w:hAnsi="Trebuchet MS"/>
                <w:sz w:val="24"/>
                <w:szCs w:val="24"/>
              </w:rPr>
              <w:t xml:space="preserve">Informatyka i elektronika. </w:t>
            </w:r>
          </w:p>
          <w:p w14:paraId="15D7DE16" w14:textId="77777777" w:rsidR="00414673" w:rsidRPr="00D80606" w:rsidRDefault="00414673" w:rsidP="00D80606">
            <w:pPr>
              <w:widowControl w:val="0"/>
              <w:spacing w:before="0"/>
              <w:ind w:left="0" w:right="0"/>
              <w:jc w:val="left"/>
              <w:rPr>
                <w:rFonts w:ascii="Trebuchet MS" w:eastAsia="Calibri" w:hAnsi="Trebuchet MS"/>
                <w:sz w:val="24"/>
                <w:szCs w:val="24"/>
              </w:rPr>
            </w:pPr>
          </w:p>
          <w:p w14:paraId="4E134728" w14:textId="617D6711" w:rsidR="00414673" w:rsidRPr="00D80606" w:rsidRDefault="00414673"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Innym dotkniętym sektorem jest sektor </w:t>
            </w:r>
            <w:r w:rsidRPr="00D80606">
              <w:rPr>
                <w:rFonts w:ascii="Trebuchet MS" w:hAnsi="Trebuchet MS"/>
                <w:b/>
                <w:sz w:val="24"/>
                <w:szCs w:val="24"/>
              </w:rPr>
              <w:t>usług</w:t>
            </w:r>
            <w:r w:rsidRPr="00D80606">
              <w:rPr>
                <w:rFonts w:ascii="Trebuchet MS" w:hAnsi="Trebuchet MS"/>
                <w:sz w:val="24"/>
                <w:szCs w:val="24"/>
              </w:rPr>
              <w:t xml:space="preserve">, w szczególności usług opartych na wiedzy (KIS): </w:t>
            </w:r>
          </w:p>
          <w:p w14:paraId="42C8027C" w14:textId="49167459" w:rsidR="00414673" w:rsidRPr="00D80606" w:rsidRDefault="00847566" w:rsidP="00D80606">
            <w:pPr>
              <w:pStyle w:val="Akapitzlist"/>
              <w:widowControl w:val="0"/>
              <w:numPr>
                <w:ilvl w:val="0"/>
                <w:numId w:val="73"/>
              </w:numPr>
              <w:spacing w:before="0" w:after="160"/>
              <w:ind w:right="0"/>
              <w:jc w:val="left"/>
              <w:rPr>
                <w:rFonts w:ascii="Trebuchet MS" w:eastAsia="Calibri" w:hAnsi="Trebuchet MS"/>
                <w:sz w:val="24"/>
                <w:szCs w:val="24"/>
              </w:rPr>
            </w:pPr>
            <w:r w:rsidRPr="00D80606">
              <w:rPr>
                <w:rFonts w:ascii="Trebuchet MS" w:hAnsi="Trebuchet MS"/>
                <w:sz w:val="24"/>
                <w:szCs w:val="24"/>
              </w:rPr>
              <w:t>usługi high-tech (telekomunikacja, programowanie komputerowe);</w:t>
            </w:r>
          </w:p>
          <w:p w14:paraId="3CA1FE2B" w14:textId="312DDE4E" w:rsidR="00414673" w:rsidRPr="00D80606" w:rsidRDefault="00847566" w:rsidP="00D80606">
            <w:pPr>
              <w:pStyle w:val="Akapitzlist"/>
              <w:widowControl w:val="0"/>
              <w:numPr>
                <w:ilvl w:val="0"/>
                <w:numId w:val="73"/>
              </w:numPr>
              <w:spacing w:before="0" w:after="160"/>
              <w:ind w:right="0"/>
              <w:jc w:val="left"/>
              <w:rPr>
                <w:rFonts w:ascii="Trebuchet MS" w:eastAsia="Calibri" w:hAnsi="Trebuchet MS"/>
                <w:sz w:val="24"/>
                <w:szCs w:val="24"/>
              </w:rPr>
            </w:pPr>
            <w:r w:rsidRPr="00D80606">
              <w:rPr>
                <w:rFonts w:ascii="Trebuchet MS" w:hAnsi="Trebuchet MS"/>
                <w:sz w:val="24"/>
                <w:szCs w:val="24"/>
              </w:rPr>
              <w:t>usługi rynkowe (działalność prawnicza, działalność w zakresie architektury i inżynierii);</w:t>
            </w:r>
          </w:p>
          <w:p w14:paraId="6410ACB4" w14:textId="237AA57F" w:rsidR="00414673" w:rsidRPr="00D80606" w:rsidRDefault="00847566" w:rsidP="00D80606">
            <w:pPr>
              <w:pStyle w:val="Akapitzlist"/>
              <w:widowControl w:val="0"/>
              <w:numPr>
                <w:ilvl w:val="0"/>
                <w:numId w:val="73"/>
              </w:numPr>
              <w:spacing w:before="0" w:after="160"/>
              <w:ind w:right="0"/>
              <w:jc w:val="left"/>
              <w:rPr>
                <w:rFonts w:ascii="Trebuchet MS" w:eastAsia="Calibri" w:hAnsi="Trebuchet MS"/>
                <w:sz w:val="24"/>
                <w:szCs w:val="24"/>
              </w:rPr>
            </w:pPr>
            <w:r w:rsidRPr="00D80606">
              <w:rPr>
                <w:rFonts w:ascii="Trebuchet MS" w:hAnsi="Trebuchet MS"/>
                <w:sz w:val="24"/>
                <w:szCs w:val="24"/>
              </w:rPr>
              <w:t>usługi finansowe; oraz</w:t>
            </w:r>
          </w:p>
          <w:p w14:paraId="244893DA" w14:textId="577F7C69" w:rsidR="00414673" w:rsidRPr="00D80606" w:rsidRDefault="00847566" w:rsidP="00D80606">
            <w:pPr>
              <w:pStyle w:val="Akapitzlist"/>
              <w:widowControl w:val="0"/>
              <w:numPr>
                <w:ilvl w:val="0"/>
                <w:numId w:val="73"/>
              </w:numPr>
              <w:spacing w:before="0" w:after="160"/>
              <w:ind w:right="0"/>
              <w:jc w:val="left"/>
              <w:rPr>
                <w:rFonts w:ascii="Trebuchet MS" w:eastAsia="Calibri" w:hAnsi="Trebuchet MS"/>
                <w:sz w:val="24"/>
                <w:szCs w:val="24"/>
              </w:rPr>
            </w:pPr>
            <w:r w:rsidRPr="00D80606">
              <w:rPr>
                <w:rFonts w:ascii="Trebuchet MS" w:hAnsi="Trebuchet MS"/>
                <w:sz w:val="24"/>
                <w:szCs w:val="24"/>
              </w:rPr>
              <w:t xml:space="preserve">inne usługi (np. w zakresie ochrony zdrowia czy edukacji). </w:t>
            </w:r>
          </w:p>
          <w:p w14:paraId="249CDF15" w14:textId="6B436E6C" w:rsidR="00927281" w:rsidRPr="00D80606" w:rsidRDefault="003C47FE"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Ten ważny sektor jest nadal słabo rozwinięty w Europie Środkowej w porównaniu z innymi krajami UE i wymaga nie tylko modernizacji, ale także dalszego rozwoju. Jego udział w całkowitej wartości dodanej brutto wynosi na przykład około 29%, podczas gdy średnia w innych regionach UE wynosi 32% (wiiw, 2020).</w:t>
            </w:r>
          </w:p>
          <w:p w14:paraId="3126FC2D" w14:textId="1E6042D8" w:rsidR="00927281" w:rsidRPr="00D80606" w:rsidRDefault="003C47FE"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Wyzwaniem jest wykorzystanie lokalnych atutów, włączenie ich do polityk S3 i rozszerzenie istniejących lub opracowanie nowych rodzajów działalności gospodarczej. Pozytywnymi przykładami są </w:t>
            </w:r>
            <w:r w:rsidRPr="00D80606">
              <w:rPr>
                <w:rFonts w:ascii="Trebuchet MS" w:hAnsi="Trebuchet MS"/>
                <w:b/>
                <w:sz w:val="24"/>
                <w:szCs w:val="24"/>
              </w:rPr>
              <w:t>przemysł turystyczny</w:t>
            </w:r>
            <w:r w:rsidRPr="00D80606">
              <w:rPr>
                <w:rFonts w:ascii="Trebuchet MS" w:hAnsi="Trebuchet MS"/>
                <w:sz w:val="24"/>
                <w:szCs w:val="24"/>
              </w:rPr>
              <w:t xml:space="preserve"> oraz branże </w:t>
            </w:r>
            <w:r w:rsidRPr="00D80606">
              <w:rPr>
                <w:rFonts w:ascii="Trebuchet MS" w:hAnsi="Trebuchet MS"/>
                <w:b/>
                <w:sz w:val="24"/>
                <w:szCs w:val="24"/>
              </w:rPr>
              <w:t>kreatywna i kulturalna</w:t>
            </w:r>
            <w:r w:rsidRPr="00D80606">
              <w:rPr>
                <w:rFonts w:ascii="Trebuchet MS" w:hAnsi="Trebuchet MS"/>
                <w:sz w:val="24"/>
                <w:szCs w:val="24"/>
              </w:rPr>
              <w:t>. Są one katalizatorami wykorzystania wiedzy lokalnej do rozwijania nowych działań</w:t>
            </w:r>
            <w:r w:rsidRPr="00D80606">
              <w:rPr>
                <w:rFonts w:ascii="Trebuchet MS" w:hAnsi="Trebuchet MS"/>
                <w:b/>
                <w:sz w:val="24"/>
                <w:szCs w:val="24"/>
              </w:rPr>
              <w:t>.</w:t>
            </w:r>
            <w:r w:rsidRPr="00D80606">
              <w:rPr>
                <w:rFonts w:ascii="Trebuchet MS" w:hAnsi="Trebuchet MS"/>
                <w:sz w:val="24"/>
                <w:szCs w:val="24"/>
              </w:rPr>
              <w:t xml:space="preserve"> Turystyka jest dobrze rozwinięta na obszarach przybrzeżnych i górskich w Europie Środkowej i ma duże znaczenie dla lokalnych gospodarek, ponieważ zapewnia do 14% całkowitego poziomu zatrudnienia (dane na podstawie zatrudnienia w regionach NUTS-2 w 2017 r.). W bardziej oddalonych regionach wiejskich turystyka i przemysł kulturowy dysponują niewykorzystanym potencjałem gospodarczym, na przykład w postaci połączenia zrównoważonej turystyki z lokalnym rzemiosłem. Aby rozwijać taką działalność, polityka musi wspierać lokalnych interesariuszy w tworzeniu skoordynowanych i zrównoważonych strategii turystycznych.</w:t>
            </w:r>
          </w:p>
          <w:p w14:paraId="3FA51221" w14:textId="3FB894C4" w:rsidR="00927281" w:rsidRPr="00927281" w:rsidRDefault="00394316" w:rsidP="00D80606">
            <w:pPr>
              <w:widowControl w:val="0"/>
              <w:spacing w:before="0" w:after="160"/>
              <w:ind w:left="0" w:right="0"/>
              <w:jc w:val="left"/>
              <w:rPr>
                <w:rFonts w:ascii="Trebuchet MS" w:eastAsia="Calibri" w:hAnsi="Trebuchet MS"/>
                <w:szCs w:val="22"/>
              </w:rPr>
            </w:pPr>
            <w:r w:rsidRPr="00D80606">
              <w:rPr>
                <w:rFonts w:ascii="Trebuchet MS" w:hAnsi="Trebuchet MS"/>
                <w:b/>
                <w:sz w:val="24"/>
                <w:szCs w:val="24"/>
              </w:rPr>
              <w:t>Europejski Zielony Ład i Agenda Terytorialna 2030</w:t>
            </w:r>
            <w:r w:rsidRPr="00D80606">
              <w:rPr>
                <w:rFonts w:ascii="Trebuchet MS" w:hAnsi="Trebuchet MS"/>
                <w:sz w:val="24"/>
                <w:szCs w:val="24"/>
              </w:rPr>
              <w:t xml:space="preserve"> zwracają uwagę na ekologiczny wymiar transformacji gospodarczej i podkreślają rolę </w:t>
            </w:r>
            <w:r w:rsidRPr="00D80606">
              <w:rPr>
                <w:rFonts w:ascii="Trebuchet MS" w:hAnsi="Trebuchet MS"/>
                <w:b/>
                <w:sz w:val="24"/>
                <w:szCs w:val="24"/>
              </w:rPr>
              <w:t>gospodarki o obiegu zamkniętym</w:t>
            </w:r>
            <w:r w:rsidRPr="00D80606">
              <w:rPr>
                <w:rFonts w:ascii="Trebuchet MS" w:hAnsi="Trebuchet MS"/>
                <w:sz w:val="24"/>
                <w:szCs w:val="24"/>
              </w:rPr>
              <w:t xml:space="preserve">. Mimo że w Europie Środkowej wzrasta znaczenie idei obiegu zamkniętego, wiele obszarów nadal pozostaje w tyle za średnią UE. Nadrobienie zaległości będzie wymagało znacznych wysiłków, zwłaszcza w Chorwacji, Polsce, Czechach, na Słowacji i Węgrzech (Rysunek 2 - wiiw, 2020). Należy wspierać projektowanie i produkcję o obiegu zamkniętym oraz innowacje i inwestycje </w:t>
            </w:r>
            <w:r w:rsidRPr="00D80606">
              <w:rPr>
                <w:rFonts w:ascii="Trebuchet MS" w:hAnsi="Trebuchet MS"/>
                <w:sz w:val="24"/>
                <w:szCs w:val="24"/>
              </w:rPr>
              <w:lastRenderedPageBreak/>
              <w:t>związane z gospodarką o obiegu zamkniętym. Zmiany można również osiągnąć poprzez wzmacnianie biogospodarki, wspierając rozwój gospodarczy obszarów wiejskich.</w:t>
            </w:r>
          </w:p>
          <w:p w14:paraId="6A71FBF1" w14:textId="10F04938" w:rsidR="007C7E7A" w:rsidRPr="00680741" w:rsidRDefault="007C7E7A" w:rsidP="007C7E7A">
            <w:pPr>
              <w:widowControl w:val="0"/>
              <w:spacing w:before="0" w:after="160" w:line="259" w:lineRule="auto"/>
              <w:ind w:left="0" w:right="0"/>
              <w:rPr>
                <w:rFonts w:ascii="Trebuchet MS" w:eastAsia="Calibri" w:hAnsi="Trebuchet MS"/>
                <w:szCs w:val="22"/>
              </w:rPr>
            </w:pPr>
          </w:p>
          <w:p w14:paraId="59BBB6E9" w14:textId="1BF0B163" w:rsidR="00927281" w:rsidRPr="00927281" w:rsidRDefault="00927281" w:rsidP="007C7E7A">
            <w:pPr>
              <w:widowControl w:val="0"/>
              <w:pBdr>
                <w:top w:val="single" w:sz="4" w:space="5" w:color="9E9FA3"/>
              </w:pBdr>
              <w:spacing w:before="0" w:after="120" w:line="290" w:lineRule="exact"/>
              <w:ind w:left="0" w:right="0"/>
              <w:contextualSpacing/>
              <w:jc w:val="left"/>
              <w:rPr>
                <w:rFonts w:ascii="Trebuchet MS" w:eastAsia="SimSun" w:hAnsi="Trebuchet MS" w:cs="Arial"/>
                <w:b/>
                <w:sz w:val="18"/>
                <w:szCs w:val="24"/>
              </w:rPr>
            </w:pPr>
            <w:bookmarkStart w:id="22" w:name="_Ref20754654"/>
            <w:bookmarkStart w:id="23" w:name="_Toc23248807"/>
            <w:r>
              <w:rPr>
                <w:rFonts w:ascii="Trebuchet MS" w:hAnsi="Trebuchet MS"/>
                <w:b/>
                <w:sz w:val="18"/>
              </w:rPr>
              <w:t xml:space="preserve">Rysunek </w:t>
            </w:r>
            <w:r w:rsidRPr="00927281">
              <w:rPr>
                <w:rFonts w:ascii="Trebuchet MS" w:eastAsia="SimSun" w:hAnsi="Trebuchet MS" w:cs="Arial"/>
                <w:b/>
                <w:sz w:val="18"/>
              </w:rPr>
              <w:fldChar w:fldCharType="begin"/>
            </w:r>
            <w:r w:rsidRPr="00927281">
              <w:rPr>
                <w:rFonts w:ascii="Trebuchet MS" w:eastAsia="SimSun" w:hAnsi="Trebuchet MS" w:cs="Arial"/>
                <w:b/>
                <w:sz w:val="18"/>
              </w:rPr>
              <w:instrText xml:space="preserve"> SEQ Figure \* ARABIC </w:instrText>
            </w:r>
            <w:r w:rsidRPr="00927281">
              <w:rPr>
                <w:rFonts w:ascii="Trebuchet MS" w:eastAsia="SimSun" w:hAnsi="Trebuchet MS" w:cs="Arial"/>
                <w:b/>
                <w:sz w:val="18"/>
              </w:rPr>
              <w:fldChar w:fldCharType="separate"/>
            </w:r>
            <w:r w:rsidR="00680741">
              <w:rPr>
                <w:rFonts w:ascii="Trebuchet MS" w:eastAsia="SimSun" w:hAnsi="Trebuchet MS" w:cs="Arial"/>
                <w:b/>
                <w:noProof/>
                <w:sz w:val="18"/>
              </w:rPr>
              <w:t>2</w:t>
            </w:r>
            <w:r w:rsidRPr="00927281">
              <w:rPr>
                <w:rFonts w:ascii="Trebuchet MS" w:eastAsia="SimSun" w:hAnsi="Trebuchet MS" w:cs="Arial"/>
                <w:b/>
                <w:sz w:val="18"/>
              </w:rPr>
              <w:fldChar w:fldCharType="end"/>
            </w:r>
            <w:bookmarkEnd w:id="22"/>
            <w:r>
              <w:rPr>
                <w:rFonts w:ascii="Trebuchet MS" w:hAnsi="Trebuchet MS"/>
                <w:b/>
                <w:sz w:val="18"/>
              </w:rPr>
              <w:t>: Poziom recyklingu odpadów komunalnych, 2012 i 201</w:t>
            </w:r>
            <w:bookmarkEnd w:id="23"/>
            <w:r>
              <w:rPr>
                <w:rFonts w:ascii="Trebuchet MS" w:hAnsi="Trebuchet MS"/>
                <w:b/>
                <w:sz w:val="18"/>
              </w:rPr>
              <w:t>8, % ogółu wytworzonych odpadów</w:t>
            </w:r>
          </w:p>
          <w:p w14:paraId="1164EFAD" w14:textId="77777777" w:rsidR="00927281" w:rsidRPr="00927281" w:rsidRDefault="00927281" w:rsidP="007C7E7A">
            <w:pPr>
              <w:widowControl w:val="0"/>
              <w:spacing w:before="0" w:after="160" w:line="259" w:lineRule="auto"/>
              <w:ind w:left="0" w:right="0"/>
              <w:jc w:val="center"/>
              <w:rPr>
                <w:rFonts w:ascii="Calibri" w:eastAsia="Calibri" w:hAnsi="Calibri"/>
                <w:sz w:val="22"/>
                <w:szCs w:val="22"/>
              </w:rPr>
            </w:pPr>
            <w:r>
              <w:rPr>
                <w:rFonts w:ascii="Calibri" w:hAnsi="Calibri"/>
                <w:noProof/>
                <w:sz w:val="22"/>
                <w:lang w:eastAsia="pl-PL"/>
              </w:rPr>
              <w:drawing>
                <wp:inline distT="0" distB="0" distL="0" distR="0" wp14:anchorId="2408500D" wp14:editId="7354872D">
                  <wp:extent cx="4352290" cy="4444365"/>
                  <wp:effectExtent l="0" t="0" r="10160" b="13335"/>
                  <wp:docPr id="11" name="Diagramm 11" descr="Prezentowane dane Eurostatu pochodzą z lat 2012 i 2018 (w przypadku Irlandii z lat 2012 i 2017) i są zestawiane z procentem ogółu wytworzonych odpadów. Rok 2012 zaznaczono kolorem niebieskim, rok 2018 (2017 w przypadku Irlandii) kolorem pomarańczowym. " title="Wykres prezentujący poziom recyklingu odpadów komunalnych państw UE"/>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84B69F5" w14:textId="77777777" w:rsidR="00927281" w:rsidRPr="00927281" w:rsidRDefault="00927281" w:rsidP="007C7E7A">
            <w:pPr>
              <w:widowControl w:val="0"/>
              <w:pBdr>
                <w:bottom w:val="single" w:sz="4" w:space="5" w:color="9E9FA3"/>
              </w:pBdr>
              <w:spacing w:before="0" w:after="290" w:line="220" w:lineRule="exact"/>
              <w:ind w:left="0" w:right="0"/>
              <w:contextualSpacing/>
              <w:jc w:val="left"/>
              <w:rPr>
                <w:rFonts w:ascii="Trebuchet MS" w:eastAsia="SimSun" w:hAnsi="Trebuchet MS" w:cs="Arial"/>
                <w:sz w:val="16"/>
                <w:szCs w:val="24"/>
              </w:rPr>
            </w:pPr>
            <w:r>
              <w:rPr>
                <w:rFonts w:ascii="Trebuchet MS" w:hAnsi="Trebuchet MS"/>
                <w:sz w:val="16"/>
              </w:rPr>
              <w:t>Uwagi: Dane dla Irlandii za 2017 r.</w:t>
            </w:r>
          </w:p>
          <w:p w14:paraId="302CB8FE" w14:textId="77777777" w:rsidR="00927281" w:rsidRPr="00927281" w:rsidRDefault="00927281" w:rsidP="007C7E7A">
            <w:pPr>
              <w:widowControl w:val="0"/>
              <w:pBdr>
                <w:bottom w:val="single" w:sz="4" w:space="5" w:color="9E9FA3"/>
              </w:pBdr>
              <w:spacing w:before="0" w:after="290" w:line="220" w:lineRule="exact"/>
              <w:ind w:left="0" w:right="0"/>
              <w:contextualSpacing/>
              <w:jc w:val="left"/>
              <w:rPr>
                <w:rFonts w:ascii="Trebuchet MS" w:eastAsia="SimSun" w:hAnsi="Trebuchet MS" w:cs="Arial"/>
                <w:sz w:val="16"/>
                <w:szCs w:val="24"/>
              </w:rPr>
            </w:pPr>
            <w:r>
              <w:rPr>
                <w:rFonts w:ascii="Trebuchet MS" w:hAnsi="Trebuchet MS"/>
                <w:sz w:val="16"/>
              </w:rPr>
              <w:t>Źródło: Eurostat</w:t>
            </w:r>
          </w:p>
          <w:p w14:paraId="3EC1ABB6" w14:textId="77777777" w:rsidR="00927281" w:rsidRPr="00680741" w:rsidRDefault="00927281" w:rsidP="007C7E7A">
            <w:pPr>
              <w:widowControl w:val="0"/>
              <w:spacing w:before="0" w:after="160" w:line="259" w:lineRule="auto"/>
              <w:ind w:left="0" w:right="0"/>
              <w:jc w:val="left"/>
              <w:rPr>
                <w:rFonts w:ascii="Calibri" w:eastAsia="Calibri" w:hAnsi="Calibri"/>
                <w:sz w:val="22"/>
                <w:szCs w:val="22"/>
              </w:rPr>
            </w:pPr>
          </w:p>
          <w:p w14:paraId="2D3F8087" w14:textId="00BF3D62" w:rsidR="00F11661" w:rsidRPr="00D80606" w:rsidRDefault="00927281" w:rsidP="00D80606">
            <w:pPr>
              <w:widowControl w:val="0"/>
              <w:spacing w:before="0"/>
              <w:ind w:left="0" w:right="0"/>
              <w:jc w:val="left"/>
              <w:rPr>
                <w:rFonts w:ascii="Calibri" w:eastAsia="Calibri" w:hAnsi="Calibri"/>
                <w:sz w:val="24"/>
                <w:szCs w:val="24"/>
              </w:rPr>
            </w:pPr>
            <w:r w:rsidRPr="00D80606">
              <w:rPr>
                <w:rFonts w:ascii="Trebuchet MS" w:hAnsi="Trebuchet MS"/>
                <w:sz w:val="24"/>
                <w:szCs w:val="24"/>
              </w:rPr>
              <w:t xml:space="preserve">Głównym warunkiem przejścia na gospodarkę cyfrową i zieloną stanowią badania i innowacje. Z celowej analizy ESPON CE-FLOWS (VVA i in., 2020) wynika, że współpraca między obszarami o różnych poziomach zdolności badawczych i innowacyjnych ma zasadnicze znaczenie dla ogólnej poprawy </w:t>
            </w:r>
            <w:r w:rsidRPr="00D80606">
              <w:rPr>
                <w:rFonts w:ascii="Trebuchet MS" w:hAnsi="Trebuchet MS"/>
                <w:b/>
                <w:sz w:val="24"/>
                <w:szCs w:val="24"/>
              </w:rPr>
              <w:t>potencjału</w:t>
            </w:r>
            <w:r w:rsidRPr="00D80606">
              <w:rPr>
                <w:rFonts w:ascii="Trebuchet MS" w:hAnsi="Trebuchet MS"/>
                <w:sz w:val="24"/>
                <w:szCs w:val="24"/>
              </w:rPr>
              <w:t xml:space="preserve"> w zakresie badań i innowacji. W Europie Środkowej występują pod tym względem ogromne różnice</w:t>
            </w:r>
            <w:r w:rsidRPr="00D80606">
              <w:rPr>
                <w:rFonts w:ascii="Trebuchet MS" w:hAnsi="Trebuchet MS"/>
                <w:b/>
                <w:sz w:val="24"/>
                <w:szCs w:val="24"/>
              </w:rPr>
              <w:t xml:space="preserve"> </w:t>
            </w:r>
            <w:r w:rsidRPr="00D80606">
              <w:rPr>
                <w:rFonts w:ascii="Trebuchet MS" w:hAnsi="Trebuchet MS"/>
                <w:sz w:val="24"/>
                <w:szCs w:val="24"/>
              </w:rPr>
              <w:t xml:space="preserve">(wiiw, 2020). Tylko kilka regionów, głównie w Austrii i Niemczech, przekracza unijny poziom odniesienia (benchmark) wynoszący 3 % PKB dla wydatków na badania i innowacje (Rysunek 3). Działania w zakresie badań i innowacji oraz związany z nimi kapitał ludzki są w większości skoncentrowane w wysoko zurbanizowanych zachodnich regionach obszaru objętego programem. W krajach takich jak Chorwacja, Czechy, Węgry, Polska czy Słowacja to przestrzenne </w:t>
            </w:r>
            <w:r w:rsidRPr="00D80606">
              <w:rPr>
                <w:rFonts w:ascii="Trebuchet MS" w:hAnsi="Trebuchet MS"/>
                <w:sz w:val="24"/>
                <w:szCs w:val="24"/>
              </w:rPr>
              <w:lastRenderedPageBreak/>
              <w:t xml:space="preserve">zgrupowanie działalności badawczo-innowacyjnej z czasem zwiększyło się, na niekorzyść regionów wiejskich. Działalność badawczo-innowacyjna jest również zdominowana przez duże przedsiębiorstwa, na które przypada średnio 50-60% komercyjnych nakładów na badania i rozwój. </w:t>
            </w:r>
          </w:p>
          <w:p w14:paraId="24546A71" w14:textId="77777777" w:rsidR="0065536C" w:rsidRPr="00680741" w:rsidRDefault="0065536C" w:rsidP="007C7E7A">
            <w:pPr>
              <w:widowControl w:val="0"/>
              <w:spacing w:before="0" w:line="240" w:lineRule="auto"/>
              <w:ind w:left="0" w:right="0"/>
              <w:jc w:val="left"/>
              <w:rPr>
                <w:rFonts w:ascii="Calibri" w:eastAsia="Calibri" w:hAnsi="Calibri"/>
                <w:sz w:val="22"/>
                <w:szCs w:val="22"/>
              </w:rPr>
            </w:pPr>
          </w:p>
          <w:p w14:paraId="72F5F5EF" w14:textId="77777777" w:rsidR="007C7E7A" w:rsidRPr="00680741" w:rsidRDefault="007C7E7A" w:rsidP="007C7E7A">
            <w:pPr>
              <w:widowControl w:val="0"/>
              <w:spacing w:before="0" w:line="240" w:lineRule="auto"/>
              <w:ind w:left="0" w:right="0"/>
              <w:jc w:val="left"/>
              <w:rPr>
                <w:rFonts w:ascii="Calibri" w:eastAsia="Calibri" w:hAnsi="Calibri"/>
                <w:sz w:val="22"/>
                <w:szCs w:val="22"/>
              </w:rPr>
            </w:pPr>
          </w:p>
          <w:p w14:paraId="1DE1E80C" w14:textId="3F8D8A55" w:rsidR="00927281" w:rsidRDefault="00927281" w:rsidP="007C7E7A">
            <w:pPr>
              <w:widowControl w:val="0"/>
              <w:pBdr>
                <w:top w:val="single" w:sz="4" w:space="5" w:color="9E9FA3"/>
              </w:pBdr>
              <w:spacing w:before="0" w:after="120" w:line="290" w:lineRule="exact"/>
              <w:ind w:left="0" w:right="0"/>
              <w:contextualSpacing/>
              <w:jc w:val="left"/>
              <w:rPr>
                <w:rFonts w:ascii="Trebuchet MS" w:eastAsia="SimSun" w:hAnsi="Trebuchet MS" w:cs="Arial"/>
                <w:b/>
                <w:sz w:val="18"/>
                <w:szCs w:val="24"/>
              </w:rPr>
            </w:pPr>
            <w:bookmarkStart w:id="24" w:name="_Toc52438122"/>
            <w:r>
              <w:rPr>
                <w:rFonts w:ascii="Trebuchet MS" w:hAnsi="Trebuchet MS"/>
                <w:b/>
                <w:sz w:val="18"/>
              </w:rPr>
              <w:t xml:space="preserve">Rysunek </w:t>
            </w:r>
            <w:r w:rsidRPr="00927281">
              <w:rPr>
                <w:rFonts w:ascii="Trebuchet MS" w:eastAsia="SimSun" w:hAnsi="Trebuchet MS" w:cs="Arial"/>
                <w:b/>
                <w:sz w:val="18"/>
              </w:rPr>
              <w:fldChar w:fldCharType="begin"/>
            </w:r>
            <w:r w:rsidRPr="00927281">
              <w:rPr>
                <w:rFonts w:ascii="Trebuchet MS" w:eastAsia="SimSun" w:hAnsi="Trebuchet MS" w:cs="Arial"/>
                <w:b/>
                <w:sz w:val="18"/>
              </w:rPr>
              <w:instrText xml:space="preserve"> SEQ Figure \* ARABIC </w:instrText>
            </w:r>
            <w:r w:rsidRPr="00927281">
              <w:rPr>
                <w:rFonts w:ascii="Trebuchet MS" w:eastAsia="SimSun" w:hAnsi="Trebuchet MS" w:cs="Arial"/>
                <w:b/>
                <w:sz w:val="18"/>
              </w:rPr>
              <w:fldChar w:fldCharType="separate"/>
            </w:r>
            <w:r w:rsidR="00680741">
              <w:rPr>
                <w:rFonts w:ascii="Trebuchet MS" w:eastAsia="SimSun" w:hAnsi="Trebuchet MS" w:cs="Arial"/>
                <w:b/>
                <w:noProof/>
                <w:sz w:val="18"/>
              </w:rPr>
              <w:t>3</w:t>
            </w:r>
            <w:r w:rsidRPr="00927281">
              <w:rPr>
                <w:rFonts w:ascii="Trebuchet MS" w:eastAsia="SimSun" w:hAnsi="Trebuchet MS" w:cs="Arial"/>
                <w:b/>
                <w:sz w:val="18"/>
              </w:rPr>
              <w:fldChar w:fldCharType="end"/>
            </w:r>
            <w:r>
              <w:rPr>
                <w:rFonts w:ascii="Trebuchet MS" w:hAnsi="Trebuchet MS"/>
                <w:b/>
                <w:sz w:val="18"/>
              </w:rPr>
              <w:t>: Wydatki wewnętrzne na B+R, gospodarka ogółem 2016, w % PKB</w:t>
            </w:r>
            <w:bookmarkEnd w:id="24"/>
          </w:p>
          <w:p w14:paraId="2A792237" w14:textId="77777777" w:rsidR="005924F3" w:rsidRPr="00680741" w:rsidRDefault="005924F3" w:rsidP="007C7E7A">
            <w:pPr>
              <w:widowControl w:val="0"/>
              <w:pBdr>
                <w:top w:val="single" w:sz="4" w:space="5" w:color="9E9FA3"/>
              </w:pBdr>
              <w:spacing w:before="0" w:after="120" w:line="290" w:lineRule="exact"/>
              <w:ind w:left="0" w:right="0"/>
              <w:contextualSpacing/>
              <w:jc w:val="left"/>
              <w:rPr>
                <w:rFonts w:ascii="Trebuchet MS" w:eastAsia="SimSun" w:hAnsi="Trebuchet MS" w:cs="Arial"/>
                <w:b/>
                <w:sz w:val="18"/>
                <w:szCs w:val="24"/>
                <w:lang w:eastAsia="zh-CN"/>
              </w:rPr>
            </w:pPr>
          </w:p>
          <w:p w14:paraId="7E8FD0D3" w14:textId="77777777" w:rsidR="00927281" w:rsidRPr="00927281" w:rsidRDefault="00927281" w:rsidP="007C7E7A">
            <w:pPr>
              <w:widowControl w:val="0"/>
              <w:spacing w:before="0" w:after="160" w:line="259" w:lineRule="auto"/>
              <w:ind w:left="0" w:right="0"/>
              <w:jc w:val="center"/>
              <w:rPr>
                <w:rFonts w:ascii="Calibri" w:eastAsia="Calibri" w:hAnsi="Calibri"/>
                <w:sz w:val="22"/>
                <w:szCs w:val="22"/>
              </w:rPr>
            </w:pPr>
            <w:r>
              <w:rPr>
                <w:rFonts w:ascii="Calibri" w:hAnsi="Calibri"/>
                <w:noProof/>
                <w:sz w:val="22"/>
                <w:lang w:eastAsia="pl-PL"/>
              </w:rPr>
              <w:drawing>
                <wp:inline distT="0" distB="0" distL="0" distR="0" wp14:anchorId="3CFA2DA9" wp14:editId="7CA729E7">
                  <wp:extent cx="2882265" cy="4074160"/>
                  <wp:effectExtent l="0" t="0" r="0" b="2540"/>
                  <wp:docPr id="2" name="Grafik 2" descr="Prezentowane dane Eurostatu pochodza z 2016 roku. Dotyczą państw i regionów państw biorących udział w programie Interreg Europa Środkowa. " title="Mapa prezentująca wydatki wewnętrzne państw na działania badawczo-rozwojowe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2265" cy="4074160"/>
                          </a:xfrm>
                          <a:prstGeom prst="rect">
                            <a:avLst/>
                          </a:prstGeom>
                          <a:noFill/>
                          <a:ln>
                            <a:noFill/>
                          </a:ln>
                        </pic:spPr>
                      </pic:pic>
                    </a:graphicData>
                  </a:graphic>
                </wp:inline>
              </w:drawing>
            </w:r>
          </w:p>
          <w:p w14:paraId="6E4B1EE4" w14:textId="77777777" w:rsidR="00927281" w:rsidRPr="00927281" w:rsidRDefault="00927281" w:rsidP="007C7E7A">
            <w:pPr>
              <w:widowControl w:val="0"/>
              <w:pBdr>
                <w:bottom w:val="single" w:sz="4" w:space="5" w:color="9E9FA3"/>
              </w:pBdr>
              <w:spacing w:before="0" w:after="290" w:line="220" w:lineRule="exact"/>
              <w:ind w:left="0" w:right="0"/>
              <w:contextualSpacing/>
              <w:jc w:val="left"/>
              <w:rPr>
                <w:rFonts w:ascii="Trebuchet MS" w:eastAsia="SimSun" w:hAnsi="Trebuchet MS" w:cs="Arial"/>
                <w:sz w:val="16"/>
                <w:szCs w:val="24"/>
              </w:rPr>
            </w:pPr>
            <w:r>
              <w:rPr>
                <w:rFonts w:ascii="Trebuchet MS" w:hAnsi="Trebuchet MS"/>
                <w:sz w:val="16"/>
              </w:rPr>
              <w:t>Źródło: Eurostat; Mapa: wiiw</w:t>
            </w:r>
          </w:p>
          <w:p w14:paraId="52ED14ED" w14:textId="77777777" w:rsidR="00927281" w:rsidRPr="00680741" w:rsidRDefault="00927281" w:rsidP="007C7E7A">
            <w:pPr>
              <w:widowControl w:val="0"/>
              <w:spacing w:before="0" w:after="160" w:line="259" w:lineRule="auto"/>
              <w:ind w:left="0" w:right="0"/>
              <w:jc w:val="left"/>
              <w:rPr>
                <w:rFonts w:ascii="Calibri" w:eastAsia="Calibri" w:hAnsi="Calibri"/>
                <w:sz w:val="22"/>
                <w:szCs w:val="22"/>
              </w:rPr>
            </w:pPr>
          </w:p>
          <w:p w14:paraId="6C48AAED" w14:textId="3082D747"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Aby sprostać wyzwaniom związanym z badaniami naukowymi i innowacjami, polityka musi wspierać sieci różnych podmiotów zajmujących się innowacjami w poszczególnych krajach i pomiędzy nimi. Lepszy </w:t>
            </w:r>
            <w:r w:rsidRPr="00D80606">
              <w:rPr>
                <w:rFonts w:ascii="Trebuchet MS" w:hAnsi="Trebuchet MS"/>
                <w:b/>
                <w:sz w:val="24"/>
                <w:szCs w:val="24"/>
              </w:rPr>
              <w:t>transfer technologii, uczenie się polityk i dzielenie się najlepszymi praktykami</w:t>
            </w:r>
            <w:r w:rsidRPr="00D80606">
              <w:rPr>
                <w:rFonts w:ascii="Trebuchet MS" w:hAnsi="Trebuchet MS"/>
                <w:sz w:val="24"/>
                <w:szCs w:val="24"/>
              </w:rPr>
              <w:t xml:space="preserve"> są niezbędne do </w:t>
            </w:r>
            <w:r w:rsidRPr="00D80606">
              <w:rPr>
                <w:rFonts w:ascii="Trebuchet MS" w:hAnsi="Trebuchet MS"/>
                <w:b/>
                <w:sz w:val="24"/>
                <w:szCs w:val="24"/>
              </w:rPr>
              <w:t>poprawy zarządzania innowacjami</w:t>
            </w:r>
            <w:r w:rsidRPr="00D80606">
              <w:rPr>
                <w:rFonts w:ascii="Trebuchet MS" w:hAnsi="Trebuchet MS"/>
                <w:sz w:val="24"/>
                <w:szCs w:val="24"/>
              </w:rPr>
              <w:t xml:space="preserve">. Należy skoncentrować się na MŚP, aby umożliwić im stosowanie innowacyjnych metod, takich jak kluczowe technologie wspomagające i prototypowanie, lub uzyskanie dostępu do finansowania, np. poprzez kapitał typu venture. Transfer technologii i innowacji jest nadal zbyt mocno ograniczony do obszarów miejskich, gdzie główną siłą napędową są uniwersytety i instytucje badawcze (ESPON CE-FLOWS, VVA i in., 2020). Kluczowe znaczenie będzie miało przezwyciężenie przepaści między obszarami miejskimi a wsią oraz stworzenie </w:t>
            </w:r>
            <w:r w:rsidRPr="00D80606">
              <w:rPr>
                <w:rFonts w:ascii="Trebuchet MS" w:hAnsi="Trebuchet MS"/>
                <w:b/>
                <w:sz w:val="24"/>
                <w:szCs w:val="24"/>
              </w:rPr>
              <w:t>funkcjonalnych obszarów miejskich</w:t>
            </w:r>
            <w:r w:rsidRPr="00D80606">
              <w:rPr>
                <w:rFonts w:ascii="Trebuchet MS" w:hAnsi="Trebuchet MS"/>
                <w:sz w:val="24"/>
                <w:szCs w:val="24"/>
              </w:rPr>
              <w:t xml:space="preserve">, które fizycznie połączą rdzenie miast z ich </w:t>
            </w:r>
            <w:r w:rsidRPr="00D80606">
              <w:rPr>
                <w:rFonts w:ascii="Trebuchet MS" w:hAnsi="Trebuchet MS"/>
                <w:sz w:val="24"/>
                <w:szCs w:val="24"/>
              </w:rPr>
              <w:lastRenderedPageBreak/>
              <w:t>(wiejskimi) zapleczami. Obszary współpracy to partnerstwa międzyregionalne wzdłuż łańcuchów wartości, zielona gospodarka i współpraca międzysektorowa.</w:t>
            </w:r>
          </w:p>
          <w:p w14:paraId="3AD23657" w14:textId="54F5A7F7"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b/>
                <w:sz w:val="24"/>
                <w:szCs w:val="24"/>
              </w:rPr>
              <w:t>Umiejętności</w:t>
            </w:r>
            <w:r w:rsidRPr="00D80606">
              <w:rPr>
                <w:rFonts w:ascii="Trebuchet MS" w:hAnsi="Trebuchet MS"/>
                <w:sz w:val="24"/>
                <w:szCs w:val="24"/>
              </w:rPr>
              <w:t xml:space="preserve"> są również niezbędne dla udanego przejścia w kierunku zrównoważonej i sprzyjającej włączeniu społecznemu gospodarki, charakteryzującej się wysokim poziomem zatrudnienia. Podaż umiejętności w Europie Środkowej jest dostosowana do wspierania tej transformacji – ponad 80% osób posiada </w:t>
            </w:r>
            <w:r w:rsidRPr="00D80606">
              <w:rPr>
                <w:rFonts w:ascii="Trebuchet MS" w:hAnsi="Trebuchet MS"/>
                <w:b/>
                <w:sz w:val="24"/>
                <w:szCs w:val="24"/>
              </w:rPr>
              <w:t>wykształcenie</w:t>
            </w:r>
            <w:r w:rsidRPr="00D80606">
              <w:rPr>
                <w:rFonts w:ascii="Trebuchet MS" w:hAnsi="Trebuchet MS"/>
                <w:sz w:val="24"/>
                <w:szCs w:val="24"/>
              </w:rPr>
              <w:t xml:space="preserve"> średnie, policealne lub wyższe, co jest wartością przynajmniej o sześć punktów procentowych wyższą niż średnia UE (2019)(według Eurostat). Niemniej jednak osoby wysoko wykwalifikowane koncentrują się głównie w regionach miejskich (Rysunek 4). Regiony pośrednie i wiejskie charakteryzują się wysokim odsetkiem osób z wykształceniem średnim, które zazwyczaj stanowią trzon przemysłu wytwórczego. Wzmacnia to potrzebę Europy Środkowej w zakresie połączenia regionów miejskich i wiejskich oraz wykorzystania ich połączonego potencjału.</w:t>
            </w:r>
          </w:p>
          <w:p w14:paraId="7CC6EFF4" w14:textId="39BD2CAB" w:rsidR="00A24447" w:rsidRPr="00680741" w:rsidRDefault="00A24447" w:rsidP="00A24447">
            <w:pPr>
              <w:widowControl w:val="0"/>
              <w:spacing w:before="0" w:after="160" w:line="259" w:lineRule="auto"/>
              <w:ind w:left="0" w:right="0"/>
              <w:rPr>
                <w:rFonts w:ascii="Trebuchet MS" w:eastAsia="Calibri" w:hAnsi="Trebuchet MS"/>
                <w:szCs w:val="22"/>
              </w:rPr>
            </w:pPr>
          </w:p>
          <w:p w14:paraId="29677630" w14:textId="77777777" w:rsidR="00A31285" w:rsidRPr="00680741" w:rsidRDefault="00A31285" w:rsidP="00A24447">
            <w:pPr>
              <w:widowControl w:val="0"/>
              <w:spacing w:before="0" w:after="160" w:line="259" w:lineRule="auto"/>
              <w:ind w:left="0" w:right="0"/>
              <w:rPr>
                <w:rFonts w:ascii="Trebuchet MS" w:eastAsia="Calibri" w:hAnsi="Trebuchet MS"/>
                <w:szCs w:val="22"/>
              </w:rPr>
            </w:pPr>
          </w:p>
          <w:p w14:paraId="3FA8E5F4" w14:textId="77777777" w:rsidR="0065536C" w:rsidRPr="00680741" w:rsidRDefault="0065536C" w:rsidP="00A24447">
            <w:pPr>
              <w:widowControl w:val="0"/>
              <w:spacing w:before="0" w:after="160" w:line="259" w:lineRule="auto"/>
              <w:ind w:left="0" w:right="0"/>
              <w:rPr>
                <w:rFonts w:ascii="Trebuchet MS" w:eastAsia="Calibri" w:hAnsi="Trebuchet MS"/>
                <w:szCs w:val="22"/>
              </w:rPr>
            </w:pPr>
          </w:p>
          <w:p w14:paraId="76F06D81" w14:textId="23D54494" w:rsidR="00A24447" w:rsidRPr="00927281" w:rsidRDefault="00A24447" w:rsidP="00A24447">
            <w:pPr>
              <w:widowControl w:val="0"/>
              <w:pBdr>
                <w:top w:val="single" w:sz="4" w:space="5" w:color="9E9FA3"/>
              </w:pBdr>
              <w:spacing w:before="0" w:after="120" w:line="290" w:lineRule="exact"/>
              <w:ind w:left="0" w:right="0"/>
              <w:contextualSpacing/>
              <w:jc w:val="left"/>
              <w:rPr>
                <w:rFonts w:ascii="Trebuchet MS" w:eastAsia="SimSun" w:hAnsi="Trebuchet MS" w:cs="Arial"/>
                <w:b/>
                <w:sz w:val="18"/>
                <w:szCs w:val="24"/>
              </w:rPr>
            </w:pPr>
            <w:r>
              <w:rPr>
                <w:rFonts w:ascii="Trebuchet MS" w:hAnsi="Trebuchet MS"/>
                <w:b/>
                <w:sz w:val="18"/>
              </w:rPr>
              <w:t xml:space="preserve">Rysunek </w:t>
            </w:r>
            <w:r w:rsidRPr="00927281">
              <w:rPr>
                <w:rFonts w:ascii="Trebuchet MS" w:eastAsia="SimSun" w:hAnsi="Trebuchet MS" w:cs="Arial"/>
                <w:b/>
                <w:sz w:val="18"/>
              </w:rPr>
              <w:fldChar w:fldCharType="begin"/>
            </w:r>
            <w:r w:rsidRPr="00927281">
              <w:rPr>
                <w:rFonts w:ascii="Trebuchet MS" w:eastAsia="SimSun" w:hAnsi="Trebuchet MS" w:cs="Arial"/>
                <w:b/>
                <w:sz w:val="18"/>
              </w:rPr>
              <w:instrText xml:space="preserve"> SEQ Figure \* ARABIC </w:instrText>
            </w:r>
            <w:r w:rsidRPr="00927281">
              <w:rPr>
                <w:rFonts w:ascii="Trebuchet MS" w:eastAsia="SimSun" w:hAnsi="Trebuchet MS" w:cs="Arial"/>
                <w:b/>
                <w:sz w:val="18"/>
              </w:rPr>
              <w:fldChar w:fldCharType="separate"/>
            </w:r>
            <w:r w:rsidR="00680741">
              <w:rPr>
                <w:rFonts w:ascii="Trebuchet MS" w:eastAsia="SimSun" w:hAnsi="Trebuchet MS" w:cs="Arial"/>
                <w:b/>
                <w:noProof/>
                <w:sz w:val="18"/>
              </w:rPr>
              <w:t>4</w:t>
            </w:r>
            <w:r w:rsidRPr="00927281">
              <w:rPr>
                <w:rFonts w:ascii="Trebuchet MS" w:eastAsia="SimSun" w:hAnsi="Trebuchet MS" w:cs="Arial"/>
                <w:b/>
                <w:sz w:val="18"/>
              </w:rPr>
              <w:fldChar w:fldCharType="end"/>
            </w:r>
            <w:r>
              <w:rPr>
                <w:rFonts w:ascii="Trebuchet MS" w:hAnsi="Trebuchet MS"/>
                <w:b/>
                <w:sz w:val="18"/>
              </w:rPr>
              <w:t>: Odsetek ludności z wykształceniem wyższym</w:t>
            </w:r>
          </w:p>
          <w:p w14:paraId="00A5F676" w14:textId="078CACE7" w:rsidR="00A24447" w:rsidRPr="00927281" w:rsidRDefault="00A24447" w:rsidP="00A24447">
            <w:pPr>
              <w:widowControl w:val="0"/>
              <w:spacing w:before="0" w:after="160" w:line="259" w:lineRule="auto"/>
              <w:ind w:left="0" w:right="0"/>
              <w:jc w:val="center"/>
              <w:rPr>
                <w:rFonts w:ascii="Calibri" w:eastAsia="Calibri" w:hAnsi="Calibri"/>
                <w:sz w:val="22"/>
                <w:szCs w:val="22"/>
              </w:rPr>
            </w:pPr>
            <w:r>
              <w:rPr>
                <w:rFonts w:ascii="Calibri" w:hAnsi="Calibri"/>
                <w:noProof/>
                <w:sz w:val="22"/>
                <w:lang w:eastAsia="pl-PL"/>
              </w:rPr>
              <w:drawing>
                <wp:inline distT="0" distB="0" distL="0" distR="0" wp14:anchorId="5F14B612" wp14:editId="69111447">
                  <wp:extent cx="2696845" cy="3819525"/>
                  <wp:effectExtent l="0" t="0" r="8255" b="9525"/>
                  <wp:docPr id="4" name="Grafik 4" descr="Na mapie przedstawiono dane Eurostatu z 2019 roku dotyczące odsetka ludności państw i regionów państw uczestniczących w programie Interreg Europa Środkowa z wykształceniem wyższym. " title="Mapa przedstawiająca odsetek ludności z wykształceniem wyższ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6845" cy="3819525"/>
                          </a:xfrm>
                          <a:prstGeom prst="rect">
                            <a:avLst/>
                          </a:prstGeom>
                          <a:noFill/>
                          <a:ln>
                            <a:noFill/>
                          </a:ln>
                        </pic:spPr>
                      </pic:pic>
                    </a:graphicData>
                  </a:graphic>
                </wp:inline>
              </w:drawing>
            </w:r>
          </w:p>
          <w:p w14:paraId="79ECC56F" w14:textId="77777777" w:rsidR="00A24447" w:rsidRPr="00927281" w:rsidRDefault="00A24447" w:rsidP="00A24447">
            <w:pPr>
              <w:widowControl w:val="0"/>
              <w:pBdr>
                <w:bottom w:val="single" w:sz="4" w:space="5" w:color="9E9FA3"/>
              </w:pBdr>
              <w:spacing w:before="0" w:after="290" w:line="220" w:lineRule="exact"/>
              <w:ind w:left="0" w:right="0"/>
              <w:contextualSpacing/>
              <w:jc w:val="left"/>
              <w:rPr>
                <w:rFonts w:ascii="Trebuchet MS" w:eastAsia="SimSun" w:hAnsi="Trebuchet MS" w:cs="Arial"/>
                <w:sz w:val="16"/>
                <w:szCs w:val="24"/>
              </w:rPr>
            </w:pPr>
            <w:r>
              <w:rPr>
                <w:rFonts w:ascii="Trebuchet MS" w:hAnsi="Trebuchet MS"/>
                <w:sz w:val="16"/>
              </w:rPr>
              <w:t>Źródło: Eurostat; Mapa: wiiw</w:t>
            </w:r>
          </w:p>
          <w:p w14:paraId="0B5F38DA" w14:textId="77777777" w:rsidR="00A24447" w:rsidRPr="00927281" w:rsidRDefault="00A24447" w:rsidP="00A24447">
            <w:pPr>
              <w:widowControl w:val="0"/>
              <w:spacing w:before="0" w:after="160" w:line="259" w:lineRule="auto"/>
              <w:ind w:left="0" w:right="0"/>
              <w:jc w:val="left"/>
              <w:rPr>
                <w:rFonts w:ascii="Calibri" w:eastAsia="Calibri" w:hAnsi="Calibri"/>
                <w:color w:val="A5A5A5"/>
                <w:sz w:val="22"/>
                <w:szCs w:val="22"/>
              </w:rPr>
            </w:pPr>
            <w:r>
              <w:br w:type="page"/>
            </w:r>
          </w:p>
          <w:p w14:paraId="155FBAE6" w14:textId="18612468" w:rsidR="00CC34A0" w:rsidRPr="00D80606" w:rsidRDefault="00CC34A0"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Trwające przemiany na rynkach pracy i podział pracy między poszczególnymi </w:t>
            </w:r>
            <w:r w:rsidRPr="00D80606">
              <w:rPr>
                <w:rFonts w:ascii="Trebuchet MS" w:hAnsi="Trebuchet MS"/>
                <w:sz w:val="24"/>
                <w:szCs w:val="24"/>
              </w:rPr>
              <w:lastRenderedPageBreak/>
              <w:t xml:space="preserve">krajami zwiększyły zapotrzebowanie na elastyczność pracy i zmniejszyły stabilność zatrudnienia. Aby sprostać nowym wymaganiom dotyczącym umiejętności, konieczne są </w:t>
            </w:r>
            <w:r w:rsidRPr="00D80606">
              <w:rPr>
                <w:rFonts w:ascii="Trebuchet MS" w:hAnsi="Trebuchet MS"/>
                <w:b/>
                <w:sz w:val="24"/>
                <w:szCs w:val="24"/>
              </w:rPr>
              <w:t>szkolenia i edukacja</w:t>
            </w:r>
            <w:r w:rsidRPr="00D80606">
              <w:rPr>
                <w:rFonts w:ascii="Trebuchet MS" w:hAnsi="Trebuchet MS"/>
                <w:sz w:val="24"/>
                <w:szCs w:val="24"/>
              </w:rPr>
              <w:t>. Jednakże wskaźniki w zakresie edukacji i szkoleń wahają się od 2% w regionach Polski, Słowacji i Chorwacji do około 20% w innych krajach. Ogólnie rzecz biorąc, uczestnictwo w działaniach edukacyjnych i szkoleniowych jest znacznie wyższe w regionach miejskich niż wiejskich. We wschodniej Słowacji, północno-wschodnich Węgrzech, Piemoncie (IT), Severozápad (CZ) lub Berlinie (DE) częściowo koreluje to z wyzwaniami dotyczącymi osób zbyt wcześnie porzucających formalną edukację.</w:t>
            </w:r>
          </w:p>
          <w:p w14:paraId="2D7B8558" w14:textId="4D9C5B3A" w:rsidR="00927281" w:rsidRPr="00D80606" w:rsidRDefault="006F715E"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Ponadto, </w:t>
            </w:r>
            <w:r w:rsidRPr="00D80606">
              <w:rPr>
                <w:rFonts w:ascii="Trebuchet MS" w:hAnsi="Trebuchet MS"/>
                <w:b/>
                <w:sz w:val="24"/>
                <w:szCs w:val="24"/>
              </w:rPr>
              <w:t>nieformalne działania</w:t>
            </w:r>
            <w:r w:rsidRPr="00D80606">
              <w:rPr>
                <w:rFonts w:ascii="Trebuchet MS" w:hAnsi="Trebuchet MS"/>
                <w:sz w:val="24"/>
                <w:szCs w:val="24"/>
              </w:rPr>
              <w:t xml:space="preserve"> edukacyjne odgrywają rolę w nabywaniu umiejętności przedsiębiorczych i miękkich. Uczestnictwo w nieformalnej edukacji jest, co do zasady, w Europie Środkowej powyżej unijnej średniej, z wyjątkiem Węgier, Niemiec i Polski. </w:t>
            </w:r>
            <w:r w:rsidRPr="00D80606">
              <w:rPr>
                <w:rFonts w:ascii="Trebuchet MS" w:hAnsi="Trebuchet MS"/>
                <w:b/>
                <w:sz w:val="24"/>
                <w:szCs w:val="24"/>
              </w:rPr>
              <w:t>Umiejętności cyfrowe</w:t>
            </w:r>
            <w:r w:rsidRPr="00D80606">
              <w:rPr>
                <w:rFonts w:ascii="Trebuchet MS" w:hAnsi="Trebuchet MS"/>
                <w:sz w:val="24"/>
                <w:szCs w:val="24"/>
              </w:rPr>
              <w:t>, które są kluczowe dla procesów inteligentnej specjalizacji (KE, 2018b), są również nierównomiernie rozłożone. W Polsce, na Węgrzech, w Chorwacji i we Włoszech szczególnie wysoki jest udział osób bez doświadczenia w obsłudze komputera, zwłaszcza w regionach wiejskich.</w:t>
            </w:r>
          </w:p>
          <w:p w14:paraId="0D7AC321" w14:textId="77777777" w:rsidR="0065536C" w:rsidRPr="00680741" w:rsidRDefault="0065536C" w:rsidP="007C7E7A">
            <w:pPr>
              <w:widowControl w:val="0"/>
              <w:spacing w:before="0" w:after="160" w:line="259" w:lineRule="auto"/>
              <w:ind w:left="0" w:right="0"/>
              <w:rPr>
                <w:rFonts w:ascii="Trebuchet MS" w:eastAsia="Calibri" w:hAnsi="Trebuchet MS"/>
                <w:szCs w:val="22"/>
              </w:rPr>
            </w:pPr>
          </w:p>
          <w:p w14:paraId="3C4D6484" w14:textId="3C95E12D" w:rsidR="00927281" w:rsidRDefault="00927281" w:rsidP="007C7E7A">
            <w:pPr>
              <w:widowControl w:val="0"/>
              <w:spacing w:before="360" w:after="240" w:line="280" w:lineRule="atLeast"/>
              <w:ind w:left="0" w:right="0"/>
              <w:contextualSpacing/>
              <w:jc w:val="left"/>
              <w:outlineLvl w:val="0"/>
              <w:rPr>
                <w:rFonts w:ascii="Trebuchet MS" w:eastAsia="SimSun" w:hAnsi="Trebuchet MS" w:cs="Arial"/>
                <w:bCs/>
                <w:color w:val="A5A5A5"/>
                <w:spacing w:val="5"/>
                <w:kern w:val="32"/>
                <w:sz w:val="28"/>
                <w:szCs w:val="32"/>
              </w:rPr>
            </w:pPr>
            <w:bookmarkStart w:id="25" w:name="_Toc61245854"/>
            <w:bookmarkStart w:id="26" w:name="_Toc61246193"/>
            <w:bookmarkStart w:id="27" w:name="_Toc63770025"/>
            <w:bookmarkStart w:id="28" w:name="_Toc64026040"/>
            <w:bookmarkStart w:id="29" w:name="_Toc71036588"/>
            <w:r>
              <w:rPr>
                <w:rFonts w:ascii="Trebuchet MS" w:hAnsi="Trebuchet MS"/>
                <w:color w:val="A5A5A5"/>
                <w:sz w:val="28"/>
              </w:rPr>
              <w:t>Środowisko, energia i zmiany klimatu</w:t>
            </w:r>
            <w:bookmarkEnd w:id="25"/>
            <w:bookmarkEnd w:id="26"/>
            <w:bookmarkEnd w:id="27"/>
            <w:bookmarkEnd w:id="28"/>
            <w:bookmarkEnd w:id="29"/>
          </w:p>
          <w:p w14:paraId="5CEC61D9" w14:textId="77777777" w:rsidR="005924F3" w:rsidRPr="00680741" w:rsidRDefault="005924F3" w:rsidP="007C7E7A">
            <w:pPr>
              <w:widowControl w:val="0"/>
              <w:spacing w:before="360" w:after="240" w:line="280" w:lineRule="atLeast"/>
              <w:ind w:left="0" w:right="0"/>
              <w:contextualSpacing/>
              <w:jc w:val="left"/>
              <w:outlineLvl w:val="0"/>
              <w:rPr>
                <w:rFonts w:ascii="Trebuchet MS" w:eastAsia="SimSun" w:hAnsi="Trebuchet MS" w:cs="Arial"/>
                <w:bCs/>
                <w:color w:val="A5A5A5"/>
                <w:spacing w:val="5"/>
                <w:kern w:val="32"/>
                <w:sz w:val="28"/>
                <w:szCs w:val="32"/>
                <w:lang w:eastAsia="zh-CN"/>
              </w:rPr>
            </w:pPr>
          </w:p>
          <w:p w14:paraId="0015EE61" w14:textId="28A3BA3E" w:rsidR="00927281" w:rsidRPr="00D80606" w:rsidRDefault="002F667E"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Ze względu na bogate dziedzictwo naturalne, bioróżnorodność i różnorodność krajobrazową, Europa Środkowa stoi przed wieloma wyzwaniami w zakresie ochrony środowiska. Dotyczą one zmiany klimatu, spadku różnorodności biologicznej, zielonej infrastruktury, konieczności ograniczenia emisji gazów cieplarnianych i zanieczyszczenia środowiska. Istnieje również potrzeba zwiększenia efektywności energetycznej i wykorzystania energii odnawialnej.</w:t>
            </w:r>
          </w:p>
          <w:p w14:paraId="684ACCD9" w14:textId="364289C5" w:rsidR="001E15B4"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Ze względu na istnienie wielu różnych ekosystemów - od obszarów przybrzeżnych Morza Śródziemnego i Morza Bałtyckiego, poprzez górskie obszary Karpat i Alp, aż po obszary gęsto zurbanizowane lub zdecydowanie wiejskie – Europa Środkowa musi stawić czoła szeregowi wyzwań </w:t>
            </w:r>
            <w:r w:rsidRPr="00D80606">
              <w:rPr>
                <w:rFonts w:ascii="Trebuchet MS" w:hAnsi="Trebuchet MS"/>
                <w:b/>
                <w:sz w:val="24"/>
                <w:szCs w:val="24"/>
              </w:rPr>
              <w:t>związanych ze zmianami klimatu</w:t>
            </w:r>
            <w:r w:rsidRPr="00D80606">
              <w:rPr>
                <w:rFonts w:ascii="Trebuchet MS" w:hAnsi="Trebuchet MS"/>
                <w:sz w:val="24"/>
                <w:szCs w:val="24"/>
              </w:rPr>
              <w:t>.</w:t>
            </w:r>
          </w:p>
          <w:p w14:paraId="436EB3BB" w14:textId="0A111282" w:rsidR="00E93B3D" w:rsidRPr="00D80606" w:rsidRDefault="00D1745A"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Jak stwierdzono w raporcie środowiskowym strategicznej oceny oddziaływania na środowisko (SEA - Integra, ZaVita, 2020), </w:t>
            </w:r>
            <w:r w:rsidRPr="00D80606">
              <w:rPr>
                <w:rFonts w:ascii="Trebuchet MS" w:hAnsi="Trebuchet MS"/>
                <w:b/>
                <w:sz w:val="24"/>
                <w:szCs w:val="24"/>
              </w:rPr>
              <w:t>ekstremalne zjawiska pogodowe w postaci upałów i fal gorąca</w:t>
            </w:r>
            <w:r w:rsidRPr="00D80606">
              <w:rPr>
                <w:rFonts w:ascii="Trebuchet MS" w:hAnsi="Trebuchet MS"/>
                <w:sz w:val="24"/>
                <w:szCs w:val="24"/>
              </w:rPr>
              <w:t xml:space="preserve"> w Europie Środkowej znacznie się nasiliły i przewiduje się, że staną się jeszcze częstsze i bardziej długotrwałe. Szczególnym problemem jest efekt miejskiej wyspy ciepła, tj. sytuacji, w której miasta zmagają się z wyższymi temperaturami (nawet o 12° C) niż obszary je otaczające, co ma konsekwencje takie jak: </w:t>
            </w:r>
          </w:p>
          <w:p w14:paraId="047889C0" w14:textId="03386780" w:rsidR="00E93B3D" w:rsidRPr="00D80606" w:rsidRDefault="00927281" w:rsidP="00D80606">
            <w:pPr>
              <w:pStyle w:val="Akapitzlist"/>
              <w:widowControl w:val="0"/>
              <w:numPr>
                <w:ilvl w:val="0"/>
                <w:numId w:val="75"/>
              </w:numPr>
              <w:spacing w:before="0"/>
              <w:ind w:right="0"/>
              <w:jc w:val="left"/>
              <w:rPr>
                <w:rFonts w:ascii="Trebuchet MS" w:eastAsia="Calibri" w:hAnsi="Trebuchet MS"/>
                <w:sz w:val="24"/>
                <w:szCs w:val="24"/>
              </w:rPr>
            </w:pPr>
            <w:r w:rsidRPr="00D80606">
              <w:rPr>
                <w:rFonts w:ascii="Trebuchet MS" w:hAnsi="Trebuchet MS"/>
                <w:sz w:val="24"/>
                <w:szCs w:val="24"/>
              </w:rPr>
              <w:t xml:space="preserve">zwiększenie szczytowego zapotrzebowania na energię do chłodzenia; </w:t>
            </w:r>
          </w:p>
          <w:p w14:paraId="7F0884D6" w14:textId="25E74329" w:rsidR="00E93B3D" w:rsidRPr="00D80606" w:rsidRDefault="00927281" w:rsidP="00D80606">
            <w:pPr>
              <w:pStyle w:val="Akapitzlist"/>
              <w:widowControl w:val="0"/>
              <w:numPr>
                <w:ilvl w:val="0"/>
                <w:numId w:val="75"/>
              </w:numPr>
              <w:spacing w:before="0"/>
              <w:ind w:right="0"/>
              <w:jc w:val="left"/>
              <w:rPr>
                <w:rFonts w:ascii="Trebuchet MS" w:eastAsia="Calibri" w:hAnsi="Trebuchet MS"/>
                <w:sz w:val="24"/>
                <w:szCs w:val="24"/>
              </w:rPr>
            </w:pPr>
            <w:r w:rsidRPr="00D80606">
              <w:rPr>
                <w:rFonts w:ascii="Trebuchet MS" w:hAnsi="Trebuchet MS"/>
                <w:sz w:val="24"/>
                <w:szCs w:val="24"/>
              </w:rPr>
              <w:t xml:space="preserve">koszty klimatyzacji; </w:t>
            </w:r>
          </w:p>
          <w:p w14:paraId="77AEDD48" w14:textId="34085570" w:rsidR="00E93B3D" w:rsidRPr="00D80606" w:rsidRDefault="00927281" w:rsidP="00D80606">
            <w:pPr>
              <w:pStyle w:val="Akapitzlist"/>
              <w:widowControl w:val="0"/>
              <w:numPr>
                <w:ilvl w:val="0"/>
                <w:numId w:val="75"/>
              </w:numPr>
              <w:spacing w:before="0"/>
              <w:ind w:right="0"/>
              <w:jc w:val="left"/>
              <w:rPr>
                <w:rFonts w:ascii="Trebuchet MS" w:eastAsia="Calibri" w:hAnsi="Trebuchet MS"/>
                <w:sz w:val="24"/>
                <w:szCs w:val="24"/>
              </w:rPr>
            </w:pPr>
            <w:r w:rsidRPr="00D80606">
              <w:rPr>
                <w:rFonts w:ascii="Trebuchet MS" w:hAnsi="Trebuchet MS"/>
                <w:sz w:val="24"/>
                <w:szCs w:val="24"/>
              </w:rPr>
              <w:t xml:space="preserve">zanieczyszczenia powietrza i emisja gazów cieplarnianych; </w:t>
            </w:r>
          </w:p>
          <w:p w14:paraId="699DF2B1" w14:textId="3EC2767D" w:rsidR="00E93B3D" w:rsidRPr="00D80606" w:rsidRDefault="00927281" w:rsidP="00D80606">
            <w:pPr>
              <w:pStyle w:val="Akapitzlist"/>
              <w:widowControl w:val="0"/>
              <w:numPr>
                <w:ilvl w:val="0"/>
                <w:numId w:val="75"/>
              </w:numPr>
              <w:spacing w:before="0"/>
              <w:ind w:right="0"/>
              <w:jc w:val="left"/>
              <w:rPr>
                <w:rFonts w:ascii="Trebuchet MS" w:eastAsia="Calibri" w:hAnsi="Trebuchet MS"/>
                <w:sz w:val="24"/>
                <w:szCs w:val="24"/>
              </w:rPr>
            </w:pPr>
            <w:r w:rsidRPr="00D80606">
              <w:rPr>
                <w:rFonts w:ascii="Trebuchet MS" w:hAnsi="Trebuchet MS"/>
                <w:sz w:val="24"/>
                <w:szCs w:val="24"/>
              </w:rPr>
              <w:t xml:space="preserve">wyzwania zdrowotne związane z upałem dla grup szczególnie narażonych; </w:t>
            </w:r>
            <w:r w:rsidRPr="00D80606">
              <w:rPr>
                <w:rFonts w:ascii="Trebuchet MS" w:hAnsi="Trebuchet MS"/>
                <w:sz w:val="24"/>
                <w:szCs w:val="24"/>
              </w:rPr>
              <w:lastRenderedPageBreak/>
              <w:t xml:space="preserve">oraz </w:t>
            </w:r>
          </w:p>
          <w:p w14:paraId="51C37516" w14:textId="45487A38" w:rsidR="00927281" w:rsidRPr="00D80606" w:rsidRDefault="00927281" w:rsidP="00D80606">
            <w:pPr>
              <w:pStyle w:val="Akapitzlist"/>
              <w:widowControl w:val="0"/>
              <w:numPr>
                <w:ilvl w:val="0"/>
                <w:numId w:val="75"/>
              </w:numPr>
              <w:spacing w:before="0"/>
              <w:ind w:right="0"/>
              <w:jc w:val="left"/>
              <w:rPr>
                <w:rFonts w:ascii="Trebuchet MS" w:eastAsia="Calibri" w:hAnsi="Trebuchet MS"/>
                <w:sz w:val="24"/>
                <w:szCs w:val="24"/>
              </w:rPr>
            </w:pPr>
            <w:r w:rsidRPr="00D80606">
              <w:rPr>
                <w:rFonts w:ascii="Trebuchet MS" w:hAnsi="Trebuchet MS"/>
                <w:sz w:val="24"/>
                <w:szCs w:val="24"/>
              </w:rPr>
              <w:t>obniżenie jakości wody.</w:t>
            </w:r>
          </w:p>
          <w:p w14:paraId="526FAA21" w14:textId="532A2EE6" w:rsidR="00927281" w:rsidRPr="00D80606" w:rsidRDefault="00927281" w:rsidP="00D80606">
            <w:pPr>
              <w:widowControl w:val="0"/>
              <w:spacing w:after="160"/>
              <w:ind w:left="0" w:right="0"/>
              <w:jc w:val="left"/>
              <w:rPr>
                <w:rFonts w:ascii="Trebuchet MS" w:eastAsia="Calibri" w:hAnsi="Trebuchet MS"/>
                <w:sz w:val="24"/>
                <w:szCs w:val="24"/>
              </w:rPr>
            </w:pPr>
            <w:r w:rsidRPr="00D80606">
              <w:rPr>
                <w:rFonts w:ascii="Trebuchet MS" w:hAnsi="Trebuchet MS"/>
                <w:sz w:val="24"/>
                <w:szCs w:val="24"/>
              </w:rPr>
              <w:t xml:space="preserve">Ponadto zmieniające się wzorce opadów w Europie Środkowej sugerują dwa </w:t>
            </w:r>
            <w:r w:rsidRPr="00D80606">
              <w:rPr>
                <w:rFonts w:ascii="Trebuchet MS" w:hAnsi="Trebuchet MS"/>
                <w:b/>
                <w:sz w:val="24"/>
                <w:szCs w:val="24"/>
              </w:rPr>
              <w:t>scenariusze ekstremalnych opadów</w:t>
            </w:r>
            <w:r w:rsidRPr="00D80606">
              <w:rPr>
                <w:rFonts w:ascii="Trebuchet MS" w:hAnsi="Trebuchet MS"/>
                <w:sz w:val="24"/>
                <w:szCs w:val="24"/>
              </w:rPr>
              <w:t xml:space="preserve">. Po pierwsze, przewiduje się, że do 2070 roku częstotliwość występowania ulewnych deszczy wzrośnie o 35 % i doprowadzi do zwiększenia ryzyka częstych powodzi związanych z opadami deszczu oraz powodzi błyskawicznych, w szczególności w północno-zachodnich i środkowo-zachodnich regionach. Jednocześnie w Europie Południowej spodziewane są </w:t>
            </w:r>
            <w:r w:rsidRPr="00D80606">
              <w:rPr>
                <w:rFonts w:ascii="Trebuchet MS" w:hAnsi="Trebuchet MS"/>
                <w:b/>
                <w:sz w:val="24"/>
                <w:szCs w:val="24"/>
              </w:rPr>
              <w:t>zmniejszone opady letnie i susze meteorologiczne</w:t>
            </w:r>
            <w:r w:rsidRPr="00D80606">
              <w:rPr>
                <w:rFonts w:ascii="Trebuchet MS" w:hAnsi="Trebuchet MS"/>
                <w:sz w:val="24"/>
                <w:szCs w:val="24"/>
              </w:rPr>
              <w:t xml:space="preserve"> (EEA, 2019). Północne Włochy, Chorwacja i Słowenia mogą być szczególnie dotknięte suszami meteorologicznymi, zwłaszcza w okresach letnich.</w:t>
            </w:r>
          </w:p>
          <w:p w14:paraId="20DE855D" w14:textId="0B0D08E2" w:rsidR="00927281" w:rsidRPr="00D80606" w:rsidRDefault="00F54F74"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Przyspieszająca i coraz bardziej widoczna zmiana klimatu wymaga ambitnych </w:t>
            </w:r>
            <w:r w:rsidRPr="00D80606">
              <w:rPr>
                <w:rFonts w:ascii="Trebuchet MS" w:hAnsi="Trebuchet MS"/>
                <w:b/>
                <w:sz w:val="24"/>
                <w:szCs w:val="24"/>
              </w:rPr>
              <w:t>działań łagodzących i adaptacyjnych</w:t>
            </w:r>
            <w:r w:rsidRPr="00D80606">
              <w:rPr>
                <w:rFonts w:ascii="Trebuchet MS" w:hAnsi="Trebuchet MS"/>
                <w:sz w:val="24"/>
                <w:szCs w:val="24"/>
              </w:rPr>
              <w:t xml:space="preserve">, dobrze zintegrowanych z innymi politykami i działaniami środowiskowymi (Integra, ZaVita, 2020). Istnieje potrzeba poprawy zdolności i wiedzy w zakresie polityki i innych sektorów w celu zwiększenia </w:t>
            </w:r>
            <w:r w:rsidRPr="00D80606">
              <w:rPr>
                <w:rFonts w:ascii="Trebuchet MS" w:hAnsi="Trebuchet MS"/>
                <w:b/>
                <w:sz w:val="24"/>
                <w:szCs w:val="24"/>
              </w:rPr>
              <w:t>odporności ekosystemów</w:t>
            </w:r>
            <w:r w:rsidRPr="00D80606">
              <w:rPr>
                <w:rFonts w:ascii="Trebuchet MS" w:hAnsi="Trebuchet MS"/>
                <w:sz w:val="24"/>
                <w:szCs w:val="24"/>
              </w:rPr>
              <w:t xml:space="preserve"> w kontekście wpływów wywieranych przez zmiany klimatu i </w:t>
            </w:r>
            <w:r w:rsidRPr="00D80606">
              <w:rPr>
                <w:rFonts w:ascii="Trebuchet MS" w:hAnsi="Trebuchet MS"/>
                <w:b/>
                <w:sz w:val="24"/>
                <w:szCs w:val="24"/>
              </w:rPr>
              <w:t>zarządzanie ryzykiem środowiskowym</w:t>
            </w:r>
            <w:r w:rsidRPr="00D80606">
              <w:rPr>
                <w:rFonts w:ascii="Trebuchet MS" w:hAnsi="Trebuchet MS"/>
                <w:sz w:val="24"/>
                <w:szCs w:val="24"/>
              </w:rPr>
              <w:t>. Należy skoncentrować się na „zielonych”, opartych na przyrodzie środkach adaptacyjnych, takich jak bardziej odporne gatunki roślin uprawnych i drzew, które umożliwiają rzekom wylewanie w sposób naturalny na terenach zalewowych oraz przywracanie terenów podmokłych.</w:t>
            </w:r>
          </w:p>
          <w:p w14:paraId="13AEFE4E" w14:textId="136FC2D0"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Ponadto zmieniający się klimat wpływa również na wiele sektorów gospodarki i działalności człowieka, w tym na rolnictwo, leśnictwo, rybołówstwo, gospodarkę wodną, ochronę wybrzeża i ochronę przeciwpowodziową, energetykę, transport, turystykę, budownictwo oraz zdrowie i dobrostan ludzi.) Strategie adaptacyjne i inne strategie w zakresie ochrony środowiska muszą być zatem powiązane ze </w:t>
            </w:r>
            <w:r w:rsidRPr="00D80606">
              <w:rPr>
                <w:rFonts w:ascii="Trebuchet MS" w:hAnsi="Trebuchet MS"/>
                <w:b/>
                <w:sz w:val="24"/>
                <w:szCs w:val="24"/>
              </w:rPr>
              <w:t>względami gospodarczymi</w:t>
            </w:r>
            <w:r w:rsidRPr="00D80606">
              <w:rPr>
                <w:rFonts w:ascii="Trebuchet MS" w:hAnsi="Trebuchet MS"/>
                <w:sz w:val="24"/>
                <w:szCs w:val="24"/>
              </w:rPr>
              <w:t>, takimi jak zrównoważony rozwój turystyki, który obejmuje ochronę i konserwację budynków historycznych i obiektów dziedzictwa kulturowego.</w:t>
            </w:r>
          </w:p>
          <w:p w14:paraId="3B5EAEAF" w14:textId="4D98487A"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Europa Środkowa obejmuje </w:t>
            </w:r>
            <w:r w:rsidRPr="00D80606">
              <w:rPr>
                <w:rFonts w:ascii="Trebuchet MS" w:hAnsi="Trebuchet MS"/>
                <w:b/>
                <w:sz w:val="24"/>
                <w:szCs w:val="24"/>
              </w:rPr>
              <w:t>różnorodne regiony biogeograficzne</w:t>
            </w:r>
            <w:r w:rsidRPr="00D80606">
              <w:rPr>
                <w:rFonts w:ascii="Trebuchet MS" w:hAnsi="Trebuchet MS"/>
                <w:sz w:val="24"/>
                <w:szCs w:val="24"/>
              </w:rPr>
              <w:t>, takie jak region panoński, kontynentalny, alpejski, karpacki i śródziemnomorski (Regiony Biogeograficzne EWG UE/</w:t>
            </w:r>
            <w:r w:rsidRPr="008A72BA">
              <w:rPr>
                <w:rFonts w:ascii="Trebuchet MS" w:hAnsi="Trebuchet MS"/>
                <w:sz w:val="24"/>
                <w:szCs w:val="24"/>
              </w:rPr>
              <w:t>EEA EU Biogeographical Regions</w:t>
            </w:r>
            <w:r w:rsidRPr="00D80606">
              <w:rPr>
                <w:rFonts w:ascii="Trebuchet MS" w:hAnsi="Trebuchet MS"/>
                <w:sz w:val="24"/>
                <w:szCs w:val="24"/>
              </w:rPr>
              <w:t xml:space="preserve">, 2016). Regiony te są bardzo zróżnicowane i obejmują duże obszary zalesione i rolnicze, obszary górskie, cieki wodne, wybrzeża o specyficznych krajobrazach, morza, równiny, jeziora i obszary zurbanizowane. </w:t>
            </w:r>
          </w:p>
          <w:p w14:paraId="3A6039D4" w14:textId="1987618E"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Wiele krajów Europy Środkowej przekracza średnie wartości UE dla lądowych obszarów chronionych. W Chorwacji i Słowenii obszary </w:t>
            </w:r>
            <w:r w:rsidRPr="00D80606">
              <w:rPr>
                <w:rFonts w:ascii="Trebuchet MS" w:hAnsi="Trebuchet MS"/>
                <w:b/>
                <w:sz w:val="24"/>
                <w:szCs w:val="24"/>
              </w:rPr>
              <w:t>Natura 2000</w:t>
            </w:r>
            <w:r w:rsidRPr="00D80606">
              <w:rPr>
                <w:rFonts w:ascii="Trebuchet MS" w:hAnsi="Trebuchet MS"/>
                <w:sz w:val="24"/>
                <w:szCs w:val="24"/>
              </w:rPr>
              <w:t xml:space="preserve"> są największe i obejmują ponad 35% powierzchni tych krajów. Około 30% terytorium Słowacji jest objęte ochroną w ramach programu Natura 2000, podczas gdy na Węgrzech, we Włoszech i w Polsce jest to około 20%. Jedynie Austria, Czechy i Niemcy plasują się poniżej średniej UE z zaledwie 15% powierzchni gruntów objętych siecią Natura </w:t>
            </w:r>
            <w:r w:rsidRPr="00D80606">
              <w:rPr>
                <w:rFonts w:ascii="Trebuchet MS" w:hAnsi="Trebuchet MS"/>
                <w:sz w:val="24"/>
                <w:szCs w:val="24"/>
              </w:rPr>
              <w:lastRenderedPageBreak/>
              <w:t>2000 (EEA, 2020). Brakuje jednak kompleksowych informacji na temat tego, jak dobrze zarządzane są obszary Natura 2000 (Integra, ZaVita, 2020).</w:t>
            </w:r>
          </w:p>
          <w:p w14:paraId="18975415" w14:textId="61602E11"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Ponadto w Europie Środkowej obserwuje się tendencje spadkowe i ciągłe </w:t>
            </w:r>
            <w:r w:rsidRPr="00D80606">
              <w:rPr>
                <w:rFonts w:ascii="Trebuchet MS" w:hAnsi="Trebuchet MS"/>
                <w:b/>
                <w:sz w:val="24"/>
                <w:szCs w:val="24"/>
              </w:rPr>
              <w:t>straty różnorodności biologicznej</w:t>
            </w:r>
            <w:r w:rsidRPr="00D80606">
              <w:rPr>
                <w:rFonts w:ascii="Trebuchet MS" w:hAnsi="Trebuchet MS"/>
                <w:sz w:val="24"/>
                <w:szCs w:val="24"/>
              </w:rPr>
              <w:t xml:space="preserve"> z powodu rosnącej presji związanej z użytkowaniem gruntów, zanieczyszczeniami, wydobyciem zasobów naturalnych, zmianami klimatycznymi i inwazyjnymi gatunk</w:t>
            </w:r>
            <w:r w:rsidR="008A72BA">
              <w:rPr>
                <w:rFonts w:ascii="Trebuchet MS" w:hAnsi="Trebuchet MS"/>
                <w:sz w:val="24"/>
                <w:szCs w:val="24"/>
              </w:rPr>
              <w:t>ami</w:t>
            </w:r>
            <w:r w:rsidRPr="00D80606">
              <w:rPr>
                <w:rFonts w:ascii="Trebuchet MS" w:hAnsi="Trebuchet MS"/>
                <w:sz w:val="24"/>
                <w:szCs w:val="24"/>
              </w:rPr>
              <w:t xml:space="preserve"> obcy</w:t>
            </w:r>
            <w:r w:rsidR="008A72BA">
              <w:rPr>
                <w:rFonts w:ascii="Trebuchet MS" w:hAnsi="Trebuchet MS"/>
                <w:sz w:val="24"/>
                <w:szCs w:val="24"/>
              </w:rPr>
              <w:t>mi</w:t>
            </w:r>
            <w:r w:rsidRPr="00D80606">
              <w:rPr>
                <w:rFonts w:ascii="Trebuchet MS" w:hAnsi="Trebuchet MS"/>
                <w:sz w:val="24"/>
                <w:szCs w:val="24"/>
              </w:rPr>
              <w:t xml:space="preserve"> (Integra, ZaVita, 2020). Za wyjątkiem Węgier, indeks „</w:t>
            </w:r>
            <w:r w:rsidRPr="008A72BA">
              <w:rPr>
                <w:rFonts w:ascii="Trebuchet MS" w:hAnsi="Trebuchet MS"/>
                <w:sz w:val="24"/>
                <w:szCs w:val="24"/>
              </w:rPr>
              <w:t>Common farmland bird index</w:t>
            </w:r>
            <w:r w:rsidRPr="00D80606">
              <w:rPr>
                <w:rFonts w:ascii="Trebuchet MS" w:hAnsi="Trebuchet MS"/>
                <w:sz w:val="24"/>
                <w:szCs w:val="24"/>
              </w:rPr>
              <w:t xml:space="preserve">” [indeks ptactwa krajobrazu rolnego] wskazuje na przykład, że różnorodność biologiczna znacznie spadła we wszystkich krajach Europy Środkowej w latach 2008-2018, podczas gdy w tym samym okresie w UE średnio się ustabilizowała (wiiw, 2020). </w:t>
            </w:r>
          </w:p>
          <w:p w14:paraId="008169D9" w14:textId="3E02C99C"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Zgodnie z </w:t>
            </w:r>
            <w:r w:rsidRPr="00D80606">
              <w:rPr>
                <w:rFonts w:ascii="Trebuchet MS" w:hAnsi="Trebuchet MS"/>
                <w:b/>
                <w:sz w:val="24"/>
                <w:szCs w:val="24"/>
              </w:rPr>
              <w:t>nową unijną strategią ochrony różnorodności biologicznej 2030</w:t>
            </w:r>
            <w:r w:rsidRPr="00D80606">
              <w:rPr>
                <w:rFonts w:ascii="Trebuchet MS" w:hAnsi="Trebuchet MS"/>
                <w:sz w:val="24"/>
                <w:szCs w:val="24"/>
              </w:rPr>
              <w:t xml:space="preserve"> tę tendencję należy odwrócić. Potrzebne są wyraźne zobowiązania i działania w celu zachowania korzystnych </w:t>
            </w:r>
            <w:r w:rsidRPr="00D80606">
              <w:rPr>
                <w:rFonts w:ascii="Trebuchet MS" w:hAnsi="Trebuchet MS"/>
                <w:b/>
                <w:sz w:val="24"/>
                <w:szCs w:val="24"/>
              </w:rPr>
              <w:t>funkcji różnych ekosystemów</w:t>
            </w:r>
            <w:r w:rsidRPr="00D80606">
              <w:rPr>
                <w:rFonts w:ascii="Trebuchet MS" w:hAnsi="Trebuchet MS"/>
                <w:sz w:val="24"/>
                <w:szCs w:val="24"/>
              </w:rPr>
              <w:t xml:space="preserve">, takich jak regulacja klimatu, zapewnienie żywności, wody pitnej, jakości powietrza, żyzności gleby, siedlisk, a także usług rekreacyjnych i kulturowych. </w:t>
            </w:r>
          </w:p>
          <w:p w14:paraId="7FC6507E" w14:textId="39557630"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Zapewnienie </w:t>
            </w:r>
            <w:r w:rsidRPr="00D80606">
              <w:rPr>
                <w:rFonts w:ascii="Trebuchet MS" w:hAnsi="Trebuchet MS"/>
                <w:b/>
                <w:sz w:val="24"/>
                <w:szCs w:val="24"/>
              </w:rPr>
              <w:t>zielonej infrastruktury</w:t>
            </w:r>
            <w:r w:rsidRPr="00D80606">
              <w:rPr>
                <w:rFonts w:ascii="Trebuchet MS" w:hAnsi="Trebuchet MS"/>
                <w:sz w:val="24"/>
                <w:szCs w:val="24"/>
              </w:rPr>
              <w:t xml:space="preserve"> może przynieść wiele korzyści społecznych, gospodarczych i środowiskowych. Zgodnie z Agendą Terytorialną 2030, zazielenianie dachów i ścian w miastach mogłoby być szczególnie cenne dla miast o małej ilości terenów zielonych, takich jak Bratysława, Praga czy Budapeszt. Na bardziej ogólnym poziomie zielona infrastruktura może przyczynić się do złagodzenia skutków przejmowania gruntów i </w:t>
            </w:r>
            <w:r w:rsidR="002765EB">
              <w:rPr>
                <w:rFonts w:ascii="Trebuchet MS" w:hAnsi="Trebuchet MS"/>
                <w:sz w:val="24"/>
                <w:szCs w:val="24"/>
              </w:rPr>
              <w:t>uszczelniania</w:t>
            </w:r>
            <w:r w:rsidRPr="00D80606">
              <w:rPr>
                <w:rFonts w:ascii="Trebuchet MS" w:hAnsi="Trebuchet MS"/>
                <w:sz w:val="24"/>
                <w:szCs w:val="24"/>
              </w:rPr>
              <w:t xml:space="preserve"> gleby oraz do złagodzenia skutków występowania miejskich wysp ciepła. Wykorzystanie zielonej infrastruktury należy szerzej rozważyć jako alternatywę dla szarej infrastruktury, tj. podejścia opartego na jednym celu. Zintegrowane polityki i zwiększanie skali rozwiązań w zakresie zielonej infrastruktury są niezbędne do </w:t>
            </w:r>
            <w:r w:rsidRPr="00D80606">
              <w:rPr>
                <w:rFonts w:ascii="Trebuchet MS" w:hAnsi="Trebuchet MS"/>
                <w:b/>
                <w:sz w:val="24"/>
                <w:szCs w:val="24"/>
              </w:rPr>
              <w:t>przywrócenia kapitału naturalnego</w:t>
            </w:r>
            <w:r w:rsidRPr="00D80606">
              <w:rPr>
                <w:rFonts w:ascii="Trebuchet MS" w:hAnsi="Trebuchet MS"/>
                <w:sz w:val="24"/>
                <w:szCs w:val="24"/>
              </w:rPr>
              <w:t xml:space="preserve">, takiego jak rzeki, tereny podmokłe, tereny zanieczyszczone itp.  </w:t>
            </w:r>
          </w:p>
          <w:p w14:paraId="760AE77C" w14:textId="24A9AB7F"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Europa Środkowa stoi przed poważnymi wyzwaniami związanymi z </w:t>
            </w:r>
            <w:r w:rsidRPr="00D80606">
              <w:rPr>
                <w:rFonts w:ascii="Trebuchet MS" w:hAnsi="Trebuchet MS"/>
                <w:b/>
                <w:sz w:val="24"/>
                <w:szCs w:val="24"/>
              </w:rPr>
              <w:t>zanieczyszczeniem środowiska</w:t>
            </w:r>
            <w:r w:rsidRPr="00D80606">
              <w:rPr>
                <w:rFonts w:ascii="Trebuchet MS" w:hAnsi="Trebuchet MS"/>
                <w:sz w:val="24"/>
                <w:szCs w:val="24"/>
              </w:rPr>
              <w:t xml:space="preserve">, zwłaszcza w regionach bardziej zurbanizowanych i uprzemysłowionych. W znacznym stopniu są one zlokalizowane w regionach lepiej rozwiniętych pod względem strukturalnym. Biorąc jednak pod uwagę wysoki stopień wzajemnego powiązania dorzeczy, lasów i innych elementów środowiska, zanieczyszczenia powstające w jednym regionie mogą wpływać na środowisko w innym regionie (VVA i in., 2020). </w:t>
            </w:r>
          </w:p>
          <w:p w14:paraId="1B5F7337" w14:textId="0521C1F6"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b/>
                <w:sz w:val="24"/>
                <w:szCs w:val="24"/>
              </w:rPr>
              <w:t>Niska jakość powietrza</w:t>
            </w:r>
            <w:r w:rsidRPr="00D80606">
              <w:rPr>
                <w:rFonts w:ascii="Trebuchet MS" w:hAnsi="Trebuchet MS"/>
                <w:sz w:val="24"/>
                <w:szCs w:val="24"/>
              </w:rPr>
              <w:t xml:space="preserve"> i wysokie stężenie cząstek stałych stanowią problem w miastach Europy Środkowej. Europa Środkowa jest obszarem najbardziej dotkniętym w Europie problemem pyłu zawieszonego (PM2.5) i tlenków azotu (NOx). Szczególnie wysokie stężenia PM zostały zmierzone w Polsce, północnych Włoszech i częściowo na Węgrzech. Spalanie drewna, węgla i innych paliw stałych w piecach domowych prowadzi</w:t>
            </w:r>
            <w:r w:rsidR="003702C2" w:rsidRPr="00D80606">
              <w:rPr>
                <w:rFonts w:ascii="Trebuchet MS" w:hAnsi="Trebuchet MS"/>
                <w:sz w:val="24"/>
                <w:szCs w:val="24"/>
              </w:rPr>
              <w:t xml:space="preserve">, </w:t>
            </w:r>
            <w:r w:rsidRPr="00D80606">
              <w:rPr>
                <w:rFonts w:ascii="Trebuchet MS" w:hAnsi="Trebuchet MS"/>
                <w:sz w:val="24"/>
                <w:szCs w:val="24"/>
              </w:rPr>
              <w:t>lokalnie lub regionalnie</w:t>
            </w:r>
            <w:r w:rsidR="003702C2" w:rsidRPr="00D80606">
              <w:rPr>
                <w:rFonts w:ascii="Trebuchet MS" w:hAnsi="Trebuchet MS"/>
                <w:sz w:val="24"/>
                <w:szCs w:val="24"/>
              </w:rPr>
              <w:t>,</w:t>
            </w:r>
            <w:r w:rsidR="00072572" w:rsidRPr="00D80606">
              <w:rPr>
                <w:rFonts w:ascii="Trebuchet MS" w:hAnsi="Trebuchet MS"/>
                <w:sz w:val="24"/>
                <w:szCs w:val="24"/>
              </w:rPr>
              <w:t xml:space="preserve"> do</w:t>
            </w:r>
            <w:r w:rsidRPr="00D80606">
              <w:rPr>
                <w:rFonts w:ascii="Trebuchet MS" w:hAnsi="Trebuchet MS"/>
                <w:sz w:val="24"/>
                <w:szCs w:val="24"/>
              </w:rPr>
              <w:t xml:space="preserve"> wysokich emisji </w:t>
            </w:r>
            <w:r w:rsidRPr="00D80606">
              <w:rPr>
                <w:rFonts w:ascii="Trebuchet MS" w:hAnsi="Trebuchet MS"/>
                <w:sz w:val="24"/>
                <w:szCs w:val="24"/>
              </w:rPr>
              <w:lastRenderedPageBreak/>
              <w:t xml:space="preserve">PM2.5. Silne zanieczyszczenie powietrza i wynikające z niego zagrożenia dla zdrowia ludzi stanowią również problem dla wielu miast w Europie Środkowej, takich jak Budapeszt, Bratysława czy Koszyce. </w:t>
            </w:r>
          </w:p>
          <w:p w14:paraId="37D3BF80" w14:textId="27519B95" w:rsidR="00927281" w:rsidRPr="00D80606" w:rsidRDefault="00B07606"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Innym ważnym problemem jest </w:t>
            </w:r>
            <w:r w:rsidRPr="00D80606">
              <w:rPr>
                <w:rFonts w:ascii="Trebuchet MS" w:hAnsi="Trebuchet MS"/>
                <w:b/>
                <w:sz w:val="24"/>
                <w:szCs w:val="24"/>
              </w:rPr>
              <w:t>zanieczyszczenie gleby</w:t>
            </w:r>
            <w:r w:rsidRPr="00D80606">
              <w:rPr>
                <w:rFonts w:ascii="Trebuchet MS" w:hAnsi="Trebuchet MS"/>
                <w:sz w:val="24"/>
                <w:szCs w:val="24"/>
              </w:rPr>
              <w:t xml:space="preserve"> spowodowane np. opuszczonymi terenami wojskowymi, przemysłowymi i magazynowymi lub rolniczymi. Do najczęstszych zanieczyszczeń należą metale ciężkie i olej mineralny. Rozpoczęto rekultywację, ale postępy są powolne, a zatem istnieje wyraźna potrzeba realizacji dalszych środków rekultywacji i zmniejszenia </w:t>
            </w:r>
            <w:r w:rsidR="00D31477">
              <w:rPr>
                <w:rFonts w:ascii="Trebuchet MS" w:hAnsi="Trebuchet MS"/>
                <w:sz w:val="24"/>
                <w:szCs w:val="24"/>
              </w:rPr>
              <w:t>uszczelniania</w:t>
            </w:r>
            <w:r w:rsidRPr="00D80606">
              <w:rPr>
                <w:rFonts w:ascii="Trebuchet MS" w:hAnsi="Trebuchet MS"/>
                <w:sz w:val="24"/>
                <w:szCs w:val="24"/>
              </w:rPr>
              <w:t xml:space="preserve"> gleby. Erozja gleby pozostaje problemem w wielu regionach, nawet w regionach o poza tym mniejszej degradacji środowiska (VVA i in., 2020).</w:t>
            </w:r>
          </w:p>
          <w:p w14:paraId="51666605" w14:textId="6FBB96CA"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Na </w:t>
            </w:r>
            <w:r w:rsidRPr="00D80606">
              <w:rPr>
                <w:rFonts w:ascii="Trebuchet MS" w:hAnsi="Trebuchet MS"/>
                <w:b/>
                <w:sz w:val="24"/>
                <w:szCs w:val="24"/>
              </w:rPr>
              <w:t>jakość wody</w:t>
            </w:r>
            <w:r w:rsidRPr="00D80606">
              <w:rPr>
                <w:rFonts w:ascii="Trebuchet MS" w:hAnsi="Trebuchet MS"/>
                <w:sz w:val="24"/>
                <w:szCs w:val="24"/>
              </w:rPr>
              <w:t xml:space="preserve"> w Europie Środkowej ma wpływ wzbogacanie składników odżywczych, zanieczyszczenia chemiczne i zmienione siedliska w wyniku zmian morfologicznych. Lepsze oczyszczanie ścieków komunalnych i zanieczyszczeń przemysłowych przyniesie poprawę w zakresie kontroli zanieczyszczeń, ale przewiduje się, że zanieczyszczenia rozproszone pozostaną problemem. Prawdopodobnie nasili się presja ze strony nowo pojawiających się substancji zanieczyszczających i mieszanin chemikaliów (EEA, 2019). Aby zmniejszyć wpływ na zdrowie ludzkie i ekosystemy, istnieje potrzeba prowadzenia udoskonalonej i zintegrowanej polityki mającej na celu zmniejszenie zanieczyszczenia powietrza, gleby i wody, redukcji emisji w rolnictwie, przemyśle i gospodarstwach domowych. </w:t>
            </w:r>
          </w:p>
          <w:p w14:paraId="6064A375" w14:textId="732DD2D7"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b/>
                <w:sz w:val="24"/>
                <w:szCs w:val="24"/>
              </w:rPr>
              <w:t>Efektywność energetyczna i redukcja emisji gazów cieplarnianych (GHG)</w:t>
            </w:r>
            <w:r w:rsidRPr="00D80606">
              <w:rPr>
                <w:rFonts w:ascii="Trebuchet MS" w:hAnsi="Trebuchet MS"/>
                <w:sz w:val="24"/>
                <w:szCs w:val="24"/>
              </w:rPr>
              <w:t xml:space="preserve"> stanowią szczególne wyzwania dla Europy Środkowej. W latach 2005-2018 końcowe zużycie energii (na jednostkę PKB) zmniejszyło się w większości, a energochłonność we wszystkich państwach objętych programem (na jednostkę PKB), ale średnie zużycie jest nadal znacznie wyższe niż średnia UE (Eurostat). Znajduje to odzwierciedlenie w końcowym </w:t>
            </w:r>
            <w:r w:rsidRPr="00D80606">
              <w:rPr>
                <w:rFonts w:ascii="Trebuchet MS" w:hAnsi="Trebuchet MS"/>
                <w:b/>
                <w:sz w:val="24"/>
                <w:szCs w:val="24"/>
              </w:rPr>
              <w:t xml:space="preserve">zużyciu energii </w:t>
            </w:r>
            <w:r w:rsidRPr="00D80606">
              <w:rPr>
                <w:rFonts w:ascii="Trebuchet MS" w:hAnsi="Trebuchet MS"/>
                <w:sz w:val="24"/>
                <w:szCs w:val="24"/>
              </w:rPr>
              <w:t>na metr kwadratowy w sektorze mieszkaniowym. Pomimo spadku we wszystkich krajach Europy Środkowej, z wyjątkiem Włoch, konsumpcja w 2018 r. była nadal nawet o 47% wyższa niż średnia UE (Rysunek 5).</w:t>
            </w:r>
          </w:p>
          <w:p w14:paraId="7FF7D042" w14:textId="77777777" w:rsidR="001D0436" w:rsidRPr="00680741" w:rsidRDefault="001D0436" w:rsidP="007C7E7A">
            <w:pPr>
              <w:widowControl w:val="0"/>
              <w:spacing w:before="0" w:after="160" w:line="259" w:lineRule="auto"/>
              <w:ind w:left="0" w:right="0"/>
              <w:rPr>
                <w:rFonts w:ascii="Trebuchet MS" w:eastAsia="Calibri" w:hAnsi="Trebuchet MS"/>
                <w:szCs w:val="22"/>
              </w:rPr>
            </w:pPr>
          </w:p>
          <w:p w14:paraId="23E09E32" w14:textId="3960F76B" w:rsidR="0065536C" w:rsidRPr="00680741" w:rsidRDefault="0065536C" w:rsidP="007C7E7A">
            <w:pPr>
              <w:widowControl w:val="0"/>
              <w:spacing w:before="0" w:after="160" w:line="259" w:lineRule="auto"/>
              <w:ind w:left="0" w:right="0"/>
              <w:rPr>
                <w:rFonts w:ascii="Trebuchet MS" w:eastAsia="Calibri" w:hAnsi="Trebuchet MS"/>
                <w:szCs w:val="22"/>
              </w:rPr>
            </w:pPr>
          </w:p>
          <w:p w14:paraId="5800A73A" w14:textId="006F1093" w:rsidR="00B060CD" w:rsidRPr="00680741" w:rsidRDefault="00B060CD" w:rsidP="007C7E7A">
            <w:pPr>
              <w:widowControl w:val="0"/>
              <w:spacing w:before="0" w:after="160" w:line="259" w:lineRule="auto"/>
              <w:ind w:left="0" w:right="0"/>
              <w:rPr>
                <w:rFonts w:ascii="Trebuchet MS" w:eastAsia="Calibri" w:hAnsi="Trebuchet MS"/>
                <w:szCs w:val="22"/>
              </w:rPr>
            </w:pPr>
          </w:p>
          <w:p w14:paraId="3FDB8436" w14:textId="1081B998" w:rsidR="00B060CD" w:rsidRPr="00680741" w:rsidRDefault="00B060CD" w:rsidP="007C7E7A">
            <w:pPr>
              <w:widowControl w:val="0"/>
              <w:spacing w:before="0" w:after="160" w:line="259" w:lineRule="auto"/>
              <w:ind w:left="0" w:right="0"/>
              <w:rPr>
                <w:rFonts w:ascii="Trebuchet MS" w:eastAsia="Calibri" w:hAnsi="Trebuchet MS"/>
                <w:szCs w:val="22"/>
              </w:rPr>
            </w:pPr>
          </w:p>
          <w:p w14:paraId="5BB9C2BA" w14:textId="7DD956B3" w:rsidR="00B060CD" w:rsidRPr="00680741" w:rsidRDefault="00B060CD" w:rsidP="007C7E7A">
            <w:pPr>
              <w:widowControl w:val="0"/>
              <w:spacing w:before="0" w:after="160" w:line="259" w:lineRule="auto"/>
              <w:ind w:left="0" w:right="0"/>
              <w:rPr>
                <w:rFonts w:ascii="Trebuchet MS" w:eastAsia="Calibri" w:hAnsi="Trebuchet MS"/>
                <w:szCs w:val="22"/>
              </w:rPr>
            </w:pPr>
          </w:p>
          <w:p w14:paraId="15E002D9" w14:textId="740F2FD6" w:rsidR="00B060CD" w:rsidRPr="00680741" w:rsidRDefault="00B060CD" w:rsidP="007C7E7A">
            <w:pPr>
              <w:widowControl w:val="0"/>
              <w:spacing w:before="0" w:after="160" w:line="259" w:lineRule="auto"/>
              <w:ind w:left="0" w:right="0"/>
              <w:rPr>
                <w:rFonts w:ascii="Trebuchet MS" w:eastAsia="Calibri" w:hAnsi="Trebuchet MS"/>
                <w:szCs w:val="22"/>
              </w:rPr>
            </w:pPr>
          </w:p>
          <w:p w14:paraId="05AB2C11" w14:textId="321F8626" w:rsidR="00B060CD" w:rsidRPr="00680741" w:rsidRDefault="00B060CD" w:rsidP="007C7E7A">
            <w:pPr>
              <w:widowControl w:val="0"/>
              <w:spacing w:before="0" w:after="160" w:line="259" w:lineRule="auto"/>
              <w:ind w:left="0" w:right="0"/>
              <w:rPr>
                <w:rFonts w:ascii="Trebuchet MS" w:eastAsia="Calibri" w:hAnsi="Trebuchet MS"/>
                <w:szCs w:val="22"/>
              </w:rPr>
            </w:pPr>
          </w:p>
          <w:p w14:paraId="7E6A299B" w14:textId="77777777" w:rsidR="00B060CD" w:rsidRPr="00680741" w:rsidRDefault="00B060CD" w:rsidP="007C7E7A">
            <w:pPr>
              <w:widowControl w:val="0"/>
              <w:spacing w:before="0" w:after="160" w:line="259" w:lineRule="auto"/>
              <w:ind w:left="0" w:right="0"/>
              <w:rPr>
                <w:rFonts w:ascii="Trebuchet MS" w:eastAsia="Calibri" w:hAnsi="Trebuchet MS"/>
                <w:szCs w:val="22"/>
              </w:rPr>
            </w:pPr>
          </w:p>
          <w:p w14:paraId="6B8709F8" w14:textId="77777777" w:rsidR="0065536C" w:rsidRPr="00680741" w:rsidRDefault="0065536C" w:rsidP="007C7E7A">
            <w:pPr>
              <w:widowControl w:val="0"/>
              <w:spacing w:before="0" w:after="160" w:line="259" w:lineRule="auto"/>
              <w:ind w:left="0" w:right="0"/>
              <w:rPr>
                <w:rFonts w:ascii="Trebuchet MS" w:eastAsia="Calibri" w:hAnsi="Trebuchet MS"/>
                <w:szCs w:val="22"/>
              </w:rPr>
            </w:pPr>
          </w:p>
          <w:p w14:paraId="13940DE8" w14:textId="050AB181" w:rsidR="00927281" w:rsidRPr="00927281" w:rsidRDefault="00927281" w:rsidP="007C7E7A">
            <w:pPr>
              <w:widowControl w:val="0"/>
              <w:pBdr>
                <w:top w:val="single" w:sz="4" w:space="5" w:color="9E9FA3"/>
              </w:pBdr>
              <w:spacing w:before="0" w:after="120" w:line="290" w:lineRule="exact"/>
              <w:ind w:left="0" w:right="0"/>
              <w:contextualSpacing/>
              <w:jc w:val="left"/>
              <w:rPr>
                <w:rFonts w:ascii="Trebuchet MS" w:eastAsia="SimSun" w:hAnsi="Trebuchet MS" w:cs="Arial"/>
                <w:b/>
                <w:sz w:val="18"/>
                <w:szCs w:val="24"/>
              </w:rPr>
            </w:pPr>
            <w:r>
              <w:rPr>
                <w:rFonts w:ascii="Trebuchet MS" w:hAnsi="Trebuchet MS"/>
                <w:b/>
                <w:sz w:val="18"/>
              </w:rPr>
              <w:lastRenderedPageBreak/>
              <w:t xml:space="preserve">Rysunek </w:t>
            </w:r>
            <w:r w:rsidRPr="00927281">
              <w:rPr>
                <w:rFonts w:ascii="Trebuchet MS" w:eastAsia="SimSun" w:hAnsi="Trebuchet MS" w:cs="Arial"/>
                <w:b/>
                <w:sz w:val="18"/>
              </w:rPr>
              <w:fldChar w:fldCharType="begin"/>
            </w:r>
            <w:r w:rsidRPr="00927281">
              <w:rPr>
                <w:rFonts w:ascii="Trebuchet MS" w:eastAsia="SimSun" w:hAnsi="Trebuchet MS" w:cs="Arial"/>
                <w:b/>
                <w:sz w:val="18"/>
              </w:rPr>
              <w:instrText xml:space="preserve"> SEQ Figure \* ARABIC </w:instrText>
            </w:r>
            <w:r w:rsidRPr="00927281">
              <w:rPr>
                <w:rFonts w:ascii="Trebuchet MS" w:eastAsia="SimSun" w:hAnsi="Trebuchet MS" w:cs="Arial"/>
                <w:b/>
                <w:sz w:val="18"/>
              </w:rPr>
              <w:fldChar w:fldCharType="separate"/>
            </w:r>
            <w:r w:rsidR="00680741">
              <w:rPr>
                <w:rFonts w:ascii="Trebuchet MS" w:eastAsia="SimSun" w:hAnsi="Trebuchet MS" w:cs="Arial"/>
                <w:b/>
                <w:noProof/>
                <w:sz w:val="18"/>
              </w:rPr>
              <w:t>5</w:t>
            </w:r>
            <w:r w:rsidRPr="00927281">
              <w:rPr>
                <w:rFonts w:ascii="Trebuchet MS" w:eastAsia="SimSun" w:hAnsi="Trebuchet MS" w:cs="Arial"/>
                <w:b/>
                <w:sz w:val="18"/>
              </w:rPr>
              <w:fldChar w:fldCharType="end"/>
            </w:r>
            <w:r>
              <w:rPr>
                <w:rFonts w:ascii="Trebuchet MS" w:hAnsi="Trebuchet MS"/>
                <w:b/>
                <w:sz w:val="18"/>
              </w:rPr>
              <w:t>: Końcowe zużycie energii na m2 w sektorze mieszkaniowym, przy normalnym klimacie, 2005 i 2018, w kg ekwiwalentu ropy naftowej / m2</w:t>
            </w:r>
          </w:p>
          <w:p w14:paraId="31E63687" w14:textId="77777777" w:rsidR="00927281" w:rsidRPr="00927281" w:rsidRDefault="00927281" w:rsidP="007C7E7A">
            <w:pPr>
              <w:widowControl w:val="0"/>
              <w:spacing w:before="0" w:after="160" w:line="259" w:lineRule="auto"/>
              <w:ind w:left="0" w:right="0"/>
              <w:jc w:val="left"/>
              <w:rPr>
                <w:rFonts w:ascii="Trebuchet MS" w:eastAsia="Calibri" w:hAnsi="Trebuchet MS"/>
                <w:sz w:val="22"/>
                <w:szCs w:val="22"/>
              </w:rPr>
            </w:pPr>
            <w:r>
              <w:rPr>
                <w:rFonts w:ascii="Trebuchet MS" w:hAnsi="Trebuchet MS"/>
                <w:noProof/>
                <w:sz w:val="22"/>
                <w:lang w:eastAsia="pl-PL"/>
              </w:rPr>
              <w:drawing>
                <wp:inline distT="0" distB="0" distL="0" distR="0" wp14:anchorId="327CF857" wp14:editId="0B19708C">
                  <wp:extent cx="5423095" cy="2489982"/>
                  <wp:effectExtent l="0" t="0" r="25400" b="24765"/>
                  <wp:docPr id="45" name="Chart 4" descr="Zaprezentowane na nim dane dotyczą państw uczestniczących w programie Interreg Europa Środkowa i obrazują zużycie energii z lat 2005 (niebieski) i 2018 (pomarańczowy) według kg ekwiwalentu ropy naftowej/m2.&#10;Na wykresie zaprezentowano także dane ze średnią zużycia dla wszystkcih państw członkowskich (EU28 tj. przed opuszczeniem UE przez Wielką Brytanię). " title="Wykres prezentujący końcowe zużycie energii na m2 w sektorze mieszkaniowym, przy normalnym klimacie"/>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7C6AA30" w14:textId="77777777" w:rsidR="00927281" w:rsidRPr="00680741" w:rsidRDefault="00927281" w:rsidP="007C7E7A">
            <w:pPr>
              <w:widowControl w:val="0"/>
              <w:pBdr>
                <w:bottom w:val="single" w:sz="4" w:space="5" w:color="9E9FA3"/>
              </w:pBdr>
              <w:spacing w:before="0" w:after="290" w:line="220" w:lineRule="exact"/>
              <w:ind w:left="0" w:right="0"/>
              <w:contextualSpacing/>
              <w:jc w:val="left"/>
              <w:rPr>
                <w:rFonts w:ascii="Trebuchet MS" w:eastAsia="SimSun" w:hAnsi="Trebuchet MS" w:cs="Arial"/>
                <w:sz w:val="16"/>
                <w:szCs w:val="24"/>
                <w:lang w:val="en-GB"/>
              </w:rPr>
            </w:pPr>
            <w:r w:rsidRPr="00680741">
              <w:rPr>
                <w:rFonts w:ascii="Trebuchet MS" w:hAnsi="Trebuchet MS"/>
                <w:sz w:val="16"/>
                <w:lang w:val="en-GB"/>
              </w:rPr>
              <w:t>Źródło: DATA MAPPER for Energy Union Targets https://ec.europa.eu/energy/en/atico_countrysheets/database?indicator=EE4&amp;amp;type=bar</w:t>
            </w:r>
          </w:p>
          <w:p w14:paraId="4B7BE8C6" w14:textId="77777777" w:rsidR="00927281" w:rsidRPr="00927281" w:rsidRDefault="00927281" w:rsidP="007C7E7A">
            <w:pPr>
              <w:widowControl w:val="0"/>
              <w:spacing w:before="0" w:after="160" w:line="259" w:lineRule="auto"/>
              <w:ind w:left="0" w:right="0"/>
              <w:rPr>
                <w:rFonts w:ascii="Trebuchet MS" w:eastAsia="Calibri" w:hAnsi="Trebuchet MS"/>
                <w:szCs w:val="22"/>
                <w:lang w:val="en-GB"/>
              </w:rPr>
            </w:pPr>
          </w:p>
          <w:p w14:paraId="6B9DDF00" w14:textId="2191BC5A" w:rsidR="00927281" w:rsidRPr="00D80606" w:rsidRDefault="00066C27"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Z efektywnością energetyczną wiąże się wyzwanie, jakim jest ograniczenie </w:t>
            </w:r>
            <w:r w:rsidRPr="00D80606">
              <w:rPr>
                <w:rFonts w:ascii="Trebuchet MS" w:hAnsi="Trebuchet MS"/>
                <w:b/>
                <w:sz w:val="24"/>
                <w:szCs w:val="24"/>
              </w:rPr>
              <w:t>emisji gazów cieplarnianych</w:t>
            </w:r>
            <w:r w:rsidRPr="00D80606">
              <w:rPr>
                <w:rFonts w:ascii="Trebuchet MS" w:hAnsi="Trebuchet MS"/>
                <w:sz w:val="24"/>
                <w:szCs w:val="24"/>
              </w:rPr>
              <w:t xml:space="preserve">. Kraje UE w obszarze objętym programem wschodnim nadal prowadzą gospodarki o wyższej intensywności emisji gazów cieplarnianych niż średnia UE, pomimo ich osiągnięć w zakresie łagodzenia skutków zmiany klimatu w następstwie odchodzenia od gospodarek wysokoemisyjnych po upadku socjalizmu. Polska i Czechy notują wyniki znacznie poniżej średniej </w:t>
            </w:r>
            <w:r w:rsidR="00D86A15" w:rsidRPr="00D80606">
              <w:rPr>
                <w:rFonts w:ascii="Trebuchet MS" w:hAnsi="Trebuchet MS"/>
                <w:sz w:val="24"/>
                <w:szCs w:val="24"/>
              </w:rPr>
              <w:t xml:space="preserve">unijnej </w:t>
            </w:r>
            <w:r w:rsidRPr="00D80606">
              <w:rPr>
                <w:rFonts w:ascii="Trebuchet MS" w:hAnsi="Trebuchet MS"/>
                <w:sz w:val="24"/>
                <w:szCs w:val="24"/>
              </w:rPr>
              <w:t>zarówno pod względem emisji gazów cieplarnianych na jednostkę PKB, jak i emisji gazów cieplarnianych na mieszkańca. Gospodarka Niemiec jest również mniej efektywna pod względem emisji gazów cieplarnianych niż średnia UE zarówno pod względem PKB, jak i wskaźnika w przeliczeniu na mieszkańca. Chorwacja, Słowacja i Słowenia generują wyższe niż średnia UE emisje gazów cieplarnianych na jednostkę PKB, ale ich emisje gazów cieplarnianych na mieszkańca są lepsze niż średnia unijna. Austria znajduje się w odwrotnej sytuacji: jej emisje gazów cieplarnianych na mieszkańca są wyższe niż średnia unijna, ale osiąga ona lepsze wyniki pod względem emisji gazów cieplarnianych na jednostkę PKB. W przedmiotowym regionie tylko Włochy osiągają wyniki lepsze od średnich unijnych w zakresie obu wskaźników (Integra, ZaVita, 2020).</w:t>
            </w:r>
          </w:p>
          <w:p w14:paraId="2280F27F" w14:textId="5E16B1C4"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Mimo że wszystkie państwa objęte programem poczyniły postępy w ograniczaniu emisji gazów cieplarnianych od 2000 roku, polityka wymaga podjęcia dalszych działań w celu osiągnięcia celów unijnych w zakresie efektywności energetycznej. Należy poprawić </w:t>
            </w:r>
            <w:r w:rsidRPr="00D80606">
              <w:rPr>
                <w:rFonts w:ascii="Trebuchet MS" w:hAnsi="Trebuchet MS"/>
                <w:b/>
                <w:sz w:val="24"/>
                <w:szCs w:val="24"/>
              </w:rPr>
              <w:t>wydajność energetyczną budynków</w:t>
            </w:r>
            <w:r w:rsidRPr="00D80606">
              <w:rPr>
                <w:rFonts w:ascii="Trebuchet MS" w:hAnsi="Trebuchet MS"/>
                <w:sz w:val="24"/>
                <w:szCs w:val="24"/>
              </w:rPr>
              <w:t xml:space="preserve">, w tym wprowadzić energooszczędne rozwiązania w zakresie ogrzewania i chłodzenia (np. inteligentne budynki). Polityka musi również uwzględniać zapotrzebowanie na energię we wszystkich sektorach, w tym w transporcie, oraz brać pod uwagę synergię z </w:t>
            </w:r>
            <w:r w:rsidRPr="00D80606">
              <w:rPr>
                <w:rFonts w:ascii="Trebuchet MS" w:hAnsi="Trebuchet MS"/>
                <w:sz w:val="24"/>
                <w:szCs w:val="24"/>
              </w:rPr>
              <w:lastRenderedPageBreak/>
              <w:t xml:space="preserve">wyzwaniami związanymi z gospodarką o obiegu zamkniętym, np. poprzez wspieranie optymalizacji wykorzystania energii w przemyśle i procesach oraz optymalizacji procesów odzyskiwania energii. </w:t>
            </w:r>
          </w:p>
          <w:p w14:paraId="2E9BF184" w14:textId="4A65892F" w:rsidR="00B060CD" w:rsidRPr="00EE2941" w:rsidRDefault="00F260A2" w:rsidP="00EE2941">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Ślad węglowy Europy Środkowej mógłby zostać zmniejszony również poprzez zwiększenie wykorzystania </w:t>
            </w:r>
            <w:r w:rsidRPr="00D80606">
              <w:rPr>
                <w:rFonts w:ascii="Trebuchet MS" w:hAnsi="Trebuchet MS"/>
                <w:b/>
                <w:sz w:val="24"/>
                <w:szCs w:val="24"/>
              </w:rPr>
              <w:t>energii odnawialnej</w:t>
            </w:r>
            <w:r w:rsidRPr="00D80606">
              <w:rPr>
                <w:rFonts w:ascii="Trebuchet MS" w:hAnsi="Trebuchet MS"/>
                <w:sz w:val="24"/>
                <w:szCs w:val="24"/>
              </w:rPr>
              <w:t>. Udział odnawialnych źródeł energii w końcowym zużyciu energii brutto w 2018 roku notowany jest na różnych poziomach w Europie Środkowej, sięgając od 13% w Czechach do 33,5% w Austrii. Chociaż niektóre kraje objęte programem już w 2018 roku przekroczyły swoje samodzielnie określone cele w zakresie energii odnawialnej na 2020 rok, konieczne są dalsze wysiłki polityczne w celu zwiększenia wykorzystania odnawialnych źródeł energii we wszystkich sektorach. Obejmuje to przemysł i sektor mieszkaniowy, np. poprzez ułatwianie zdecentralizowanej produkcji energii i wzmocnienie pozycji konsumentów energii odnawialnej oraz społeczności korzystających z energii odnawialnej.</w:t>
            </w:r>
          </w:p>
          <w:p w14:paraId="3EE5CA34" w14:textId="77777777" w:rsidR="00F260A2" w:rsidRPr="00680741" w:rsidRDefault="00F260A2" w:rsidP="007C7E7A">
            <w:pPr>
              <w:widowControl w:val="0"/>
              <w:spacing w:before="0" w:after="160" w:line="259" w:lineRule="auto"/>
              <w:ind w:left="0" w:right="0"/>
              <w:rPr>
                <w:rFonts w:ascii="Trebuchet MS" w:eastAsia="Calibri" w:hAnsi="Trebuchet MS"/>
                <w:szCs w:val="22"/>
              </w:rPr>
            </w:pPr>
          </w:p>
          <w:p w14:paraId="01950E67" w14:textId="560D56F0" w:rsidR="00927281" w:rsidRDefault="00927281" w:rsidP="00454161">
            <w:pPr>
              <w:widowControl w:val="0"/>
              <w:spacing w:before="360" w:after="240" w:line="280" w:lineRule="atLeast"/>
              <w:ind w:left="0" w:right="0"/>
              <w:contextualSpacing/>
              <w:jc w:val="left"/>
              <w:outlineLvl w:val="0"/>
              <w:rPr>
                <w:rFonts w:ascii="Trebuchet MS" w:eastAsia="SimSun" w:hAnsi="Trebuchet MS" w:cs="Arial"/>
                <w:bCs/>
                <w:color w:val="A5A5A5"/>
                <w:spacing w:val="5"/>
                <w:kern w:val="32"/>
                <w:sz w:val="28"/>
                <w:szCs w:val="32"/>
              </w:rPr>
            </w:pPr>
            <w:bookmarkStart w:id="30" w:name="_Toc61245855"/>
            <w:bookmarkStart w:id="31" w:name="_Toc61246194"/>
            <w:bookmarkStart w:id="32" w:name="_Toc63770026"/>
            <w:bookmarkStart w:id="33" w:name="_Toc64026041"/>
            <w:bookmarkStart w:id="34" w:name="_Toc71036589"/>
            <w:r>
              <w:rPr>
                <w:rFonts w:ascii="Trebuchet MS" w:hAnsi="Trebuchet MS"/>
                <w:color w:val="A5A5A5"/>
                <w:sz w:val="28"/>
              </w:rPr>
              <w:t>Zrównoważony transport i łączność</w:t>
            </w:r>
            <w:bookmarkEnd w:id="30"/>
            <w:bookmarkEnd w:id="31"/>
            <w:bookmarkEnd w:id="32"/>
            <w:bookmarkEnd w:id="33"/>
            <w:bookmarkEnd w:id="34"/>
          </w:p>
          <w:p w14:paraId="081CC576" w14:textId="77777777" w:rsidR="00277B6A" w:rsidRPr="00680741" w:rsidRDefault="00277B6A" w:rsidP="00454161">
            <w:pPr>
              <w:widowControl w:val="0"/>
              <w:spacing w:before="0" w:after="160" w:line="259" w:lineRule="auto"/>
              <w:ind w:left="0" w:right="0"/>
              <w:rPr>
                <w:rFonts w:ascii="Trebuchet MS" w:eastAsia="Calibri" w:hAnsi="Trebuchet MS"/>
                <w:szCs w:val="22"/>
              </w:rPr>
            </w:pPr>
          </w:p>
          <w:p w14:paraId="4E563CDD" w14:textId="1BAB63DC"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Europa Środkowa łączy Europę ze wschodu na zachód i z północy na południe. Obszar ten jest ściśle powiązany z wieloma </w:t>
            </w:r>
            <w:r w:rsidRPr="00D80606">
              <w:rPr>
                <w:rFonts w:ascii="Trebuchet MS" w:hAnsi="Trebuchet MS"/>
                <w:b/>
                <w:sz w:val="24"/>
                <w:szCs w:val="24"/>
              </w:rPr>
              <w:t>głównymi europejskimi korytarzami transportowymi</w:t>
            </w:r>
            <w:r w:rsidRPr="00D80606">
              <w:rPr>
                <w:rFonts w:ascii="Trebuchet MS" w:hAnsi="Trebuchet MS"/>
                <w:sz w:val="24"/>
                <w:szCs w:val="24"/>
              </w:rPr>
              <w:t xml:space="preserve"> i stanowi ich część. Siedem spośród wszystkich dziewięciu korytarzy TEN-T przecina co najmniej dwa kraje Europy Środkowej, a mianowicie: korytarz Morze Bałtyckie-Morze Adriatyckie, Ren-Dunaj, Wschód/wschodnia część regionu Morza Śródziemnego, Skandynawia-Morze Śródziemne, Morze Północne-Morze Bałtyckie oraz Ren-Alpy. Obszar objęty programem łączy zatem niektóre z głównych portów europejskich, takich jak Hamburg czy Triest, i obejmuje infrastrukturę drogową, kolejową i wodną umożliwiającą swobodny przepływ towarów i osób w Europie. W związku z tym Europa Środkowa odgrywa ważną rolę w fizycznej integracji w UE. </w:t>
            </w:r>
          </w:p>
          <w:p w14:paraId="5D69D402" w14:textId="7EFBACBA" w:rsidR="00927281" w:rsidRPr="00D80606" w:rsidRDefault="00960518"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Obszar ten jest również silnie zintegrowany wewnętrznie pod względem gospodarczym. Zapewnienie zrównoważonej infrastruktury i usług transportowych ma zasadnicze znaczenie dla skutecznych i sprzyjających włączeniu społecznemu stosunków funkcjonalnych między krajami i regionami objętymi programem, a także między obszarami miejskimi i wiejskimi.</w:t>
            </w:r>
          </w:p>
          <w:p w14:paraId="3FF74158" w14:textId="25E3EBF7"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b/>
                <w:sz w:val="24"/>
                <w:szCs w:val="24"/>
              </w:rPr>
              <w:t>Dostępność kolei</w:t>
            </w:r>
            <w:r w:rsidRPr="00D80606">
              <w:rPr>
                <w:rFonts w:ascii="Trebuchet MS" w:hAnsi="Trebuchet MS"/>
                <w:sz w:val="24"/>
                <w:szCs w:val="24"/>
              </w:rPr>
              <w:t xml:space="preserve"> jest bardzo zróżnicowana na obszarze objętym programem. W celowej analizie ESPON CE-FLOWS (VVA i in., 2020) podkreślono, że bardziej zaludnione regiony w zachodnich częściach Europy Środkowej korzystają z o wiele lepszego dostępu do kolei. O ile połączenia między głównymi ośrodkami miejskimi (i w mniejszym stopniu między mniejszymi ośrodkami miejskimi) są zazwyczaj zapewnione, to nie można tego samego powiedzieć o obszarach peryferyjnych. W tym przypadku dostępność jest często kluczową kwestią, a wyzwania związane z </w:t>
            </w:r>
            <w:r w:rsidRPr="00D80606">
              <w:rPr>
                <w:rFonts w:ascii="Trebuchet MS" w:hAnsi="Trebuchet MS"/>
                <w:sz w:val="24"/>
                <w:szCs w:val="24"/>
              </w:rPr>
              <w:lastRenderedPageBreak/>
              <w:t xml:space="preserve">peryferyjnością większości regionów granicznych w Europie Środkowej są nadal aktualne. Powoduje to również znaczne utrudnienia w zakresie </w:t>
            </w:r>
            <w:r w:rsidRPr="00D80606">
              <w:rPr>
                <w:rFonts w:ascii="Trebuchet MS" w:hAnsi="Trebuchet MS"/>
                <w:b/>
                <w:sz w:val="24"/>
                <w:szCs w:val="24"/>
              </w:rPr>
              <w:t>wzorców dojazdów do pracy i mobilności siły roboczej</w:t>
            </w:r>
            <w:r w:rsidRPr="00D80606">
              <w:rPr>
                <w:rFonts w:ascii="Trebuchet MS" w:hAnsi="Trebuchet MS"/>
                <w:sz w:val="24"/>
                <w:szCs w:val="24"/>
              </w:rPr>
              <w:t>, ponieważ regiony te charakteryzują się na ogół niższymi wskaźnikami dojazdów do pracy. Ogólnie rzecz biorąc, problemy związane z</w:t>
            </w:r>
            <w:r w:rsidRPr="00D80606">
              <w:rPr>
                <w:rFonts w:ascii="Trebuchet MS" w:hAnsi="Trebuchet MS"/>
                <w:b/>
                <w:sz w:val="24"/>
                <w:szCs w:val="24"/>
              </w:rPr>
              <w:t xml:space="preserve"> interoperacyjnością transportu</w:t>
            </w:r>
            <w:r w:rsidRPr="00D80606">
              <w:rPr>
                <w:rFonts w:ascii="Trebuchet MS" w:hAnsi="Trebuchet MS"/>
                <w:sz w:val="24"/>
                <w:szCs w:val="24"/>
              </w:rPr>
              <w:t xml:space="preserve"> i wąskimi gardłami w tym zakresie utrzymują się w Europie Środkowej i są szczególnie widoczne na odcinkach transgranicznych. Luki w transgranicznej pasażerskiej sieci kolejowej nie muszą być spowodowane brakującymi elementami infrastruktury. W wielu przypadkach brak jest transgranicznych usług pasażerskich nawet na działającej infrastrukturze kolejowej (KE, 2018).</w:t>
            </w:r>
          </w:p>
          <w:p w14:paraId="0B92A709" w14:textId="4952846B" w:rsidR="00927281" w:rsidRPr="00D80606" w:rsidRDefault="00EC002C"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Zmiana tego stanu rzeczy wymaga sieci transportowej i usług, które zapewnią wysoką </w:t>
            </w:r>
            <w:r w:rsidRPr="00D80606">
              <w:rPr>
                <w:rFonts w:ascii="Trebuchet MS" w:hAnsi="Trebuchet MS"/>
                <w:b/>
                <w:sz w:val="24"/>
                <w:szCs w:val="24"/>
              </w:rPr>
              <w:t>dostępność regionalną i lokalną</w:t>
            </w:r>
            <w:r w:rsidRPr="00D80606">
              <w:rPr>
                <w:rFonts w:ascii="Trebuchet MS" w:hAnsi="Trebuchet MS"/>
                <w:sz w:val="24"/>
                <w:szCs w:val="24"/>
              </w:rPr>
              <w:t xml:space="preserve"> oraz połączą obszary wiejskie i miejskie. Istnieje potrzeba opracowania polityki mającej na celu usunięcie istniejących wąskich gardeł w obrębie państw i pomiędzy nimi, które wynikają z brakujących połączeń transgranicznych lub usług poza podstawową siecią TEN-T. Obejmuje to potrzebę wspierania integracji różnych rodzajów transportu oraz zapewnienia interoperacyjności i odpowiedniej przepustowości infrastruktury.</w:t>
            </w:r>
          </w:p>
          <w:p w14:paraId="141EC47C" w14:textId="2A576820"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Kolejnym wyzwaniem jest przejście na </w:t>
            </w:r>
            <w:r w:rsidRPr="00D80606">
              <w:rPr>
                <w:rFonts w:ascii="Trebuchet MS" w:hAnsi="Trebuchet MS"/>
                <w:b/>
                <w:sz w:val="24"/>
                <w:szCs w:val="24"/>
              </w:rPr>
              <w:t>intermodalną i inteligentną mobilność oraz transport towarów</w:t>
            </w:r>
            <w:r w:rsidRPr="00D80606">
              <w:rPr>
                <w:rFonts w:ascii="Trebuchet MS" w:hAnsi="Trebuchet MS"/>
                <w:sz w:val="24"/>
                <w:szCs w:val="24"/>
              </w:rPr>
              <w:t xml:space="preserve">. Przed pandemią COVID-19, która spowodowała dramatyczne, ale tymczasowe zmniejszenie przepływów transportowych, spodziewano się, że udział w rynku kombinowanego transportu kolejowo-drogowego w Europie będzie silnie wzrastał, co będzie miało silny wpływ na Europę Środkową ze względu na jej położenie geograficzne. Aby obsłużyć te przepływy transportowe, konieczne jest stworzenie skutecznych ponadnarodowych, krajowych i lokalnych systemów zarządzania ruchem, które powinny przyczynić się do zmniejszenia zatorów i emisji oraz do poprawy bezpieczeństwa transportu. </w:t>
            </w:r>
          </w:p>
          <w:p w14:paraId="7B649612" w14:textId="0FEDF302"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Ponadto, transport na obszarze objętym programem nie jest obecnie </w:t>
            </w:r>
            <w:r w:rsidRPr="00D80606">
              <w:rPr>
                <w:rFonts w:ascii="Trebuchet MS" w:hAnsi="Trebuchet MS"/>
                <w:b/>
                <w:sz w:val="24"/>
                <w:szCs w:val="24"/>
              </w:rPr>
              <w:t>zrównoważony pod względem środowiskowym ani neutralny dla klimatu</w:t>
            </w:r>
            <w:r w:rsidRPr="00D80606">
              <w:rPr>
                <w:rFonts w:ascii="Trebuchet MS" w:hAnsi="Trebuchet MS"/>
                <w:sz w:val="24"/>
                <w:szCs w:val="24"/>
              </w:rPr>
              <w:t>. W latach 2010-2018 udział sektora transportu w całkowitych emisjach gazów cieplarnianych wzrósł we wszystkich krajach objętych programem, a najbardziej w Słowenii, Chorwacji i Polsce (Rysunek 6). Oznacza to, że zwiększenie zrównoważonego charakteru transportu wymaga przejścia z transportu drogowego opartego w przeważającej mierze na paliwach kopalnych na bardziej zrównoważone rodzaje transportu. Od 2018 roku ponad 65% ładunków w całej Europie Środkowej jest transportowane drogami. Transport drogowy jest odpowiedzialny za 72% emisji gazów cieplarnianych w sektorze transportu w Europie Środkowej (wiiw, 2020).</w:t>
            </w:r>
          </w:p>
          <w:p w14:paraId="5CDE2640" w14:textId="5267448D" w:rsidR="00927281" w:rsidRDefault="00927281" w:rsidP="00454161">
            <w:pPr>
              <w:widowControl w:val="0"/>
              <w:spacing w:before="0" w:line="240" w:lineRule="auto"/>
              <w:ind w:left="0" w:right="0"/>
              <w:jc w:val="left"/>
              <w:rPr>
                <w:rFonts w:ascii="Calibri" w:eastAsia="Calibri" w:hAnsi="Calibri"/>
                <w:sz w:val="22"/>
                <w:szCs w:val="22"/>
              </w:rPr>
            </w:pPr>
            <w:r>
              <w:br w:type="page"/>
            </w:r>
          </w:p>
          <w:p w14:paraId="2CA5D642" w14:textId="4DEFFA97" w:rsidR="0065536C" w:rsidRPr="00680741" w:rsidRDefault="0065536C" w:rsidP="00454161">
            <w:pPr>
              <w:widowControl w:val="0"/>
              <w:spacing w:before="0" w:line="240" w:lineRule="auto"/>
              <w:ind w:left="0" w:right="0"/>
              <w:jc w:val="left"/>
              <w:rPr>
                <w:rFonts w:ascii="Calibri" w:eastAsia="Calibri" w:hAnsi="Calibri"/>
                <w:sz w:val="22"/>
                <w:szCs w:val="22"/>
              </w:rPr>
            </w:pPr>
          </w:p>
          <w:p w14:paraId="0A6D419C" w14:textId="65826D63" w:rsidR="00DA2069" w:rsidRPr="00680741" w:rsidRDefault="00DA2069" w:rsidP="00454161">
            <w:pPr>
              <w:widowControl w:val="0"/>
              <w:spacing w:before="0" w:line="240" w:lineRule="auto"/>
              <w:ind w:left="0" w:right="0"/>
              <w:jc w:val="left"/>
              <w:rPr>
                <w:rFonts w:ascii="Calibri" w:eastAsia="Calibri" w:hAnsi="Calibri"/>
                <w:sz w:val="22"/>
                <w:szCs w:val="22"/>
              </w:rPr>
            </w:pPr>
          </w:p>
          <w:p w14:paraId="57AB564A" w14:textId="77777777" w:rsidR="00DA2069" w:rsidRPr="00680741" w:rsidRDefault="00DA2069" w:rsidP="00454161">
            <w:pPr>
              <w:widowControl w:val="0"/>
              <w:spacing w:before="0" w:line="240" w:lineRule="auto"/>
              <w:ind w:left="0" w:right="0"/>
              <w:jc w:val="left"/>
              <w:rPr>
                <w:rFonts w:ascii="Calibri" w:eastAsia="Calibri" w:hAnsi="Calibri"/>
                <w:sz w:val="22"/>
                <w:szCs w:val="22"/>
              </w:rPr>
            </w:pPr>
          </w:p>
          <w:p w14:paraId="6229CB1B" w14:textId="278F40A8" w:rsidR="0065536C" w:rsidRPr="00680741" w:rsidRDefault="0065536C" w:rsidP="00454161">
            <w:pPr>
              <w:widowControl w:val="0"/>
              <w:spacing w:before="0" w:line="240" w:lineRule="auto"/>
              <w:ind w:left="0" w:right="0"/>
              <w:jc w:val="left"/>
              <w:rPr>
                <w:rFonts w:ascii="Calibri" w:eastAsia="Calibri" w:hAnsi="Calibri"/>
                <w:sz w:val="22"/>
                <w:szCs w:val="22"/>
              </w:rPr>
            </w:pPr>
          </w:p>
          <w:p w14:paraId="3DB02CA5" w14:textId="3AA868C5" w:rsidR="0065536C" w:rsidRPr="00680741" w:rsidRDefault="0065536C" w:rsidP="00454161">
            <w:pPr>
              <w:widowControl w:val="0"/>
              <w:spacing w:before="0" w:line="240" w:lineRule="auto"/>
              <w:ind w:left="0" w:right="0"/>
              <w:jc w:val="left"/>
              <w:rPr>
                <w:rFonts w:ascii="Calibri" w:eastAsia="Calibri" w:hAnsi="Calibri"/>
                <w:sz w:val="22"/>
                <w:szCs w:val="22"/>
              </w:rPr>
            </w:pPr>
          </w:p>
          <w:p w14:paraId="69C82C80" w14:textId="77777777" w:rsidR="0065536C" w:rsidRPr="00680741" w:rsidRDefault="0065536C" w:rsidP="00454161">
            <w:pPr>
              <w:widowControl w:val="0"/>
              <w:spacing w:before="0" w:line="240" w:lineRule="auto"/>
              <w:ind w:left="0" w:right="0"/>
              <w:jc w:val="left"/>
              <w:rPr>
                <w:rFonts w:ascii="Calibri" w:eastAsia="Calibri" w:hAnsi="Calibri"/>
                <w:sz w:val="22"/>
                <w:szCs w:val="22"/>
              </w:rPr>
            </w:pPr>
          </w:p>
          <w:p w14:paraId="3C0B8D3D" w14:textId="3D6FFC41" w:rsidR="00857AFE" w:rsidRPr="0016432C" w:rsidRDefault="00857AFE" w:rsidP="00857AFE">
            <w:pPr>
              <w:pBdr>
                <w:top w:val="single" w:sz="4" w:space="5" w:color="9E9FA3"/>
              </w:pBdr>
              <w:spacing w:before="0" w:after="120" w:line="290" w:lineRule="exact"/>
              <w:ind w:left="0" w:right="0"/>
              <w:contextualSpacing/>
              <w:jc w:val="left"/>
              <w:rPr>
                <w:rFonts w:ascii="Trebuchet MS" w:eastAsia="SimSun" w:hAnsi="Trebuchet MS"/>
                <w:b/>
                <w:sz w:val="18"/>
                <w:szCs w:val="24"/>
              </w:rPr>
            </w:pPr>
            <w:r>
              <w:rPr>
                <w:rFonts w:ascii="Trebuchet MS" w:hAnsi="Trebuchet MS"/>
                <w:b/>
                <w:sz w:val="18"/>
              </w:rPr>
              <w:t xml:space="preserve">Rysunek </w:t>
            </w:r>
            <w:r w:rsidRPr="0016432C">
              <w:rPr>
                <w:rFonts w:ascii="Trebuchet MS" w:eastAsia="SimSun" w:hAnsi="Trebuchet MS"/>
                <w:b/>
                <w:sz w:val="18"/>
              </w:rPr>
              <w:fldChar w:fldCharType="begin"/>
            </w:r>
            <w:r w:rsidRPr="0016432C">
              <w:rPr>
                <w:rFonts w:ascii="Trebuchet MS" w:eastAsia="SimSun" w:hAnsi="Trebuchet MS"/>
                <w:b/>
                <w:sz w:val="18"/>
              </w:rPr>
              <w:instrText xml:space="preserve"> SEQ Figure \* ARABIC </w:instrText>
            </w:r>
            <w:r w:rsidRPr="0016432C">
              <w:rPr>
                <w:rFonts w:ascii="Trebuchet MS" w:eastAsia="SimSun" w:hAnsi="Trebuchet MS"/>
                <w:b/>
                <w:sz w:val="18"/>
              </w:rPr>
              <w:fldChar w:fldCharType="separate"/>
            </w:r>
            <w:r w:rsidR="00680741">
              <w:rPr>
                <w:rFonts w:ascii="Trebuchet MS" w:eastAsia="SimSun" w:hAnsi="Trebuchet MS"/>
                <w:b/>
                <w:noProof/>
                <w:sz w:val="18"/>
              </w:rPr>
              <w:t>6</w:t>
            </w:r>
            <w:r w:rsidRPr="0016432C">
              <w:rPr>
                <w:rFonts w:ascii="Trebuchet MS" w:eastAsia="SimSun" w:hAnsi="Trebuchet MS"/>
                <w:b/>
                <w:sz w:val="18"/>
              </w:rPr>
              <w:fldChar w:fldCharType="end"/>
            </w:r>
            <w:r>
              <w:rPr>
                <w:rFonts w:ascii="Trebuchet MS" w:hAnsi="Trebuchet MS"/>
                <w:b/>
                <w:sz w:val="18"/>
              </w:rPr>
              <w:t xml:space="preserve">: </w:t>
            </w:r>
            <w:bookmarkStart w:id="35" w:name="_Hlk58395238"/>
            <w:r>
              <w:rPr>
                <w:rFonts w:ascii="Trebuchet MS" w:hAnsi="Trebuchet MS"/>
                <w:b/>
                <w:sz w:val="18"/>
              </w:rPr>
              <w:t>Emisje gazów cieplarnianych, które można przypisać sektorowi transportu (w mln ton równoważnika CO2) i jego udział w całkowitej emisji (w %)</w:t>
            </w:r>
            <w:bookmarkEnd w:id="35"/>
          </w:p>
          <w:p w14:paraId="223627F1" w14:textId="77777777" w:rsidR="00857AFE" w:rsidRPr="00857AFE" w:rsidRDefault="00857AFE" w:rsidP="00857AFE">
            <w:pPr>
              <w:spacing w:before="0" w:after="290" w:line="290" w:lineRule="atLeast"/>
              <w:ind w:left="0" w:right="0"/>
              <w:jc w:val="left"/>
              <w:rPr>
                <w:rFonts w:ascii="Arial" w:eastAsia="SimSun" w:hAnsi="Arial"/>
                <w:sz w:val="18"/>
                <w:szCs w:val="24"/>
              </w:rPr>
            </w:pPr>
            <w:r>
              <w:rPr>
                <w:rFonts w:ascii="Arial" w:hAnsi="Arial"/>
                <w:noProof/>
                <w:sz w:val="18"/>
                <w:lang w:eastAsia="pl-PL"/>
              </w:rPr>
              <w:drawing>
                <wp:inline distT="0" distB="0" distL="0" distR="0" wp14:anchorId="2CB797DA" wp14:editId="14538857">
                  <wp:extent cx="2700000" cy="2520000"/>
                  <wp:effectExtent l="0" t="0" r="24765" b="13970"/>
                  <wp:docPr id="7" name="Chart 278" descr="Wykres prezentuje dane z lat 1990-2018 dotyczące emisji gazów cieplarnianych, które można przypisać sektorowi transportu, z państw Unii Europejskiej. Zobrazowano na nim również procentowy udział transportu w całkowitej emisji gazów cieplarnianych. " title="Wykres prezentujący emisje gazów cieplarnianych, które można przypisać sektorowi transportu w UE w latach 1990-20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Arial" w:hAnsi="Arial"/>
                <w:noProof/>
                <w:sz w:val="18"/>
                <w:lang w:eastAsia="pl-PL"/>
              </w:rPr>
              <w:drawing>
                <wp:inline distT="0" distB="0" distL="0" distR="0" wp14:anchorId="0A6F1C89" wp14:editId="26F53B2E">
                  <wp:extent cx="2736000" cy="2520000"/>
                  <wp:effectExtent l="0" t="0" r="26670" b="13970"/>
                  <wp:docPr id="10" name="Chart 225" descr="Wykres prezentuje dane dotyczące emisji gazów cieplarnianych (w milionach ton), które można przypisać sektorowi transportu z państw uczestniczących w programie Interreg Europa Środkowa. Dane pochodzą z lat 2010 i 2018. Na wykresie zaprezentowano także procentowy udział transportu w całkowitej emisji gazów cieplarnianych." title="Wykres prezentujący emisje gazów cieplarnianych, które można przypisać sektorowi transportu w państwach uczestniczących w Interreg Europa Środkowa"/>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2A706AB" w14:textId="77777777" w:rsidR="00857AFE" w:rsidRPr="0016432C" w:rsidRDefault="00857AFE" w:rsidP="00857AFE">
            <w:pPr>
              <w:pBdr>
                <w:bottom w:val="single" w:sz="4" w:space="5" w:color="9E9FA3"/>
              </w:pBdr>
              <w:spacing w:after="290" w:line="220" w:lineRule="exact"/>
              <w:ind w:left="0" w:right="0"/>
              <w:contextualSpacing/>
              <w:jc w:val="left"/>
              <w:rPr>
                <w:rFonts w:ascii="Trebuchet MS" w:eastAsia="SimSun" w:hAnsi="Trebuchet MS"/>
                <w:sz w:val="16"/>
                <w:szCs w:val="24"/>
              </w:rPr>
            </w:pPr>
            <w:r>
              <w:rPr>
                <w:rFonts w:ascii="Trebuchet MS" w:hAnsi="Trebuchet MS"/>
                <w:sz w:val="16"/>
              </w:rPr>
              <w:t>Uwaga: Dane na tych wykresach odnoszą się do całego terytorium DE i IT. Źródło: Statistical Pocketbook of the European Commission, DG MOVE (2018) na podstawie informacji przekazanych przez Europejską Agencję Środowiska (EEA) w czerwcu 2019 r.; Wykresy: wiiw.</w:t>
            </w:r>
          </w:p>
          <w:p w14:paraId="625F230C" w14:textId="066CFFF5" w:rsidR="005924F3" w:rsidRPr="00680741" w:rsidRDefault="005924F3" w:rsidP="00454161">
            <w:pPr>
              <w:widowControl w:val="0"/>
              <w:spacing w:before="0" w:line="240" w:lineRule="auto"/>
              <w:ind w:left="0" w:right="0"/>
              <w:jc w:val="left"/>
              <w:rPr>
                <w:rFonts w:ascii="Calibri" w:eastAsia="Calibri" w:hAnsi="Calibri"/>
                <w:sz w:val="22"/>
                <w:szCs w:val="22"/>
              </w:rPr>
            </w:pPr>
          </w:p>
          <w:p w14:paraId="016D145D" w14:textId="69E82595" w:rsidR="00927281" w:rsidRPr="00D80606" w:rsidRDefault="00D130CB" w:rsidP="00D80606">
            <w:pPr>
              <w:widowControl w:val="0"/>
              <w:spacing w:before="0" w:after="160"/>
              <w:ind w:left="0" w:right="0"/>
              <w:jc w:val="left"/>
              <w:rPr>
                <w:rFonts w:ascii="Trebuchet MS" w:eastAsia="Calibri" w:hAnsi="Trebuchet MS"/>
                <w:sz w:val="24"/>
                <w:szCs w:val="24"/>
              </w:rPr>
            </w:pPr>
            <w:r w:rsidRPr="00D80606">
              <w:rPr>
                <w:rFonts w:ascii="Trebuchet MS" w:hAnsi="Trebuchet MS"/>
                <w:b/>
                <w:sz w:val="24"/>
                <w:szCs w:val="24"/>
              </w:rPr>
              <w:t>Zrównoważona, multimodalna mobilność</w:t>
            </w:r>
            <w:r w:rsidRPr="00D80606">
              <w:rPr>
                <w:rFonts w:ascii="Trebuchet MS" w:hAnsi="Trebuchet MS"/>
                <w:sz w:val="24"/>
                <w:szCs w:val="24"/>
              </w:rPr>
              <w:t xml:space="preserve"> jest szczególnie ważna dla obszarów miejskich, między innymi dla zmniejszenia wysokiego poziomu </w:t>
            </w:r>
            <w:r w:rsidRPr="00D80606">
              <w:rPr>
                <w:rFonts w:ascii="Trebuchet MS" w:hAnsi="Trebuchet MS"/>
                <w:b/>
                <w:sz w:val="24"/>
                <w:szCs w:val="24"/>
              </w:rPr>
              <w:t>zanieczyszczenia powietrza i hałasu</w:t>
            </w:r>
            <w:r w:rsidRPr="00D80606">
              <w:rPr>
                <w:rFonts w:ascii="Trebuchet MS" w:hAnsi="Trebuchet MS"/>
                <w:sz w:val="24"/>
                <w:szCs w:val="24"/>
              </w:rPr>
              <w:t xml:space="preserve"> w takich miastach jak Bratysława, Budapeszt, Praga i Warszawa. Miasta te charakteryzują się wysokim wskaźnikiem posiadania samochodów, co zbiega się z poważnymi problemami związanymi z zatłoczeniem dróg i zanieczyszczeniem powietrza. Z kolei w średnich i małych miastach Europy Środkowej często brakuje odpowiedniej oferty w zakresie transportu publicznego. Prowadzi to ponownie do szerokiego wykorzystania samochodów jako głównego środka transportu. </w:t>
            </w:r>
          </w:p>
          <w:p w14:paraId="50B2DD5F" w14:textId="08583167"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Zmiana wzorców transportowych i </w:t>
            </w:r>
            <w:r w:rsidRPr="00D80606">
              <w:rPr>
                <w:rFonts w:ascii="Trebuchet MS" w:hAnsi="Trebuchet MS"/>
                <w:b/>
                <w:sz w:val="24"/>
                <w:szCs w:val="24"/>
              </w:rPr>
              <w:t xml:space="preserve">zachowań </w:t>
            </w:r>
            <w:r w:rsidR="00285A5E">
              <w:rPr>
                <w:rFonts w:ascii="Trebuchet MS" w:hAnsi="Trebuchet MS"/>
                <w:b/>
                <w:sz w:val="24"/>
                <w:szCs w:val="24"/>
              </w:rPr>
              <w:t>dotyczących</w:t>
            </w:r>
            <w:r w:rsidRPr="00D80606">
              <w:rPr>
                <w:rFonts w:ascii="Trebuchet MS" w:hAnsi="Trebuchet MS"/>
                <w:b/>
                <w:sz w:val="24"/>
                <w:szCs w:val="24"/>
              </w:rPr>
              <w:t xml:space="preserve"> mobilności</w:t>
            </w:r>
            <w:r w:rsidRPr="00D80606">
              <w:rPr>
                <w:rFonts w:ascii="Trebuchet MS" w:hAnsi="Trebuchet MS"/>
                <w:sz w:val="24"/>
                <w:szCs w:val="24"/>
              </w:rPr>
              <w:t xml:space="preserve"> wymaga działań związanych z planowaniem przestrzennym, bezpiecznymi ścieżkami rowerowymi i chodnikami, ekologicznym lokalnym transportem publicznym, wprowadzaniem nowych technologii dostaw, takich jak drony, czy usługami wspólnego użytkowania samochodów i rowerów. Ponadto transport miejski musi być postrzegany w kontekście </w:t>
            </w:r>
            <w:r w:rsidRPr="00D80606">
              <w:rPr>
                <w:rFonts w:ascii="Trebuchet MS" w:hAnsi="Trebuchet MS"/>
                <w:b/>
                <w:sz w:val="24"/>
                <w:szCs w:val="24"/>
              </w:rPr>
              <w:t>funkcjonalnego obszaru miejskiego</w:t>
            </w:r>
            <w:r w:rsidRPr="00D80606">
              <w:rPr>
                <w:rFonts w:ascii="Trebuchet MS" w:hAnsi="Trebuchet MS"/>
                <w:sz w:val="24"/>
                <w:szCs w:val="24"/>
              </w:rPr>
              <w:t>, który zachęca miasta do myślenia wykraczającego poza ich granice i uwzględniania potrzeb i wzajemnych relacji z ich otoczeniem. Ma to szczególne znaczenie dla płynnych dojazdów (m. in. do pracy).</w:t>
            </w:r>
          </w:p>
          <w:p w14:paraId="496A2F07" w14:textId="77777777" w:rsidR="00277B6A" w:rsidRPr="00680741" w:rsidRDefault="00277B6A" w:rsidP="00454161">
            <w:pPr>
              <w:widowControl w:val="0"/>
              <w:spacing w:before="0" w:after="160" w:line="259" w:lineRule="auto"/>
              <w:ind w:left="0" w:right="0"/>
              <w:rPr>
                <w:rFonts w:ascii="Trebuchet MS" w:eastAsia="Calibri" w:hAnsi="Trebuchet MS"/>
                <w:szCs w:val="22"/>
              </w:rPr>
            </w:pPr>
          </w:p>
          <w:p w14:paraId="3CEF8982" w14:textId="25811AAA" w:rsidR="00927281" w:rsidRPr="00927281" w:rsidRDefault="00927281" w:rsidP="00277B6A">
            <w:pPr>
              <w:widowControl w:val="0"/>
              <w:spacing w:before="0" w:after="160" w:line="259" w:lineRule="auto"/>
              <w:ind w:left="0" w:right="0"/>
              <w:jc w:val="left"/>
              <w:rPr>
                <w:rFonts w:ascii="Trebuchet MS" w:eastAsia="SimSun" w:hAnsi="Trebuchet MS" w:cs="Arial"/>
                <w:bCs/>
                <w:color w:val="A5A5A5"/>
                <w:spacing w:val="5"/>
                <w:kern w:val="32"/>
                <w:sz w:val="28"/>
                <w:szCs w:val="32"/>
              </w:rPr>
            </w:pPr>
            <w:r>
              <w:lastRenderedPageBreak/>
              <w:br w:type="page"/>
            </w:r>
            <w:bookmarkStart w:id="36" w:name="_Toc61245856"/>
            <w:bookmarkStart w:id="37" w:name="_Toc61246195"/>
            <w:r>
              <w:rPr>
                <w:rFonts w:ascii="Trebuchet MS" w:hAnsi="Trebuchet MS"/>
                <w:color w:val="A5A5A5"/>
                <w:sz w:val="28"/>
              </w:rPr>
              <w:t>Wyzwania horyzontalne</w:t>
            </w:r>
            <w:bookmarkEnd w:id="36"/>
            <w:bookmarkEnd w:id="37"/>
          </w:p>
          <w:p w14:paraId="4C7B0DB4" w14:textId="77777777" w:rsidR="00927281" w:rsidRPr="00D80606" w:rsidRDefault="00927281" w:rsidP="00277B6A">
            <w:pPr>
              <w:widowControl w:val="0"/>
              <w:spacing w:after="120" w:line="290" w:lineRule="atLeast"/>
              <w:ind w:left="0" w:right="0"/>
              <w:jc w:val="left"/>
              <w:outlineLvl w:val="1"/>
              <w:rPr>
                <w:rFonts w:ascii="Trebuchet MS" w:eastAsia="Calibri" w:hAnsi="Trebuchet MS"/>
                <w:b/>
                <w:iCs/>
                <w:color w:val="808080"/>
                <w:sz w:val="26"/>
                <w:szCs w:val="26"/>
              </w:rPr>
            </w:pPr>
            <w:bookmarkStart w:id="38" w:name="_Toc61245857"/>
            <w:bookmarkStart w:id="39" w:name="_Toc61246196"/>
            <w:bookmarkStart w:id="40" w:name="_Toc63770027"/>
            <w:bookmarkStart w:id="41" w:name="_Toc64026042"/>
            <w:bookmarkStart w:id="42" w:name="_Toc71036590"/>
            <w:r w:rsidRPr="00D80606">
              <w:rPr>
                <w:rFonts w:ascii="Trebuchet MS" w:hAnsi="Trebuchet MS"/>
                <w:b/>
                <w:color w:val="808080"/>
                <w:sz w:val="26"/>
                <w:szCs w:val="26"/>
              </w:rPr>
              <w:t>Zmiany demograficzne i równość szans</w:t>
            </w:r>
            <w:bookmarkEnd w:id="38"/>
            <w:bookmarkEnd w:id="39"/>
            <w:bookmarkEnd w:id="40"/>
            <w:bookmarkEnd w:id="41"/>
            <w:bookmarkEnd w:id="42"/>
          </w:p>
          <w:p w14:paraId="27C98530" w14:textId="6315CFB8" w:rsidR="00927281" w:rsidRPr="00D80606" w:rsidRDefault="00F205B4" w:rsidP="00D80606">
            <w:pPr>
              <w:widowControl w:val="0"/>
              <w:spacing w:before="0" w:after="160"/>
              <w:ind w:left="0" w:right="0"/>
              <w:jc w:val="left"/>
              <w:rPr>
                <w:rFonts w:ascii="Trebuchet MS" w:eastAsia="Calibri" w:hAnsi="Trebuchet MS"/>
                <w:sz w:val="24"/>
                <w:szCs w:val="24"/>
              </w:rPr>
            </w:pPr>
            <w:bookmarkStart w:id="43" w:name="_Hlk52287401"/>
            <w:r w:rsidRPr="00D80606">
              <w:rPr>
                <w:rFonts w:ascii="Trebuchet MS" w:hAnsi="Trebuchet MS"/>
                <w:sz w:val="24"/>
                <w:szCs w:val="24"/>
              </w:rPr>
              <w:t xml:space="preserve">Duże różnice w dobrobycie i związane z tym faktem prognozy w Europie Środkowej są zjawiskiem wielowymiarowym. Rozbieżności regionalne dotyczą poziomu dochodów, szans zatrudnienia, potencjału innowacyjnego, łączności, dostępności, możliwości zatrudnienia lub jakości życia. Bezpośrednią konsekwencją są różnice w </w:t>
            </w:r>
            <w:r w:rsidRPr="00D80606">
              <w:rPr>
                <w:rFonts w:ascii="Trebuchet MS" w:hAnsi="Trebuchet MS"/>
                <w:b/>
                <w:sz w:val="24"/>
                <w:szCs w:val="24"/>
              </w:rPr>
              <w:t>trendach demograficznych</w:t>
            </w:r>
            <w:r w:rsidRPr="00D80606">
              <w:rPr>
                <w:rFonts w:ascii="Trebuchet MS" w:hAnsi="Trebuchet MS"/>
                <w:sz w:val="24"/>
                <w:szCs w:val="24"/>
              </w:rPr>
              <w:t>, spowodowane migracjami i zmianami przyrostu naturalnego populacji (ESPON, 2018). W Europie Środkowej wskaźniki migracji netto są bardzo zróżnicowane, niektóre regiony cierpią z powodu dużych przepływów emigracyjnych, podczas gdy inne stoją w obliczu wyzwań spowodowanych napływem imigrantów.</w:t>
            </w:r>
          </w:p>
          <w:p w14:paraId="79075142" w14:textId="75114C5E" w:rsidR="00927281" w:rsidRDefault="00F205B4" w:rsidP="00D80606">
            <w:pPr>
              <w:widowControl w:val="0"/>
              <w:spacing w:before="0" w:after="160"/>
              <w:ind w:left="0" w:right="0"/>
              <w:jc w:val="left"/>
              <w:rPr>
                <w:rFonts w:ascii="Trebuchet MS" w:eastAsia="Calibri" w:hAnsi="Trebuchet MS"/>
                <w:szCs w:val="22"/>
              </w:rPr>
            </w:pPr>
            <w:r w:rsidRPr="00D80606">
              <w:rPr>
                <w:rFonts w:ascii="Trebuchet MS" w:hAnsi="Trebuchet MS"/>
                <w:sz w:val="24"/>
                <w:szCs w:val="24"/>
              </w:rPr>
              <w:t xml:space="preserve">Ten </w:t>
            </w:r>
            <w:r w:rsidRPr="00D80606">
              <w:rPr>
                <w:rFonts w:ascii="Trebuchet MS" w:hAnsi="Trebuchet MS"/>
                <w:b/>
                <w:sz w:val="24"/>
                <w:szCs w:val="24"/>
              </w:rPr>
              <w:t>wzór migracji</w:t>
            </w:r>
            <w:r w:rsidRPr="00D80606">
              <w:rPr>
                <w:rFonts w:ascii="Trebuchet MS" w:hAnsi="Trebuchet MS"/>
                <w:sz w:val="24"/>
                <w:szCs w:val="24"/>
              </w:rPr>
              <w:t xml:space="preserve"> ma trajektorię wschód-zachód, z dużymi wskaźnikami </w:t>
            </w:r>
            <w:r w:rsidRPr="00D80606">
              <w:rPr>
                <w:rFonts w:ascii="Trebuchet MS" w:hAnsi="Trebuchet MS"/>
                <w:b/>
                <w:sz w:val="24"/>
                <w:szCs w:val="24"/>
              </w:rPr>
              <w:t>emigracji</w:t>
            </w:r>
            <w:r w:rsidRPr="00D80606">
              <w:rPr>
                <w:rFonts w:ascii="Trebuchet MS" w:hAnsi="Trebuchet MS"/>
                <w:sz w:val="24"/>
                <w:szCs w:val="24"/>
              </w:rPr>
              <w:t xml:space="preserve"> netto w Chorwacji, wschodnich Węgrzech i wschodniej Polsce. Silną imigrację odnotowuje się z kolei w Berlinie, Bratysławie i Wiedniu, wokół Budapesztu i w większości południowych Niemiec. Ponadto, w Europie Środkowej występuje silny trend urbanizacji i suburbanizacji, tj. ludzie opuszczają peryferyjne regiony wiejskie i przenoszą się do większych miast lub w ich pobliże (Rysunek 7).</w:t>
            </w:r>
          </w:p>
          <w:p w14:paraId="28C5547A" w14:textId="77777777" w:rsidR="00927281" w:rsidRPr="00680741" w:rsidRDefault="00927281" w:rsidP="00C023D4">
            <w:pPr>
              <w:widowControl w:val="0"/>
              <w:spacing w:before="0" w:line="240" w:lineRule="auto"/>
              <w:ind w:left="0" w:right="0"/>
              <w:jc w:val="left"/>
              <w:rPr>
                <w:rFonts w:ascii="Calibri" w:eastAsia="Calibri" w:hAnsi="Calibri"/>
                <w:sz w:val="22"/>
                <w:szCs w:val="22"/>
              </w:rPr>
            </w:pPr>
          </w:p>
          <w:p w14:paraId="35469DC5" w14:textId="3241E863" w:rsidR="00927281" w:rsidRPr="00927281" w:rsidRDefault="00927281" w:rsidP="00C023D4">
            <w:pPr>
              <w:widowControl w:val="0"/>
              <w:pBdr>
                <w:top w:val="single" w:sz="4" w:space="5" w:color="9E9FA3"/>
              </w:pBdr>
              <w:spacing w:before="0" w:after="120" w:line="290" w:lineRule="exact"/>
              <w:ind w:left="0" w:right="0"/>
              <w:contextualSpacing/>
              <w:jc w:val="left"/>
              <w:rPr>
                <w:rFonts w:ascii="Trebuchet MS" w:eastAsia="SimSun" w:hAnsi="Trebuchet MS" w:cs="Arial"/>
                <w:b/>
                <w:sz w:val="18"/>
                <w:szCs w:val="24"/>
              </w:rPr>
            </w:pPr>
            <w:bookmarkStart w:id="44" w:name="_Ref19961063"/>
            <w:bookmarkStart w:id="45" w:name="_Toc23248842"/>
            <w:r>
              <w:rPr>
                <w:rFonts w:ascii="Trebuchet MS" w:hAnsi="Trebuchet MS"/>
                <w:b/>
                <w:sz w:val="18"/>
              </w:rPr>
              <w:t xml:space="preserve">Rysunek </w:t>
            </w:r>
            <w:r w:rsidRPr="00927281">
              <w:rPr>
                <w:rFonts w:ascii="Trebuchet MS" w:eastAsia="SimSun" w:hAnsi="Trebuchet MS" w:cs="Arial"/>
                <w:b/>
                <w:sz w:val="18"/>
              </w:rPr>
              <w:fldChar w:fldCharType="begin"/>
            </w:r>
            <w:r w:rsidRPr="00927281">
              <w:rPr>
                <w:rFonts w:ascii="Trebuchet MS" w:eastAsia="SimSun" w:hAnsi="Trebuchet MS" w:cs="Arial"/>
                <w:b/>
                <w:sz w:val="18"/>
              </w:rPr>
              <w:instrText xml:space="preserve"> SEQ Figure \* ARABIC </w:instrText>
            </w:r>
            <w:r w:rsidRPr="00927281">
              <w:rPr>
                <w:rFonts w:ascii="Trebuchet MS" w:eastAsia="SimSun" w:hAnsi="Trebuchet MS" w:cs="Arial"/>
                <w:b/>
                <w:sz w:val="18"/>
              </w:rPr>
              <w:fldChar w:fldCharType="separate"/>
            </w:r>
            <w:r w:rsidR="00680741">
              <w:rPr>
                <w:rFonts w:ascii="Trebuchet MS" w:eastAsia="SimSun" w:hAnsi="Trebuchet MS" w:cs="Arial"/>
                <w:b/>
                <w:noProof/>
                <w:sz w:val="18"/>
              </w:rPr>
              <w:t>7</w:t>
            </w:r>
            <w:r w:rsidRPr="00927281">
              <w:rPr>
                <w:rFonts w:ascii="Trebuchet MS" w:eastAsia="SimSun" w:hAnsi="Trebuchet MS" w:cs="Arial"/>
                <w:b/>
                <w:sz w:val="18"/>
              </w:rPr>
              <w:fldChar w:fldCharType="end"/>
            </w:r>
            <w:bookmarkEnd w:id="44"/>
            <w:r>
              <w:rPr>
                <w:rFonts w:ascii="Trebuchet MS" w:hAnsi="Trebuchet MS"/>
                <w:b/>
                <w:sz w:val="18"/>
              </w:rPr>
              <w:t xml:space="preserve">: Średnioroczny wskaźnik migracji netto (lewy wykres) oraz średnioroczny wskaźnik naturalnych zmian w ludności </w:t>
            </w:r>
            <w:r>
              <w:rPr>
                <w:rFonts w:ascii="Arial" w:hAnsi="Arial"/>
                <w:b/>
                <w:sz w:val="18"/>
              </w:rPr>
              <w:t xml:space="preserve"> </w:t>
            </w:r>
            <w:r>
              <w:rPr>
                <w:rFonts w:ascii="Trebuchet MS" w:hAnsi="Trebuchet MS"/>
                <w:b/>
                <w:sz w:val="18"/>
              </w:rPr>
              <w:t>(prawy wykres) 2016 - 2019 w % średniej liczby ludności ogółem 2016 - 201</w:t>
            </w:r>
            <w:bookmarkEnd w:id="45"/>
            <w:r>
              <w:rPr>
                <w:rFonts w:ascii="Trebuchet MS" w:hAnsi="Trebuchet MS"/>
                <w:b/>
                <w:sz w:val="18"/>
              </w:rPr>
              <w:t>9</w:t>
            </w:r>
          </w:p>
          <w:p w14:paraId="711F530C" w14:textId="77777777" w:rsidR="00927281" w:rsidRPr="00927281" w:rsidRDefault="00927281" w:rsidP="00C023D4">
            <w:pPr>
              <w:widowControl w:val="0"/>
              <w:spacing w:before="0" w:after="160" w:line="259" w:lineRule="auto"/>
              <w:ind w:left="0" w:right="0"/>
              <w:jc w:val="center"/>
              <w:rPr>
                <w:rFonts w:ascii="Calibri" w:eastAsia="Calibri" w:hAnsi="Calibri"/>
                <w:sz w:val="22"/>
                <w:szCs w:val="22"/>
              </w:rPr>
            </w:pPr>
            <w:r>
              <w:rPr>
                <w:rFonts w:ascii="Calibri" w:hAnsi="Calibri"/>
                <w:noProof/>
                <w:sz w:val="22"/>
                <w:lang w:eastAsia="pl-PL"/>
              </w:rPr>
              <w:drawing>
                <wp:inline distT="0" distB="0" distL="0" distR="0" wp14:anchorId="60D08AAC" wp14:editId="0DA78C3F">
                  <wp:extent cx="2700000" cy="3818036"/>
                  <wp:effectExtent l="0" t="0" r="5715" b="0"/>
                  <wp:docPr id="14" name="Picture 14" descr="Mapa prezentuje dane Eurostatu dotyczące średniorocznego wskaźnika migracji netto w państwach i regionach państw uczestniczących w programie Interreg Europa Środkowa. Dane pochodzą z lat 2016-2019 i odnoszą się do średniej liczby ludności ogółem. " title="Mapa prezentująca średnioroczny wskaźnik migracji n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000" cy="3818036"/>
                          </a:xfrm>
                          <a:prstGeom prst="rect">
                            <a:avLst/>
                          </a:prstGeom>
                        </pic:spPr>
                      </pic:pic>
                    </a:graphicData>
                  </a:graphic>
                </wp:inline>
              </w:drawing>
            </w:r>
            <w:r>
              <w:rPr>
                <w:rFonts w:ascii="Calibri" w:hAnsi="Calibri"/>
                <w:noProof/>
                <w:sz w:val="22"/>
                <w:lang w:eastAsia="pl-PL"/>
              </w:rPr>
              <w:drawing>
                <wp:inline distT="0" distB="0" distL="0" distR="0" wp14:anchorId="2590A408" wp14:editId="794D2B0E">
                  <wp:extent cx="2700000" cy="3818036"/>
                  <wp:effectExtent l="0" t="0" r="5715" b="0"/>
                  <wp:docPr id="15" name="Picture 15" descr="Mapa prezentuje dane Eurostatu dotyczące średniorocznego wskaźnika naturalnych zmian w ludności w państwach i regionach państw uczestniczących w programie Interreg Europa Środkowa. Dane pochodzą z lat 2016-2019 i odnoszą się do średniej liczby ludności ogółem. " title="Mapa prezentująca średnioroczny wskaźnik naturalnych zmian w lud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0000" cy="3818036"/>
                          </a:xfrm>
                          <a:prstGeom prst="rect">
                            <a:avLst/>
                          </a:prstGeom>
                        </pic:spPr>
                      </pic:pic>
                    </a:graphicData>
                  </a:graphic>
                </wp:inline>
              </w:drawing>
            </w:r>
          </w:p>
          <w:p w14:paraId="59C1F44F" w14:textId="77777777" w:rsidR="00927281" w:rsidRPr="00927281" w:rsidRDefault="00927281" w:rsidP="00C023D4">
            <w:pPr>
              <w:widowControl w:val="0"/>
              <w:pBdr>
                <w:bottom w:val="single" w:sz="4" w:space="5" w:color="9E9FA3"/>
              </w:pBdr>
              <w:spacing w:before="0" w:after="290" w:line="220" w:lineRule="exact"/>
              <w:ind w:left="0" w:right="0"/>
              <w:contextualSpacing/>
              <w:jc w:val="left"/>
              <w:rPr>
                <w:rFonts w:ascii="Trebuchet MS" w:eastAsia="SimSun" w:hAnsi="Trebuchet MS" w:cs="Arial"/>
                <w:sz w:val="16"/>
                <w:szCs w:val="24"/>
              </w:rPr>
            </w:pPr>
            <w:r>
              <w:rPr>
                <w:rFonts w:ascii="Trebuchet MS" w:hAnsi="Trebuchet MS"/>
                <w:sz w:val="16"/>
              </w:rPr>
              <w:lastRenderedPageBreak/>
              <w:t>Źródło: Eurostat, Mapy: wiiw</w:t>
            </w:r>
          </w:p>
          <w:p w14:paraId="47BE22CA" w14:textId="77777777" w:rsidR="005924F3" w:rsidRPr="00680741" w:rsidRDefault="005924F3" w:rsidP="00C023D4">
            <w:pPr>
              <w:widowControl w:val="0"/>
              <w:spacing w:before="0" w:after="160" w:line="259" w:lineRule="auto"/>
              <w:ind w:left="0" w:right="0"/>
              <w:rPr>
                <w:rFonts w:ascii="Trebuchet MS" w:eastAsia="Calibri" w:hAnsi="Trebuchet MS"/>
                <w:szCs w:val="22"/>
              </w:rPr>
            </w:pPr>
          </w:p>
          <w:p w14:paraId="00C66BC5" w14:textId="54B878BE"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Jednocześnie </w:t>
            </w:r>
            <w:r w:rsidRPr="00D80606">
              <w:rPr>
                <w:rFonts w:ascii="Trebuchet MS" w:hAnsi="Trebuchet MS"/>
                <w:b/>
                <w:sz w:val="24"/>
                <w:szCs w:val="24"/>
              </w:rPr>
              <w:t>przyrost naturalny</w:t>
            </w:r>
            <w:r w:rsidRPr="00D80606">
              <w:rPr>
                <w:rFonts w:ascii="Trebuchet MS" w:hAnsi="Trebuchet MS"/>
                <w:sz w:val="24"/>
                <w:szCs w:val="24"/>
              </w:rPr>
              <w:t>, tj. różnica między liczbą urodzeń żywych a liczbą zgonów, jest w Europie Środkowej w większości ujemny. W ponad 75% regionów poziom przyrostu naturalnego spada, szczególnie we wschodnich Niemczech, południowych Węgrzech, północno-zachodnich Włoszech i Chorwacji.</w:t>
            </w:r>
          </w:p>
          <w:p w14:paraId="57211BB6" w14:textId="3A052578"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Połączenie spadku liczby ludności i migracji z zewnątrz stanowi szczególne wyzwanie dla </w:t>
            </w:r>
            <w:r w:rsidRPr="00D80606">
              <w:rPr>
                <w:rFonts w:ascii="Trebuchet MS" w:hAnsi="Trebuchet MS"/>
                <w:b/>
                <w:sz w:val="24"/>
                <w:szCs w:val="24"/>
              </w:rPr>
              <w:t>regionów wiejskich</w:t>
            </w:r>
            <w:r w:rsidRPr="00D80606">
              <w:rPr>
                <w:rFonts w:ascii="Trebuchet MS" w:hAnsi="Trebuchet MS"/>
                <w:sz w:val="24"/>
                <w:szCs w:val="24"/>
              </w:rPr>
              <w:t xml:space="preserve">. Często wyjeżdżają młodzi, dobrze wykształceni ludzie, co zmniejsza bazę produkcyjną i potencjalne źródło rozwoju gospodarczego tych regionów. Prowadzi to również do ich </w:t>
            </w:r>
            <w:r w:rsidRPr="00D80606">
              <w:rPr>
                <w:rFonts w:ascii="Trebuchet MS" w:hAnsi="Trebuchet MS"/>
                <w:b/>
                <w:sz w:val="24"/>
                <w:szCs w:val="24"/>
              </w:rPr>
              <w:t>kurczenia się i starzenia</w:t>
            </w:r>
            <w:r w:rsidRPr="00D80606">
              <w:rPr>
                <w:rFonts w:ascii="Trebuchet MS" w:hAnsi="Trebuchet MS"/>
                <w:sz w:val="24"/>
                <w:szCs w:val="24"/>
              </w:rPr>
              <w:t xml:space="preserve">, ponieważ zmniejsza się liczba ludności, a wzrasta średnia wieku. Stwarza to </w:t>
            </w:r>
            <w:r w:rsidRPr="00D80606">
              <w:rPr>
                <w:rFonts w:ascii="Trebuchet MS" w:hAnsi="Trebuchet MS"/>
                <w:b/>
                <w:sz w:val="24"/>
                <w:szCs w:val="24"/>
              </w:rPr>
              <w:t>wyzwania społeczne</w:t>
            </w:r>
            <w:r w:rsidRPr="00D80606">
              <w:rPr>
                <w:rFonts w:ascii="Trebuchet MS" w:hAnsi="Trebuchet MS"/>
                <w:sz w:val="24"/>
                <w:szCs w:val="24"/>
              </w:rPr>
              <w:t xml:space="preserve"> w postaci </w:t>
            </w:r>
            <w:r w:rsidRPr="00D80606">
              <w:rPr>
                <w:rFonts w:ascii="Trebuchet MS" w:hAnsi="Trebuchet MS"/>
                <w:b/>
                <w:sz w:val="24"/>
                <w:szCs w:val="24"/>
              </w:rPr>
              <w:t>nierównych szans</w:t>
            </w:r>
            <w:r w:rsidRPr="00D80606">
              <w:rPr>
                <w:rFonts w:ascii="Trebuchet MS" w:hAnsi="Trebuchet MS"/>
                <w:sz w:val="24"/>
                <w:szCs w:val="24"/>
              </w:rPr>
              <w:t xml:space="preserve"> w zależności od regionu, w którym dana osoba mieszka. W wielu przypadkach bezrobocie, ubóstwo i niedostatek materialny uruchamiają błędne koło i zmniejszają możliwości uczestnictwa w życiu społecznym. </w:t>
            </w:r>
          </w:p>
          <w:p w14:paraId="2C310955" w14:textId="7B1A9EB4"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Jest to szczególny problem w mniej zamożnych regionach obszaru objętego programem, w których występuje długotrwałe </w:t>
            </w:r>
            <w:r w:rsidRPr="00D80606">
              <w:rPr>
                <w:rFonts w:ascii="Trebuchet MS" w:hAnsi="Trebuchet MS"/>
                <w:b/>
                <w:sz w:val="24"/>
                <w:szCs w:val="24"/>
              </w:rPr>
              <w:t>bezrobocie</w:t>
            </w:r>
            <w:r w:rsidRPr="00D80606">
              <w:rPr>
                <w:rFonts w:ascii="Trebuchet MS" w:hAnsi="Trebuchet MS"/>
                <w:sz w:val="24"/>
                <w:szCs w:val="24"/>
              </w:rPr>
              <w:t xml:space="preserve">, w tym we wschodnich Niemczech i peryferyjnych regionach Polski, na Słowacji lub w Chorwacji. Bezrobocie wśród młodzieży i niedobrowolne zatrudnienie w niepełnym wymiarze godzin z powodu braku odpowiednich miejsc pracy w pełnym wymiarze godzin również stanowią wyzwanie dla niektórych regionów Europy Środkowej (wiiw, 2020). Na przykład na Słowacji i Węgrzech dotyczy to w szczególności kobiet, gdzie rodzicielstwo ma znaczący negatywny wpływ na </w:t>
            </w:r>
            <w:r w:rsidR="00D558C5" w:rsidRPr="00D80606">
              <w:rPr>
                <w:rFonts w:ascii="Trebuchet MS" w:hAnsi="Trebuchet MS"/>
                <w:sz w:val="24"/>
                <w:szCs w:val="24"/>
              </w:rPr>
              <w:t xml:space="preserve">ich </w:t>
            </w:r>
            <w:r w:rsidRPr="00D80606">
              <w:rPr>
                <w:rFonts w:ascii="Trebuchet MS" w:hAnsi="Trebuchet MS"/>
                <w:sz w:val="24"/>
                <w:szCs w:val="24"/>
              </w:rPr>
              <w:t xml:space="preserve">zatrudnienie, co wskazuje na trudności w </w:t>
            </w:r>
            <w:r w:rsidRPr="00D80606">
              <w:rPr>
                <w:rFonts w:ascii="Trebuchet MS" w:hAnsi="Trebuchet MS"/>
                <w:b/>
                <w:sz w:val="24"/>
                <w:szCs w:val="24"/>
              </w:rPr>
              <w:t>integracji kobiet na rynku pracy</w:t>
            </w:r>
            <w:r w:rsidRPr="00D80606">
              <w:rPr>
                <w:rFonts w:ascii="Trebuchet MS" w:hAnsi="Trebuchet MS"/>
                <w:sz w:val="24"/>
                <w:szCs w:val="24"/>
              </w:rPr>
              <w:t>.</w:t>
            </w:r>
          </w:p>
          <w:p w14:paraId="5CFF71F6" w14:textId="513362B4" w:rsidR="00927281" w:rsidRPr="00D80606" w:rsidRDefault="00FA037F"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Różnice w możliwościach zatrudnienia i szkolenia często przekładają się na dalsze wyzwania społeczne, takie jak </w:t>
            </w:r>
            <w:r w:rsidRPr="00D80606">
              <w:rPr>
                <w:rFonts w:ascii="Trebuchet MS" w:hAnsi="Trebuchet MS"/>
                <w:b/>
                <w:sz w:val="24"/>
                <w:szCs w:val="24"/>
              </w:rPr>
              <w:t>wykluczenie społeczne</w:t>
            </w:r>
            <w:r w:rsidRPr="00D80606">
              <w:rPr>
                <w:rFonts w:ascii="Trebuchet MS" w:hAnsi="Trebuchet MS"/>
                <w:sz w:val="24"/>
                <w:szCs w:val="24"/>
              </w:rPr>
              <w:t xml:space="preserve"> i nierówny dostęp do </w:t>
            </w:r>
            <w:r w:rsidRPr="00D80606">
              <w:rPr>
                <w:rFonts w:ascii="Trebuchet MS" w:hAnsi="Trebuchet MS"/>
                <w:b/>
                <w:sz w:val="24"/>
                <w:szCs w:val="24"/>
              </w:rPr>
              <w:t>usług</w:t>
            </w:r>
            <w:r w:rsidRPr="00D80606">
              <w:rPr>
                <w:rFonts w:ascii="Trebuchet MS" w:hAnsi="Trebuchet MS"/>
                <w:sz w:val="24"/>
                <w:szCs w:val="24"/>
              </w:rPr>
              <w:t xml:space="preserve"> publicznych świadczonych w </w:t>
            </w:r>
            <w:r w:rsidRPr="00D80606">
              <w:rPr>
                <w:rFonts w:ascii="Trebuchet MS" w:hAnsi="Trebuchet MS"/>
                <w:b/>
                <w:sz w:val="24"/>
                <w:szCs w:val="24"/>
              </w:rPr>
              <w:t>interesie ogólnym</w:t>
            </w:r>
            <w:r w:rsidRPr="00D80606">
              <w:rPr>
                <w:rFonts w:ascii="Trebuchet MS" w:hAnsi="Trebuchet MS"/>
                <w:sz w:val="24"/>
                <w:szCs w:val="24"/>
              </w:rPr>
              <w:t xml:space="preserve"> (np. usług opieki zdrowotnej). Zagrożenie ubóstwem i wykluczeniem społecznym pozostaje istotnym problemem w większości krajów objętych programem, zwłaszcza w regionach wiejskich Chorwacji, Węgier, Polski i Słowacji</w:t>
            </w:r>
            <w:bookmarkStart w:id="46" w:name="_Ref20755055"/>
            <w:r w:rsidRPr="00D80606">
              <w:rPr>
                <w:rFonts w:ascii="Trebuchet MS" w:hAnsi="Trebuchet MS"/>
                <w:sz w:val="24"/>
                <w:szCs w:val="24"/>
              </w:rPr>
              <w:t>.</w:t>
            </w:r>
            <w:r w:rsidRPr="00D80606">
              <w:rPr>
                <w:sz w:val="24"/>
                <w:szCs w:val="24"/>
              </w:rPr>
              <w:t xml:space="preserve"> </w:t>
            </w:r>
            <w:r w:rsidRPr="00D80606">
              <w:rPr>
                <w:rFonts w:ascii="Trebuchet MS" w:hAnsi="Trebuchet MS"/>
                <w:sz w:val="24"/>
                <w:szCs w:val="24"/>
              </w:rPr>
              <w:t xml:space="preserve">Jednak również obszary o porównywalnie wysokich dochodach, takie jak Wiedeń i Berlin, mają wysoki udział ludności o dochodach poniżej austriackiej lub niemieckiej mediany dochodów (Rysunek 8). </w:t>
            </w:r>
            <w:r w:rsidR="00507AB9">
              <w:rPr>
                <w:rFonts w:ascii="Trebuchet MS" w:hAnsi="Trebuchet MS"/>
                <w:sz w:val="24"/>
                <w:szCs w:val="24"/>
              </w:rPr>
              <w:t>T</w:t>
            </w:r>
            <w:r w:rsidRPr="00D80606">
              <w:rPr>
                <w:rFonts w:ascii="Trebuchet MS" w:hAnsi="Trebuchet MS"/>
                <w:sz w:val="24"/>
                <w:szCs w:val="24"/>
              </w:rPr>
              <w:t xml:space="preserve">emu zjawisku </w:t>
            </w:r>
            <w:bookmarkEnd w:id="46"/>
            <w:r w:rsidR="00507AB9">
              <w:rPr>
                <w:rFonts w:ascii="Trebuchet MS" w:hAnsi="Trebuchet MS"/>
                <w:sz w:val="24"/>
                <w:szCs w:val="24"/>
              </w:rPr>
              <w:t>t</w:t>
            </w:r>
            <w:r w:rsidR="00507AB9" w:rsidRPr="00D80606">
              <w:rPr>
                <w:rFonts w:ascii="Trebuchet MS" w:hAnsi="Trebuchet MS"/>
                <w:sz w:val="24"/>
                <w:szCs w:val="24"/>
              </w:rPr>
              <w:t xml:space="preserve">owarzyszą </w:t>
            </w:r>
            <w:r w:rsidRPr="00D80606">
              <w:rPr>
                <w:rFonts w:ascii="Trebuchet MS" w:hAnsi="Trebuchet MS"/>
                <w:sz w:val="24"/>
                <w:szCs w:val="24"/>
              </w:rPr>
              <w:t>wysokie wskaźniki młodych osób pozostających bez zatrudnienia, edukacji i szkoleń w regionalnych klastrach we Włoszech, Chorwacji, na Węgrzech, w Czechach i w Polsce.</w:t>
            </w:r>
          </w:p>
          <w:p w14:paraId="7C2D82B5" w14:textId="77777777" w:rsidR="00F0610A" w:rsidRPr="00680741" w:rsidRDefault="00F0610A" w:rsidP="00C023D4">
            <w:pPr>
              <w:widowControl w:val="0"/>
              <w:spacing w:before="0" w:after="160" w:line="259" w:lineRule="auto"/>
              <w:ind w:left="0" w:right="0"/>
              <w:rPr>
                <w:rFonts w:ascii="Trebuchet MS" w:eastAsia="Calibri" w:hAnsi="Trebuchet MS"/>
                <w:szCs w:val="22"/>
              </w:rPr>
            </w:pPr>
          </w:p>
          <w:p w14:paraId="4EC3DF2E" w14:textId="7BB1F8E3" w:rsidR="00927281" w:rsidRPr="00927281" w:rsidRDefault="00927281" w:rsidP="00C023D4">
            <w:pPr>
              <w:widowControl w:val="0"/>
              <w:pBdr>
                <w:top w:val="single" w:sz="4" w:space="5" w:color="9E9FA3"/>
              </w:pBdr>
              <w:spacing w:before="0" w:after="120" w:line="290" w:lineRule="exact"/>
              <w:ind w:left="0" w:right="0"/>
              <w:contextualSpacing/>
              <w:jc w:val="left"/>
              <w:rPr>
                <w:rFonts w:ascii="Trebuchet MS" w:eastAsia="SimSun" w:hAnsi="Trebuchet MS" w:cs="Arial"/>
                <w:b/>
                <w:sz w:val="18"/>
                <w:szCs w:val="24"/>
              </w:rPr>
            </w:pPr>
            <w:bookmarkStart w:id="47" w:name="_Ref22898713"/>
            <w:bookmarkStart w:id="48" w:name="_Toc23248834"/>
            <w:r>
              <w:rPr>
                <w:rFonts w:ascii="Trebuchet MS" w:hAnsi="Trebuchet MS"/>
                <w:b/>
                <w:sz w:val="18"/>
              </w:rPr>
              <w:t xml:space="preserve">Rysunek </w:t>
            </w:r>
            <w:r w:rsidRPr="00927281">
              <w:rPr>
                <w:rFonts w:ascii="Trebuchet MS" w:eastAsia="SimSun" w:hAnsi="Trebuchet MS" w:cs="Arial"/>
                <w:b/>
                <w:sz w:val="18"/>
              </w:rPr>
              <w:fldChar w:fldCharType="begin"/>
            </w:r>
            <w:r w:rsidRPr="00927281">
              <w:rPr>
                <w:rFonts w:ascii="Trebuchet MS" w:eastAsia="SimSun" w:hAnsi="Trebuchet MS" w:cs="Arial"/>
                <w:b/>
                <w:sz w:val="18"/>
              </w:rPr>
              <w:instrText xml:space="preserve"> SEQ Figure \* ARABIC </w:instrText>
            </w:r>
            <w:r w:rsidRPr="00927281">
              <w:rPr>
                <w:rFonts w:ascii="Trebuchet MS" w:eastAsia="SimSun" w:hAnsi="Trebuchet MS" w:cs="Arial"/>
                <w:b/>
                <w:sz w:val="18"/>
              </w:rPr>
              <w:fldChar w:fldCharType="separate"/>
            </w:r>
            <w:r w:rsidR="00680741">
              <w:rPr>
                <w:rFonts w:ascii="Trebuchet MS" w:eastAsia="SimSun" w:hAnsi="Trebuchet MS" w:cs="Arial"/>
                <w:b/>
                <w:noProof/>
                <w:sz w:val="18"/>
              </w:rPr>
              <w:t>8</w:t>
            </w:r>
            <w:r w:rsidRPr="00927281">
              <w:rPr>
                <w:rFonts w:ascii="Trebuchet MS" w:eastAsia="SimSun" w:hAnsi="Trebuchet MS" w:cs="Arial"/>
                <w:b/>
                <w:sz w:val="18"/>
              </w:rPr>
              <w:fldChar w:fldCharType="end"/>
            </w:r>
            <w:bookmarkEnd w:id="47"/>
            <w:r>
              <w:rPr>
                <w:rFonts w:ascii="Trebuchet MS" w:hAnsi="Trebuchet MS"/>
                <w:b/>
                <w:sz w:val="18"/>
              </w:rPr>
              <w:t>: Zagrożeni ubóstwem lub wykluczeniem społecznym 2018/2019, w % ogółu ludności</w:t>
            </w:r>
            <w:bookmarkEnd w:id="48"/>
          </w:p>
          <w:p w14:paraId="4B55C85E" w14:textId="77777777" w:rsidR="00927281" w:rsidRPr="00927281" w:rsidRDefault="00927281" w:rsidP="00C023D4">
            <w:pPr>
              <w:widowControl w:val="0"/>
              <w:spacing w:before="0" w:after="160" w:line="259" w:lineRule="auto"/>
              <w:ind w:left="0" w:right="0"/>
              <w:jc w:val="center"/>
              <w:rPr>
                <w:rFonts w:ascii="Calibri" w:eastAsia="Calibri" w:hAnsi="Calibri"/>
                <w:sz w:val="22"/>
                <w:szCs w:val="22"/>
              </w:rPr>
            </w:pPr>
            <w:r>
              <w:rPr>
                <w:rFonts w:ascii="Calibri" w:hAnsi="Calibri"/>
                <w:noProof/>
                <w:sz w:val="22"/>
                <w:lang w:eastAsia="pl-PL"/>
              </w:rPr>
              <w:lastRenderedPageBreak/>
              <w:drawing>
                <wp:inline distT="0" distB="0" distL="0" distR="0" wp14:anchorId="24388488" wp14:editId="7768571F">
                  <wp:extent cx="2700000" cy="3818037"/>
                  <wp:effectExtent l="0" t="0" r="5715" b="0"/>
                  <wp:docPr id="88" name="Picture 88" descr="Mapa obrazuje odsetek ludności zagrożonej ubóstwem lub wykluczeniem społecznym w państwach lub regionach państw uczestniczących w programie Interreg Europa Środkowa. Dane Eurostatu przedstawiono w odniesieniu do ogółu ludności. " title="Mapa prezentująca odsetek ludności zagrożonej ubóstwem lub wykluczeniem społeczn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00000" cy="3818037"/>
                          </a:xfrm>
                          <a:prstGeom prst="rect">
                            <a:avLst/>
                          </a:prstGeom>
                        </pic:spPr>
                      </pic:pic>
                    </a:graphicData>
                  </a:graphic>
                </wp:inline>
              </w:drawing>
            </w:r>
          </w:p>
          <w:p w14:paraId="34F4A420" w14:textId="77777777" w:rsidR="00927281" w:rsidRPr="00680741" w:rsidRDefault="00927281" w:rsidP="00C023D4">
            <w:pPr>
              <w:widowControl w:val="0"/>
              <w:pBdr>
                <w:bottom w:val="single" w:sz="4" w:space="5" w:color="9E9FA3"/>
              </w:pBdr>
              <w:spacing w:before="0" w:after="290" w:line="220" w:lineRule="exact"/>
              <w:ind w:left="0" w:right="0"/>
              <w:contextualSpacing/>
              <w:jc w:val="left"/>
              <w:rPr>
                <w:rFonts w:ascii="Trebuchet MS" w:eastAsia="SimSun" w:hAnsi="Trebuchet MS" w:cs="Arial"/>
                <w:sz w:val="16"/>
                <w:szCs w:val="24"/>
                <w:lang w:val="sv-SE"/>
              </w:rPr>
            </w:pPr>
            <w:r w:rsidRPr="00680741">
              <w:rPr>
                <w:rFonts w:ascii="Trebuchet MS" w:hAnsi="Trebuchet MS"/>
                <w:sz w:val="16"/>
                <w:lang w:val="sv-SE"/>
              </w:rPr>
              <w:t>Źródło: Eurostat.</w:t>
            </w:r>
          </w:p>
          <w:p w14:paraId="284941A2" w14:textId="77777777" w:rsidR="00927281" w:rsidRPr="00680741" w:rsidRDefault="00927281" w:rsidP="00C023D4">
            <w:pPr>
              <w:widowControl w:val="0"/>
              <w:pBdr>
                <w:bottom w:val="single" w:sz="4" w:space="5" w:color="9E9FA3"/>
              </w:pBdr>
              <w:spacing w:before="0" w:after="290" w:line="220" w:lineRule="exact"/>
              <w:ind w:left="0" w:right="0"/>
              <w:contextualSpacing/>
              <w:jc w:val="left"/>
              <w:rPr>
                <w:rFonts w:ascii="Trebuchet MS" w:eastAsia="SimSun" w:hAnsi="Trebuchet MS" w:cs="Arial"/>
                <w:sz w:val="16"/>
                <w:szCs w:val="24"/>
                <w:lang w:val="sv-SE"/>
              </w:rPr>
            </w:pPr>
            <w:r w:rsidRPr="00680741">
              <w:rPr>
                <w:rFonts w:ascii="Trebuchet MS" w:hAnsi="Trebuchet MS"/>
                <w:sz w:val="16"/>
                <w:lang w:val="sv-SE"/>
              </w:rPr>
              <w:t xml:space="preserve">Uwaga: AT, DE, SK - 2017. </w:t>
            </w:r>
          </w:p>
          <w:p w14:paraId="59AB9456" w14:textId="77777777" w:rsidR="005924F3" w:rsidRPr="00680741" w:rsidRDefault="005924F3" w:rsidP="00C023D4">
            <w:pPr>
              <w:widowControl w:val="0"/>
              <w:spacing w:before="0" w:after="160" w:line="259" w:lineRule="auto"/>
              <w:ind w:left="0" w:right="0"/>
              <w:rPr>
                <w:rFonts w:ascii="Trebuchet MS" w:eastAsia="Calibri" w:hAnsi="Trebuchet MS"/>
                <w:szCs w:val="22"/>
                <w:lang w:val="sv-SE"/>
              </w:rPr>
            </w:pPr>
          </w:p>
          <w:p w14:paraId="1D67ADCF" w14:textId="6C7A2729"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Wyzwaniem dla </w:t>
            </w:r>
            <w:r w:rsidRPr="00D80606">
              <w:rPr>
                <w:rFonts w:ascii="Trebuchet MS" w:hAnsi="Trebuchet MS"/>
                <w:b/>
                <w:sz w:val="24"/>
                <w:szCs w:val="24"/>
              </w:rPr>
              <w:t>polityki społecznej</w:t>
            </w:r>
            <w:r w:rsidRPr="00D80606">
              <w:rPr>
                <w:rFonts w:ascii="Trebuchet MS" w:hAnsi="Trebuchet MS"/>
                <w:sz w:val="24"/>
                <w:szCs w:val="24"/>
              </w:rPr>
              <w:t xml:space="preserve"> jest nie tylko zajęcie się negatywnymi skutkami niższego poziomu rozwoju gospodarczego, ale także zajęcie się ich przyczynami. Należy dążyć do synergii z innymi obszarami polityki, które wyraźnie wspierają rozwój gospodarczy i terytorialny. Wymaga to na przykład zintegrowanej polityki dotyczącej innowacji społecznych i rozwoju umiejętności (cyfrowych). Takie działania polityczne muszą angażować lokalnych interesariuszy zarówno z sektora prywatnego, jak i publicznego, a także obywateli, aby wspólnie pracować nad zaspokojeniem lokalnych potrzeb, a tym samym wykorzystać lokalną wiedzę. Jest to szczególnie ważne dla regionów wiejskich.</w:t>
            </w:r>
          </w:p>
          <w:p w14:paraId="2D839C64" w14:textId="064DDCF8"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Ponadto polityka musi dodać element terytorialny do europejskiej polityki społecznej poprzez uwzględnienie priorytetu sprawiedliwej Europy, będącego elementem Agendy Terytorialnej 2030. Istnieje potrzeba wzmocnienia lokalnych i regionalnych </w:t>
            </w:r>
            <w:r w:rsidRPr="00D80606">
              <w:rPr>
                <w:rFonts w:ascii="Trebuchet MS" w:hAnsi="Trebuchet MS"/>
                <w:b/>
                <w:sz w:val="24"/>
                <w:szCs w:val="24"/>
              </w:rPr>
              <w:t>struktur</w:t>
            </w:r>
            <w:r w:rsidRPr="00D80606">
              <w:rPr>
                <w:rFonts w:ascii="Trebuchet MS" w:hAnsi="Trebuchet MS"/>
                <w:sz w:val="24"/>
                <w:szCs w:val="24"/>
              </w:rPr>
              <w:t xml:space="preserve"> i procesów </w:t>
            </w:r>
            <w:r w:rsidRPr="00D80606">
              <w:rPr>
                <w:rFonts w:ascii="Trebuchet MS" w:hAnsi="Trebuchet MS"/>
                <w:b/>
                <w:sz w:val="24"/>
                <w:szCs w:val="24"/>
              </w:rPr>
              <w:t>zarządzania</w:t>
            </w:r>
            <w:r w:rsidRPr="00D80606">
              <w:rPr>
                <w:rFonts w:ascii="Trebuchet MS" w:hAnsi="Trebuchet MS"/>
                <w:sz w:val="24"/>
                <w:szCs w:val="24"/>
              </w:rPr>
              <w:t xml:space="preserve"> w celu poprawy warunków pracy i życia. Można wspomóc ten proces poprzez stworzenie policentrycznej sieci obszarów miejskich i wiejskich oraz uwzględnienie obszarów funkcjonalnych (miejskich), zarówno w obrębie państw, jak i ponad granicami państwowymi.</w:t>
            </w:r>
          </w:p>
          <w:p w14:paraId="2D137907" w14:textId="77777777" w:rsidR="00927281" w:rsidRPr="00D80606" w:rsidRDefault="00927281" w:rsidP="00277B6A">
            <w:pPr>
              <w:widowControl w:val="0"/>
              <w:spacing w:after="120" w:line="290" w:lineRule="atLeast"/>
              <w:ind w:left="0" w:right="0"/>
              <w:jc w:val="left"/>
              <w:outlineLvl w:val="1"/>
              <w:rPr>
                <w:rFonts w:ascii="Trebuchet MS" w:eastAsia="Calibri" w:hAnsi="Trebuchet MS"/>
                <w:b/>
                <w:iCs/>
                <w:color w:val="808080"/>
                <w:sz w:val="26"/>
                <w:szCs w:val="26"/>
              </w:rPr>
            </w:pPr>
            <w:bookmarkStart w:id="49" w:name="_Toc61245858"/>
            <w:bookmarkStart w:id="50" w:name="_Toc61246197"/>
            <w:bookmarkStart w:id="51" w:name="_Toc63770028"/>
            <w:bookmarkStart w:id="52" w:name="_Toc64026043"/>
            <w:bookmarkStart w:id="53" w:name="_Toc71036591"/>
            <w:r w:rsidRPr="00D80606">
              <w:rPr>
                <w:rFonts w:ascii="Trebuchet MS" w:hAnsi="Trebuchet MS"/>
                <w:b/>
                <w:color w:val="808080"/>
                <w:sz w:val="26"/>
                <w:szCs w:val="26"/>
              </w:rPr>
              <w:t>Cyfryzacja</w:t>
            </w:r>
            <w:bookmarkEnd w:id="49"/>
            <w:bookmarkEnd w:id="50"/>
            <w:bookmarkEnd w:id="51"/>
            <w:bookmarkEnd w:id="52"/>
            <w:bookmarkEnd w:id="53"/>
          </w:p>
          <w:bookmarkEnd w:id="43"/>
          <w:p w14:paraId="5F16CD12" w14:textId="7FD609E5"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Cyfryzacja jest jedną z największych zmian w globalnym systemie gospodarczym i społecznym od czasów rewolucji przemysłowej. Zmienia ona codzienne życie ludzi, </w:t>
            </w:r>
            <w:r w:rsidRPr="00D80606">
              <w:rPr>
                <w:rFonts w:ascii="Trebuchet MS" w:hAnsi="Trebuchet MS"/>
                <w:sz w:val="24"/>
                <w:szCs w:val="24"/>
              </w:rPr>
              <w:lastRenderedPageBreak/>
              <w:t xml:space="preserve">np. w zakresie zdrowia (e-zdrowie), edukacji (e-learning), kultury (e-rozrywka), rekreacji i sportu (e-sport), komunikacji, mobilności (autonomiczne pojazdy), kontaktów z rządem (e-administracja) oraz zakupów (e-handel). Cyfryzacja ma duży potencjał wzrostu, ale wiąże się również z wyzwaniami, w tym z koniecznością dostosowania strukturalnego zarówno przedsiębiorstw, jak i siły roboczej, opracowania lub przyjęcia nowych technologii w celu utrzymania konkurencyjności oraz wykorzystania potencjału innowacyjnego, aby być w czołówce </w:t>
            </w:r>
            <w:r w:rsidRPr="00D80606">
              <w:rPr>
                <w:rFonts w:ascii="Trebuchet MS" w:hAnsi="Trebuchet MS"/>
                <w:b/>
                <w:sz w:val="24"/>
                <w:szCs w:val="24"/>
              </w:rPr>
              <w:t>transformacji cyfrowej</w:t>
            </w:r>
            <w:r w:rsidRPr="00D80606">
              <w:rPr>
                <w:rFonts w:ascii="Trebuchet MS" w:hAnsi="Trebuchet MS"/>
                <w:sz w:val="24"/>
                <w:szCs w:val="24"/>
              </w:rPr>
              <w:t>.</w:t>
            </w:r>
          </w:p>
          <w:p w14:paraId="08C608FA" w14:textId="219FE5E3" w:rsidR="00927281" w:rsidRPr="00D80606" w:rsidRDefault="00C853AC"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Cyfryzacja sfery biznesowej jest kluczowa dla Europy Środkowej, biorąc pod uwagę silną rolę oraz powiązania oddolne i odgórne w jej przemyśle wytwórczym. Integracja technologii cyfrowych jest koniecznością dla utrzymania lub wzmocnienia ich pozycji na rynkach europejskich i światowych oraz dla zapewnienia miejsc pracy i dochodów. Cyfryzacja jest ważna dla MŚP, zwłaszcza na obszarach wiejskich, aby uzyskać dostęp do nowych rynków oraz rozwijać swoje produkty i wprowadzać je na duże rynki.</w:t>
            </w:r>
          </w:p>
          <w:p w14:paraId="305325B4" w14:textId="20C6DC7B" w:rsidR="00927281" w:rsidRPr="00D80606" w:rsidRDefault="00144838"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Polityki muszą koncentrować się na poprawie obecnie słabo rozwiniętej </w:t>
            </w:r>
            <w:r w:rsidRPr="00D80606">
              <w:rPr>
                <w:rFonts w:ascii="Trebuchet MS" w:hAnsi="Trebuchet MS"/>
                <w:b/>
                <w:sz w:val="24"/>
                <w:szCs w:val="24"/>
              </w:rPr>
              <w:t>cyfryzacji</w:t>
            </w:r>
            <w:r w:rsidRPr="00D80606">
              <w:rPr>
                <w:rFonts w:ascii="Trebuchet MS" w:hAnsi="Trebuchet MS"/>
                <w:sz w:val="24"/>
                <w:szCs w:val="24"/>
              </w:rPr>
              <w:t xml:space="preserve">  </w:t>
            </w:r>
            <w:r w:rsidRPr="00D80606">
              <w:rPr>
                <w:rFonts w:ascii="Trebuchet MS" w:hAnsi="Trebuchet MS"/>
                <w:b/>
                <w:sz w:val="24"/>
                <w:szCs w:val="24"/>
              </w:rPr>
              <w:t xml:space="preserve">przedsiębiorstw </w:t>
            </w:r>
            <w:r w:rsidRPr="00D80606">
              <w:rPr>
                <w:rFonts w:ascii="Trebuchet MS" w:hAnsi="Trebuchet MS"/>
                <w:sz w:val="24"/>
                <w:szCs w:val="24"/>
              </w:rPr>
              <w:t xml:space="preserve">w Europie Środkowej, która z wyjątkiem Austrii i Niemiec jest poniżej średniej UE (wiiw, 2020). Szczególną potrzebę stanowi wsparcie dla MŚP w zakresie wdrażania technologii cyfrowych, ponieważ często ich możliwości finansowe i zasoby wiedzy są ograniczone. Obejmuje to poprawę </w:t>
            </w:r>
            <w:r w:rsidRPr="00D80606">
              <w:rPr>
                <w:rFonts w:ascii="Trebuchet MS" w:hAnsi="Trebuchet MS"/>
                <w:b/>
                <w:sz w:val="24"/>
                <w:szCs w:val="24"/>
              </w:rPr>
              <w:t>umiejętności cyfrowych</w:t>
            </w:r>
            <w:r w:rsidRPr="00D80606">
              <w:rPr>
                <w:rFonts w:ascii="Trebuchet MS" w:hAnsi="Trebuchet MS"/>
                <w:sz w:val="24"/>
                <w:szCs w:val="24"/>
              </w:rPr>
              <w:t xml:space="preserve">, jak również </w:t>
            </w:r>
            <w:r w:rsidRPr="00D80606">
              <w:rPr>
                <w:rFonts w:ascii="Trebuchet MS" w:hAnsi="Trebuchet MS"/>
                <w:b/>
                <w:sz w:val="24"/>
                <w:szCs w:val="24"/>
              </w:rPr>
              <w:t>łączności</w:t>
            </w:r>
            <w:r w:rsidRPr="00D80606">
              <w:rPr>
                <w:rFonts w:ascii="Trebuchet MS" w:hAnsi="Trebuchet MS"/>
                <w:sz w:val="24"/>
                <w:szCs w:val="24"/>
              </w:rPr>
              <w:t xml:space="preserve"> </w:t>
            </w:r>
            <w:r w:rsidRPr="00D80606">
              <w:rPr>
                <w:rFonts w:ascii="Trebuchet MS" w:hAnsi="Trebuchet MS"/>
                <w:b/>
                <w:sz w:val="24"/>
                <w:szCs w:val="24"/>
              </w:rPr>
              <w:t>cyfrowej</w:t>
            </w:r>
            <w:r w:rsidRPr="00D80606">
              <w:rPr>
                <w:rFonts w:ascii="Trebuchet MS" w:hAnsi="Trebuchet MS"/>
                <w:sz w:val="24"/>
                <w:szCs w:val="24"/>
              </w:rPr>
              <w:t>, zwłaszcza na obszarach wiejskich. Chociaż 89% wszystkich gospodarstw domowych na obszarze objętym programem ma dostęp do Internetu, istnieją znaczne różnice pomiędzy poszczególnymi państwami i w ich obrębie. Z wyjątkiem Austrii, Niemiec i Słowenii (oprócz jej obszarów wiejskich), dostępność cyfrowa wszystkich państw objętych programem jest poniżej średniej UE. Różnice między miastem a wsią występują we wszystkich krajach, a szczególnie wyraźne są w Chorwacji, na Węgrzech, w Słowenii i na Słowacji (Rysunek 9).</w:t>
            </w:r>
          </w:p>
          <w:p w14:paraId="08050E2A" w14:textId="77777777" w:rsidR="00305A1F" w:rsidRPr="00680741" w:rsidRDefault="00305A1F" w:rsidP="00C023D4">
            <w:pPr>
              <w:widowControl w:val="0"/>
              <w:spacing w:before="0" w:after="160" w:line="259" w:lineRule="auto"/>
              <w:ind w:left="0" w:right="0"/>
              <w:rPr>
                <w:rFonts w:ascii="Trebuchet MS" w:eastAsia="Calibri" w:hAnsi="Trebuchet MS"/>
                <w:szCs w:val="22"/>
              </w:rPr>
            </w:pPr>
          </w:p>
          <w:p w14:paraId="4F81283A" w14:textId="3E01F0C2" w:rsidR="00927281" w:rsidRPr="00927281" w:rsidRDefault="00927281" w:rsidP="00C023D4">
            <w:pPr>
              <w:widowControl w:val="0"/>
              <w:spacing w:before="0" w:line="240" w:lineRule="auto"/>
              <w:ind w:left="0" w:right="0"/>
              <w:jc w:val="left"/>
              <w:rPr>
                <w:rFonts w:ascii="Trebuchet MS" w:eastAsia="SimSun" w:hAnsi="Trebuchet MS" w:cs="Arial"/>
                <w:b/>
                <w:sz w:val="18"/>
                <w:szCs w:val="24"/>
              </w:rPr>
            </w:pPr>
            <w:r>
              <w:br w:type="page"/>
            </w:r>
            <w:bookmarkStart w:id="54" w:name="_Ref21607681"/>
            <w:bookmarkStart w:id="55" w:name="_Toc20926866"/>
            <w:bookmarkStart w:id="56" w:name="_Toc53475876"/>
            <w:r>
              <w:rPr>
                <w:rFonts w:ascii="Trebuchet MS" w:hAnsi="Trebuchet MS"/>
                <w:b/>
                <w:sz w:val="18"/>
              </w:rPr>
              <w:t xml:space="preserve">Rysunek </w:t>
            </w:r>
            <w:r w:rsidRPr="00927281">
              <w:rPr>
                <w:rFonts w:ascii="Trebuchet MS" w:eastAsia="SimSun" w:hAnsi="Trebuchet MS" w:cs="Arial"/>
                <w:b/>
                <w:sz w:val="18"/>
              </w:rPr>
              <w:fldChar w:fldCharType="begin"/>
            </w:r>
            <w:r w:rsidRPr="00927281">
              <w:rPr>
                <w:rFonts w:ascii="Trebuchet MS" w:eastAsia="SimSun" w:hAnsi="Trebuchet MS" w:cs="Arial"/>
                <w:b/>
                <w:sz w:val="18"/>
              </w:rPr>
              <w:instrText xml:space="preserve"> SEQ Figure \* ARABIC </w:instrText>
            </w:r>
            <w:r w:rsidRPr="00927281">
              <w:rPr>
                <w:rFonts w:ascii="Trebuchet MS" w:eastAsia="SimSun" w:hAnsi="Trebuchet MS" w:cs="Arial"/>
                <w:b/>
                <w:sz w:val="18"/>
              </w:rPr>
              <w:fldChar w:fldCharType="separate"/>
            </w:r>
            <w:r w:rsidR="00680741">
              <w:rPr>
                <w:rFonts w:ascii="Trebuchet MS" w:eastAsia="SimSun" w:hAnsi="Trebuchet MS" w:cs="Arial"/>
                <w:b/>
                <w:noProof/>
                <w:sz w:val="18"/>
              </w:rPr>
              <w:t>9</w:t>
            </w:r>
            <w:r w:rsidRPr="00927281">
              <w:rPr>
                <w:rFonts w:ascii="Trebuchet MS" w:eastAsia="SimSun" w:hAnsi="Trebuchet MS" w:cs="Arial"/>
                <w:b/>
                <w:sz w:val="18"/>
              </w:rPr>
              <w:fldChar w:fldCharType="end"/>
            </w:r>
            <w:bookmarkEnd w:id="54"/>
            <w:r>
              <w:rPr>
                <w:rFonts w:ascii="Trebuchet MS" w:hAnsi="Trebuchet MS"/>
                <w:b/>
                <w:sz w:val="18"/>
              </w:rPr>
              <w:t>: Dostęp do Internetu w gospodarstwach domowych według stopnia urbanizacji, 201</w:t>
            </w:r>
            <w:bookmarkEnd w:id="55"/>
            <w:r>
              <w:rPr>
                <w:rFonts w:ascii="Trebuchet MS" w:hAnsi="Trebuchet MS"/>
                <w:b/>
                <w:sz w:val="18"/>
              </w:rPr>
              <w:t>9</w:t>
            </w:r>
            <w:bookmarkEnd w:id="56"/>
            <w:r>
              <w:rPr>
                <w:rFonts w:ascii="Trebuchet MS" w:hAnsi="Trebuchet MS"/>
                <w:b/>
                <w:sz w:val="18"/>
              </w:rPr>
              <w:t>, w % ogółu gospodarstw domowych</w:t>
            </w:r>
          </w:p>
          <w:p w14:paraId="28F11B9B" w14:textId="77777777" w:rsidR="00927281" w:rsidRPr="00927281" w:rsidRDefault="00927281" w:rsidP="00C023D4">
            <w:pPr>
              <w:widowControl w:val="0"/>
              <w:spacing w:before="0" w:after="160" w:line="259" w:lineRule="auto"/>
              <w:ind w:left="0" w:right="0"/>
              <w:jc w:val="left"/>
              <w:rPr>
                <w:rFonts w:ascii="Trebuchet MS" w:eastAsia="Calibri" w:hAnsi="Trebuchet MS"/>
                <w:sz w:val="22"/>
                <w:szCs w:val="22"/>
              </w:rPr>
            </w:pPr>
            <w:r>
              <w:rPr>
                <w:rFonts w:ascii="Trebuchet MS" w:hAnsi="Trebuchet MS"/>
                <w:noProof/>
                <w:sz w:val="22"/>
                <w:lang w:eastAsia="pl-PL"/>
              </w:rPr>
              <w:lastRenderedPageBreak/>
              <w:drawing>
                <wp:inline distT="0" distB="0" distL="0" distR="0" wp14:anchorId="0942E6A2" wp14:editId="3E226929">
                  <wp:extent cx="5486400" cy="3060000"/>
                  <wp:effectExtent l="0" t="0" r="19050" b="26670"/>
                  <wp:docPr id="33" name="Chart 33" descr="Wykres prezentuje dane Eurostatu z 2019 oku dotyczące dostępu do internetu w gospodarstwach domowych według stopnia urbanizacji. Dane wyrażono jako odpowiedni procent ogółu gospodarstw domowych. Na wykresie uwzględniono państwa uczestniczące w programach Interreg Europa oraz średnią UE. " title="Wykres prezentujący dostęp do internetu w gospodarstawach domowych według stopnia urbanizacji"/>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4BCC2C7" w14:textId="77777777" w:rsidR="00927281" w:rsidRPr="00927281" w:rsidRDefault="00927281" w:rsidP="00C023D4">
            <w:pPr>
              <w:widowControl w:val="0"/>
              <w:pBdr>
                <w:bottom w:val="single" w:sz="4" w:space="5" w:color="9E9FA3"/>
              </w:pBdr>
              <w:spacing w:before="0" w:after="290" w:line="220" w:lineRule="exact"/>
              <w:ind w:left="0" w:right="0"/>
              <w:contextualSpacing/>
              <w:jc w:val="left"/>
              <w:rPr>
                <w:rFonts w:ascii="Trebuchet MS" w:eastAsia="SimSun" w:hAnsi="Trebuchet MS" w:cs="Arial"/>
                <w:sz w:val="16"/>
                <w:szCs w:val="24"/>
              </w:rPr>
            </w:pPr>
            <w:r>
              <w:rPr>
                <w:rFonts w:ascii="Trebuchet MS" w:hAnsi="Trebuchet MS"/>
                <w:sz w:val="16"/>
              </w:rPr>
              <w:t>Źródło: Eurostat; Diagram: wiiw</w:t>
            </w:r>
          </w:p>
          <w:p w14:paraId="26B007E3" w14:textId="77777777" w:rsidR="00BA17DD" w:rsidRPr="00680741" w:rsidRDefault="00BA17DD" w:rsidP="00C023D4">
            <w:pPr>
              <w:widowControl w:val="0"/>
              <w:spacing w:before="0" w:after="160" w:line="259" w:lineRule="auto"/>
              <w:ind w:left="0" w:right="0"/>
              <w:rPr>
                <w:rFonts w:ascii="Trebuchet MS" w:eastAsia="Calibri" w:hAnsi="Trebuchet MS"/>
                <w:szCs w:val="22"/>
              </w:rPr>
            </w:pPr>
          </w:p>
          <w:p w14:paraId="18893259" w14:textId="47476344"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Poza sferą biznesu należy wspierać i rozpowszechniać technologie cyfrowe, aby poprawić jakość życia obywateli. </w:t>
            </w:r>
            <w:r w:rsidRPr="00D80606">
              <w:rPr>
                <w:rFonts w:ascii="Trebuchet MS" w:hAnsi="Trebuchet MS"/>
                <w:b/>
                <w:sz w:val="24"/>
                <w:szCs w:val="24"/>
              </w:rPr>
              <w:t>Cyfrowe usługi publiczne</w:t>
            </w:r>
            <w:r w:rsidRPr="00D80606">
              <w:rPr>
                <w:rFonts w:ascii="Trebuchet MS" w:hAnsi="Trebuchet MS"/>
                <w:sz w:val="24"/>
                <w:szCs w:val="24"/>
              </w:rPr>
              <w:t xml:space="preserve">, w tym e-administracja i e-zdrowie, pozostają nadal słabo rozwinięte w Europie Środkowej. Działania mające na celu poprawę e-administracji i modernizację administracji publicznej mogą koncentrować się na budowaniu zdolności, rozwijaniu transgranicznych cyfrowych usług publicznych lub ułatwianiu interakcji cyfrowych między władzami publicznymi a sektorem prywatnym. </w:t>
            </w:r>
            <w:r w:rsidR="005A41A4" w:rsidRPr="00D80606">
              <w:rPr>
                <w:rFonts w:ascii="Trebuchet MS" w:hAnsi="Trebuchet MS"/>
                <w:sz w:val="24"/>
                <w:szCs w:val="24"/>
              </w:rPr>
              <w:t>Takie usługi mogą przynie</w:t>
            </w:r>
            <w:r w:rsidR="00A7074E" w:rsidRPr="00D80606">
              <w:rPr>
                <w:rFonts w:ascii="Trebuchet MS" w:hAnsi="Trebuchet MS"/>
                <w:sz w:val="24"/>
                <w:szCs w:val="24"/>
              </w:rPr>
              <w:t>ść korzyści osobom z ograniczonym dostępem do stacjo</w:t>
            </w:r>
            <w:r w:rsidR="005A41A4" w:rsidRPr="00D80606">
              <w:rPr>
                <w:rFonts w:ascii="Trebuchet MS" w:hAnsi="Trebuchet MS"/>
                <w:sz w:val="24"/>
                <w:szCs w:val="24"/>
              </w:rPr>
              <w:t>narnych usług publicznych</w:t>
            </w:r>
            <w:r w:rsidRPr="00D80606">
              <w:rPr>
                <w:rFonts w:ascii="Trebuchet MS" w:hAnsi="Trebuchet MS"/>
                <w:sz w:val="24"/>
                <w:szCs w:val="24"/>
              </w:rPr>
              <w:t xml:space="preserve"> oraz zwiększyć ogólną efektywność usług świadczonych przez władze lokalne, regionalne lub krajowe.</w:t>
            </w:r>
          </w:p>
          <w:p w14:paraId="625D42F1" w14:textId="4753B100"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Cyfryzacja może również pomóc miastom Europy Środkowej stać się </w:t>
            </w:r>
            <w:r w:rsidRPr="00D80606">
              <w:rPr>
                <w:rFonts w:ascii="Trebuchet MS" w:hAnsi="Trebuchet MS"/>
                <w:b/>
                <w:sz w:val="24"/>
                <w:szCs w:val="24"/>
              </w:rPr>
              <w:t>miastami inteligentnymi</w:t>
            </w:r>
            <w:r w:rsidRPr="00D80606">
              <w:rPr>
                <w:rFonts w:ascii="Trebuchet MS" w:hAnsi="Trebuchet MS"/>
                <w:sz w:val="24"/>
                <w:szCs w:val="24"/>
              </w:rPr>
              <w:t>, które zarządzają swoimi zasobami, majątkiem i usługami w sposób efektywny i zgodny z potrzebami obywateli. W związku z tym polityka cyfryzacji przyczyni się pośrednio do realizacji innych potrzeb politycznych, takich jak ograniczenie zanieczyszczeń i emisji gazów cieplarnianych poprzez efektywne zarządzanie przepływami transportowymi lub świadczenie elektronicznych usług publicznych, np. w sektorze zdrowia. Inne obszary przynoszące korzyści obywatelom to e-kultura, czyli digitalizacja dziedzictwa kulturowego, oraz sektor mediów i wiadomości.</w:t>
            </w:r>
          </w:p>
          <w:p w14:paraId="2EDE03C0" w14:textId="45F17488"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W kontekście transnarodowym oraz w celu dalszego wzmocnienia funkcjonalności regionów objętych programem należy poprawić </w:t>
            </w:r>
            <w:r w:rsidRPr="00D80606">
              <w:rPr>
                <w:rFonts w:ascii="Trebuchet MS" w:hAnsi="Trebuchet MS"/>
                <w:b/>
                <w:sz w:val="24"/>
                <w:szCs w:val="24"/>
              </w:rPr>
              <w:t xml:space="preserve">transgraniczną łączność cyfrową </w:t>
            </w:r>
            <w:r w:rsidRPr="00D80606">
              <w:rPr>
                <w:rFonts w:ascii="Trebuchet MS" w:hAnsi="Trebuchet MS"/>
                <w:sz w:val="24"/>
                <w:szCs w:val="24"/>
              </w:rPr>
              <w:t xml:space="preserve">w ścisłej koordynacji z odpowiednimi programami, co może obejmować wprowadzenie wspólnych standardów oraz zwiększanie zaufania do </w:t>
            </w:r>
            <w:r w:rsidRPr="00D80606">
              <w:rPr>
                <w:rFonts w:ascii="Trebuchet MS" w:hAnsi="Trebuchet MS"/>
                <w:sz w:val="24"/>
                <w:szCs w:val="24"/>
              </w:rPr>
              <w:lastRenderedPageBreak/>
              <w:t xml:space="preserve">transgranicznych systemów cyfrowych i ich </w:t>
            </w:r>
            <w:r w:rsidRPr="00D80606">
              <w:rPr>
                <w:rFonts w:ascii="Trebuchet MS" w:hAnsi="Trebuchet MS"/>
                <w:b/>
                <w:sz w:val="24"/>
                <w:szCs w:val="24"/>
              </w:rPr>
              <w:t>bezpieczeństwa cyfrowego</w:t>
            </w:r>
            <w:r w:rsidRPr="00D80606">
              <w:rPr>
                <w:rFonts w:ascii="Trebuchet MS" w:hAnsi="Trebuchet MS"/>
                <w:sz w:val="24"/>
                <w:szCs w:val="24"/>
              </w:rPr>
              <w:t xml:space="preserve">. </w:t>
            </w:r>
          </w:p>
          <w:p w14:paraId="16429B51" w14:textId="77777777" w:rsidR="00927281" w:rsidRPr="00D80606" w:rsidRDefault="00927281" w:rsidP="00277B6A">
            <w:pPr>
              <w:widowControl w:val="0"/>
              <w:spacing w:after="120" w:line="290" w:lineRule="atLeast"/>
              <w:ind w:left="0" w:right="0"/>
              <w:jc w:val="left"/>
              <w:outlineLvl w:val="1"/>
              <w:rPr>
                <w:rFonts w:ascii="Trebuchet MS" w:eastAsia="Calibri" w:hAnsi="Trebuchet MS"/>
                <w:b/>
                <w:iCs/>
                <w:color w:val="808080"/>
                <w:sz w:val="26"/>
                <w:szCs w:val="26"/>
              </w:rPr>
            </w:pPr>
            <w:bookmarkStart w:id="57" w:name="_Toc61245859"/>
            <w:bookmarkStart w:id="58" w:name="_Toc61246198"/>
            <w:bookmarkStart w:id="59" w:name="_Toc63770029"/>
            <w:bookmarkStart w:id="60" w:name="_Toc64026044"/>
            <w:bookmarkStart w:id="61" w:name="_Toc71036592"/>
            <w:r w:rsidRPr="00D80606">
              <w:rPr>
                <w:rFonts w:ascii="Trebuchet MS" w:hAnsi="Trebuchet MS"/>
                <w:b/>
                <w:color w:val="808080"/>
                <w:sz w:val="26"/>
                <w:szCs w:val="26"/>
              </w:rPr>
              <w:t>Współpraca i zarządzanie</w:t>
            </w:r>
            <w:bookmarkEnd w:id="57"/>
            <w:bookmarkEnd w:id="58"/>
            <w:bookmarkEnd w:id="59"/>
            <w:bookmarkEnd w:id="60"/>
            <w:bookmarkEnd w:id="61"/>
          </w:p>
          <w:p w14:paraId="144D3F9B" w14:textId="334C00D6"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Państwa i ludność Europy Środkowej łączy </w:t>
            </w:r>
            <w:r w:rsidRPr="00D80606">
              <w:rPr>
                <w:rFonts w:ascii="Trebuchet MS" w:hAnsi="Trebuchet MS"/>
                <w:b/>
                <w:sz w:val="24"/>
                <w:szCs w:val="24"/>
              </w:rPr>
              <w:t>wspólna tożsamość</w:t>
            </w:r>
            <w:r w:rsidRPr="00D80606">
              <w:rPr>
                <w:rFonts w:ascii="Trebuchet MS" w:hAnsi="Trebuchet MS"/>
                <w:sz w:val="24"/>
                <w:szCs w:val="24"/>
              </w:rPr>
              <w:t xml:space="preserve"> oparta na </w:t>
            </w:r>
            <w:r w:rsidRPr="00D80606">
              <w:rPr>
                <w:rFonts w:ascii="Trebuchet MS" w:hAnsi="Trebuchet MS"/>
                <w:b/>
                <w:sz w:val="24"/>
                <w:szCs w:val="24"/>
              </w:rPr>
              <w:t>więzach kulturowych i historycznych</w:t>
            </w:r>
            <w:r w:rsidRPr="00D80606">
              <w:rPr>
                <w:rFonts w:ascii="Trebuchet MS" w:hAnsi="Trebuchet MS"/>
                <w:sz w:val="24"/>
                <w:szCs w:val="24"/>
              </w:rPr>
              <w:t xml:space="preserve"> (wiiw, 2020). Niektóre z tych więzi ciągną się przez długie wieki wspólnej historii, podczas gdy inne opierają się na najnowszej historii wspólnego systemu gospodarczego i politycznego oraz wspólnej granicy </w:t>
            </w:r>
            <w:r w:rsidR="00F41B64">
              <w:rPr>
                <w:rFonts w:ascii="Trebuchet MS" w:hAnsi="Trebuchet MS"/>
                <w:sz w:val="24"/>
                <w:szCs w:val="24"/>
              </w:rPr>
              <w:t>wzdłuż</w:t>
            </w:r>
            <w:r w:rsidRPr="00D80606">
              <w:rPr>
                <w:rFonts w:ascii="Trebuchet MS" w:hAnsi="Trebuchet MS"/>
                <w:sz w:val="24"/>
                <w:szCs w:val="24"/>
              </w:rPr>
              <w:t xml:space="preserve"> żelazn</w:t>
            </w:r>
            <w:r w:rsidR="00F41B64">
              <w:rPr>
                <w:rFonts w:ascii="Trebuchet MS" w:hAnsi="Trebuchet MS"/>
                <w:sz w:val="24"/>
                <w:szCs w:val="24"/>
              </w:rPr>
              <w:t>ej</w:t>
            </w:r>
            <w:r w:rsidRPr="00D80606">
              <w:rPr>
                <w:rFonts w:ascii="Trebuchet MS" w:hAnsi="Trebuchet MS"/>
                <w:sz w:val="24"/>
                <w:szCs w:val="24"/>
              </w:rPr>
              <w:t xml:space="preserve"> kurtyn</w:t>
            </w:r>
            <w:r w:rsidR="00F41B64">
              <w:rPr>
                <w:rFonts w:ascii="Trebuchet MS" w:hAnsi="Trebuchet MS"/>
                <w:sz w:val="24"/>
                <w:szCs w:val="24"/>
              </w:rPr>
              <w:t>y</w:t>
            </w:r>
            <w:r w:rsidRPr="00D80606">
              <w:rPr>
                <w:rFonts w:ascii="Trebuchet MS" w:hAnsi="Trebuchet MS"/>
                <w:sz w:val="24"/>
                <w:szCs w:val="24"/>
              </w:rPr>
              <w:t xml:space="preserve">. Już od momentu upadku tej „granicy” było oczywiste, że sąsiadujące ze sobą państwa mają wiele wspólnych interesów i wyzwań. Oczywistym jest, że </w:t>
            </w:r>
            <w:r w:rsidR="00F41B64">
              <w:rPr>
                <w:rFonts w:ascii="Trebuchet MS" w:hAnsi="Trebuchet MS"/>
                <w:sz w:val="24"/>
                <w:szCs w:val="24"/>
              </w:rPr>
              <w:t>dla</w:t>
            </w:r>
            <w:r w:rsidRPr="00D80606">
              <w:rPr>
                <w:rFonts w:ascii="Trebuchet MS" w:hAnsi="Trebuchet MS"/>
                <w:sz w:val="24"/>
                <w:szCs w:val="24"/>
              </w:rPr>
              <w:t xml:space="preserve"> </w:t>
            </w:r>
            <w:r w:rsidR="00F41B64">
              <w:rPr>
                <w:rFonts w:ascii="Trebuchet MS" w:hAnsi="Trebuchet MS"/>
                <w:sz w:val="24"/>
                <w:szCs w:val="24"/>
              </w:rPr>
              <w:t>wsp</w:t>
            </w:r>
            <w:r w:rsidR="00F445F4">
              <w:rPr>
                <w:rFonts w:ascii="Trebuchet MS" w:hAnsi="Trebuchet MS"/>
                <w:sz w:val="24"/>
                <w:szCs w:val="24"/>
              </w:rPr>
              <w:t>ierania</w:t>
            </w:r>
            <w:r w:rsidRPr="00D80606">
              <w:rPr>
                <w:rFonts w:ascii="Trebuchet MS" w:hAnsi="Trebuchet MS"/>
                <w:sz w:val="24"/>
                <w:szCs w:val="24"/>
              </w:rPr>
              <w:t xml:space="preserve"> wspóln</w:t>
            </w:r>
            <w:r w:rsidR="00F41B64">
              <w:rPr>
                <w:rFonts w:ascii="Trebuchet MS" w:hAnsi="Trebuchet MS"/>
                <w:sz w:val="24"/>
                <w:szCs w:val="24"/>
              </w:rPr>
              <w:t>ych</w:t>
            </w:r>
            <w:r w:rsidRPr="00D80606">
              <w:rPr>
                <w:rFonts w:ascii="Trebuchet MS" w:hAnsi="Trebuchet MS"/>
                <w:sz w:val="24"/>
                <w:szCs w:val="24"/>
              </w:rPr>
              <w:t xml:space="preserve"> działa</w:t>
            </w:r>
            <w:r w:rsidR="00F41B64">
              <w:rPr>
                <w:rFonts w:ascii="Trebuchet MS" w:hAnsi="Trebuchet MS"/>
                <w:sz w:val="24"/>
                <w:szCs w:val="24"/>
              </w:rPr>
              <w:t>ń</w:t>
            </w:r>
            <w:r w:rsidRPr="00D80606">
              <w:rPr>
                <w:rFonts w:ascii="Trebuchet MS" w:hAnsi="Trebuchet MS"/>
                <w:sz w:val="24"/>
                <w:szCs w:val="24"/>
              </w:rPr>
              <w:t xml:space="preserve">, </w:t>
            </w:r>
            <w:r w:rsidR="00122665" w:rsidRPr="00D80606">
              <w:rPr>
                <w:rFonts w:ascii="Trebuchet MS" w:hAnsi="Trebuchet MS"/>
                <w:sz w:val="24"/>
                <w:szCs w:val="24"/>
              </w:rPr>
              <w:t xml:space="preserve">muszą </w:t>
            </w:r>
            <w:r w:rsidRPr="00D80606">
              <w:rPr>
                <w:rFonts w:ascii="Trebuchet MS" w:hAnsi="Trebuchet MS"/>
                <w:sz w:val="24"/>
                <w:szCs w:val="24"/>
              </w:rPr>
              <w:t xml:space="preserve">ze sobą lepiej </w:t>
            </w:r>
            <w:r w:rsidRPr="00D80606">
              <w:rPr>
                <w:rFonts w:ascii="Trebuchet MS" w:hAnsi="Trebuchet MS"/>
                <w:b/>
                <w:sz w:val="24"/>
                <w:szCs w:val="24"/>
              </w:rPr>
              <w:t>współpracować</w:t>
            </w:r>
            <w:r w:rsidRPr="00D80606">
              <w:rPr>
                <w:rFonts w:ascii="Trebuchet MS" w:hAnsi="Trebuchet MS"/>
                <w:sz w:val="24"/>
                <w:szCs w:val="24"/>
              </w:rPr>
              <w:t>.</w:t>
            </w:r>
          </w:p>
          <w:p w14:paraId="728DD43A" w14:textId="49E081A0" w:rsidR="00927281" w:rsidRPr="00D80606" w:rsidRDefault="00941099"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Wczesną konsekwencją tego było utworzenie w 1989 roku Inicjatywy Środkowoeuropejskiej (CEI), która wspierała integrację europejską poprzez współpracę między </w:t>
            </w:r>
            <w:r w:rsidR="007F2C6B">
              <w:rPr>
                <w:rFonts w:ascii="Trebuchet MS" w:hAnsi="Trebuchet MS"/>
                <w:sz w:val="24"/>
                <w:szCs w:val="24"/>
              </w:rPr>
              <w:t xml:space="preserve">jej </w:t>
            </w:r>
            <w:r w:rsidRPr="00D80606">
              <w:rPr>
                <w:rFonts w:ascii="Trebuchet MS" w:hAnsi="Trebuchet MS"/>
                <w:sz w:val="24"/>
                <w:szCs w:val="24"/>
              </w:rPr>
              <w:t>państwami członkowskimi i Unią Europejską, a także z innymi zainteresowanymi instytucjami publicznymi, organizacjami prywatnymi i pozarządowymi oraz organizacjami międzynarodowymi i regionalnymi. Dwa lata później, w 1991 roku, powstała Grupa Wyszehradzka (V4), w skład której weszły Czechy, Polska</w:t>
            </w:r>
            <w:r w:rsidR="005F26AA" w:rsidRPr="00D80606">
              <w:rPr>
                <w:rFonts w:ascii="Trebuchet MS" w:hAnsi="Trebuchet MS"/>
                <w:sz w:val="24"/>
                <w:szCs w:val="24"/>
              </w:rPr>
              <w:t xml:space="preserve">, </w:t>
            </w:r>
            <w:r w:rsidRPr="00D80606">
              <w:rPr>
                <w:rFonts w:ascii="Trebuchet MS" w:hAnsi="Trebuchet MS"/>
                <w:sz w:val="24"/>
                <w:szCs w:val="24"/>
              </w:rPr>
              <w:t>Słowacja</w:t>
            </w:r>
            <w:r w:rsidR="005F26AA" w:rsidRPr="00D80606">
              <w:rPr>
                <w:rFonts w:ascii="Trebuchet MS" w:hAnsi="Trebuchet MS"/>
                <w:sz w:val="24"/>
                <w:szCs w:val="24"/>
              </w:rPr>
              <w:t xml:space="preserve"> i Węgry</w:t>
            </w:r>
            <w:r w:rsidRPr="00D80606">
              <w:rPr>
                <w:rFonts w:ascii="Trebuchet MS" w:hAnsi="Trebuchet MS"/>
                <w:sz w:val="24"/>
                <w:szCs w:val="24"/>
              </w:rPr>
              <w:t>. Podstawą tej współpracy są wzajemne kontakty na wszystkich szczeblach: od szczytów politycznych najwyższego szczebla po spotkania eksperckie i dyplomatyczne, które obejmują działalność stowarzyszeń pozarządowych, ośrodków analitycznych i badawczych, instytucji kulturalnych oraz licznych sieci osób prywatnych. W ostatnich latach zinstytucjonalizowana współpraca została również nawiązana w ramach inicjatywy Zielony Pas Europy w 2014 roku. Jego celem jest harmonizacja działalności człowieka z przyrodą i środowiskiem oraz zwiększenie możliwości rozwoju społeczno-gospodarczego społeczności lokalnych wzdłuż dawnej żelaznej kurtyny. W 2015 roku uruchomiono inicjatywę Komisji w sprawie połączeń energetycznych w Europie Środkowej i Południowo-Wschodniej. Ma ona na celu wzmocnienie solidarności i umożliwienie bezpieczniejszych dostaw energii dla obywateli i przedsiębiorstw w całym regionie w zakresie gazu, energii elektrycznej, odnawialnych źródeł energii i efektywności energetycznej. Kraje Europy Środkowej uczestniczące w tej inicjatywie to Austria, Chorwacja, Słowacja</w:t>
            </w:r>
            <w:r w:rsidR="005F26AA" w:rsidRPr="00D80606">
              <w:rPr>
                <w:rFonts w:ascii="Trebuchet MS" w:hAnsi="Trebuchet MS"/>
                <w:sz w:val="24"/>
                <w:szCs w:val="24"/>
              </w:rPr>
              <w:t xml:space="preserve">, </w:t>
            </w:r>
            <w:r w:rsidRPr="00D80606">
              <w:rPr>
                <w:rFonts w:ascii="Trebuchet MS" w:hAnsi="Trebuchet MS"/>
                <w:sz w:val="24"/>
                <w:szCs w:val="24"/>
              </w:rPr>
              <w:t>Słowenia</w:t>
            </w:r>
            <w:r w:rsidR="005F26AA" w:rsidRPr="00D80606">
              <w:rPr>
                <w:rFonts w:ascii="Trebuchet MS" w:hAnsi="Trebuchet MS"/>
                <w:sz w:val="24"/>
                <w:szCs w:val="24"/>
              </w:rPr>
              <w:t>, Węgry i Włochy</w:t>
            </w:r>
            <w:r w:rsidRPr="00D80606">
              <w:rPr>
                <w:rFonts w:ascii="Trebuchet MS" w:hAnsi="Trebuchet MS"/>
                <w:sz w:val="24"/>
                <w:szCs w:val="24"/>
              </w:rPr>
              <w:t>. Inne struktury współpracy obejmują euroregiony oraz 34 Europejskie Ugrupowania Współpracy Terytorialnej (EUWT).</w:t>
            </w:r>
          </w:p>
          <w:p w14:paraId="4613BABE" w14:textId="464F7A97" w:rsidR="00927281" w:rsidRPr="00D80606" w:rsidRDefault="00E41749"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Oprócz przybierających na sile więzi politycznych i osobistych, kraje Europy Środkowej nawiązały mocne </w:t>
            </w:r>
            <w:r w:rsidRPr="00D80606">
              <w:rPr>
                <w:rFonts w:ascii="Trebuchet MS" w:hAnsi="Trebuchet MS"/>
                <w:b/>
                <w:sz w:val="24"/>
                <w:szCs w:val="24"/>
              </w:rPr>
              <w:t>relacje funkcjonalne</w:t>
            </w:r>
            <w:r w:rsidRPr="00D80606">
              <w:rPr>
                <w:rFonts w:ascii="Trebuchet MS" w:hAnsi="Trebuchet MS"/>
                <w:sz w:val="24"/>
                <w:szCs w:val="24"/>
              </w:rPr>
              <w:t>, oparte na bliskości geograficznej, podobieństwach historycznych i kulturowych oraz wspólnej perspektywie gospodarczej. Relacje te obejmują m.in. gospodarcze, przemysłowe łańcuchy wartości i rynki pracy, jak również wzajemną turystykę czy transgraniczne usługi zdrowotne. Dlatego też dla tego obszaru współpraca zawsze miała istotne znaczenie pod wieloma względami.</w:t>
            </w:r>
          </w:p>
          <w:p w14:paraId="7DEFE6A8" w14:textId="7EDA4EEF" w:rsidR="00927281" w:rsidRPr="00D80606" w:rsidRDefault="00E41749"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Utrzymujące się wciąż wyzwania, takie jak dysproporcje gospodarcze i społeczne, </w:t>
            </w:r>
            <w:r w:rsidRPr="00D80606">
              <w:rPr>
                <w:rFonts w:ascii="Trebuchet MS" w:hAnsi="Trebuchet MS"/>
                <w:sz w:val="24"/>
                <w:szCs w:val="24"/>
              </w:rPr>
              <w:lastRenderedPageBreak/>
              <w:t>oraz pojawiające się nowe wyzwania, takie jak cyfryzacja lub przejście na bardziej ekologiczną gospodarkę zgodnie z założeniami Europejskiego Zielonego Ładu, zwiększają potrzebę współpracy w Europie Środkowej. Kluczowym wyzwaniem z punktu widzenia współpracy jest koordynacja różnych systemów i poziomów zarządzania pomiędzy poszczególnymi krajami i wewnątrz nich. Jak wskazano powyżej, wyzwania gospodarcze i społeczne są wielowymiarowe. Aby można było sobie z nimi skutecznie radzić, różne instytucje muszą współpracować ze sobą w ramach poszczególnych krajów oraz na skalę międzynarodową. Zakres współpracujących instytucji winien sięgać od ministerstw rząd</w:t>
            </w:r>
            <w:r w:rsidR="007F2C6B">
              <w:rPr>
                <w:rFonts w:ascii="Trebuchet MS" w:hAnsi="Trebuchet MS"/>
                <w:sz w:val="24"/>
                <w:szCs w:val="24"/>
              </w:rPr>
              <w:t>ów</w:t>
            </w:r>
            <w:r w:rsidRPr="00D80606">
              <w:rPr>
                <w:rFonts w:ascii="Trebuchet MS" w:hAnsi="Trebuchet MS"/>
                <w:sz w:val="24"/>
                <w:szCs w:val="24"/>
              </w:rPr>
              <w:t xml:space="preserve"> centraln</w:t>
            </w:r>
            <w:r w:rsidR="007F2C6B">
              <w:rPr>
                <w:rFonts w:ascii="Trebuchet MS" w:hAnsi="Trebuchet MS"/>
                <w:sz w:val="24"/>
                <w:szCs w:val="24"/>
              </w:rPr>
              <w:t>ych</w:t>
            </w:r>
            <w:r w:rsidRPr="00D80606">
              <w:rPr>
                <w:rFonts w:ascii="Trebuchet MS" w:hAnsi="Trebuchet MS"/>
                <w:sz w:val="24"/>
                <w:szCs w:val="24"/>
              </w:rPr>
              <w:t xml:space="preserve">, przez samorządy regionalne i lokalne, po krajowe i regionalne grupy interesów, przedsiębiorstwa i obywateli. Istnieje ciągła potrzeba wspierania tych wysiłków koordynacyjnych na poziomie polityki oraz wzmocnienia </w:t>
            </w:r>
            <w:r w:rsidRPr="00D80606">
              <w:rPr>
                <w:rFonts w:ascii="Trebuchet MS" w:hAnsi="Trebuchet MS"/>
                <w:b/>
                <w:sz w:val="24"/>
                <w:szCs w:val="24"/>
              </w:rPr>
              <w:t>wielopoziomowego i wielosektorowego zarządzania</w:t>
            </w:r>
            <w:r w:rsidRPr="00D80606">
              <w:rPr>
                <w:rFonts w:ascii="Trebuchet MS" w:hAnsi="Trebuchet MS"/>
                <w:sz w:val="24"/>
                <w:szCs w:val="24"/>
              </w:rPr>
              <w:t xml:space="preserve"> w tym obszarze, jak podkreślono w Agendzie Terytorialnej 2030. Obejmuje to </w:t>
            </w:r>
            <w:r w:rsidRPr="00D80606">
              <w:rPr>
                <w:rFonts w:ascii="Trebuchet MS" w:hAnsi="Trebuchet MS"/>
                <w:b/>
                <w:sz w:val="24"/>
                <w:szCs w:val="24"/>
              </w:rPr>
              <w:t>zintegrowane podejścia</w:t>
            </w:r>
            <w:r w:rsidRPr="00D80606">
              <w:rPr>
                <w:rFonts w:ascii="Trebuchet MS" w:hAnsi="Trebuchet MS"/>
                <w:sz w:val="24"/>
                <w:szCs w:val="24"/>
              </w:rPr>
              <w:t xml:space="preserve"> z udziałem lokalnych i regionalnych interesariuszy pozarządowych, w tym obywateli, którzy nie tylko lepiej zaspokoją lokalne potrzeby, ale także zwiększą </w:t>
            </w:r>
            <w:r w:rsidRPr="00D80606">
              <w:rPr>
                <w:rFonts w:ascii="Trebuchet MS" w:hAnsi="Trebuchet MS"/>
                <w:b/>
                <w:sz w:val="24"/>
                <w:szCs w:val="24"/>
              </w:rPr>
              <w:t>zaufanie</w:t>
            </w:r>
            <w:r w:rsidRPr="00D80606">
              <w:rPr>
                <w:rFonts w:ascii="Trebuchet MS" w:hAnsi="Trebuchet MS"/>
                <w:sz w:val="24"/>
                <w:szCs w:val="24"/>
              </w:rPr>
              <w:t xml:space="preserve"> do sposobu zarządzania i </w:t>
            </w:r>
            <w:r w:rsidRPr="00D80606">
              <w:rPr>
                <w:rFonts w:ascii="Trebuchet MS" w:hAnsi="Trebuchet MS"/>
                <w:b/>
                <w:sz w:val="24"/>
                <w:szCs w:val="24"/>
              </w:rPr>
              <w:t>odpowiedzialność</w:t>
            </w:r>
            <w:r w:rsidRPr="00D80606">
              <w:rPr>
                <w:rFonts w:ascii="Trebuchet MS" w:hAnsi="Trebuchet MS"/>
                <w:sz w:val="24"/>
                <w:szCs w:val="24"/>
              </w:rPr>
              <w:t xml:space="preserve"> za nie.</w:t>
            </w:r>
          </w:p>
          <w:p w14:paraId="7770C0DA" w14:textId="4F53D7EE" w:rsidR="00927281" w:rsidRPr="00D80606" w:rsidRDefault="00927281" w:rsidP="00C023D4">
            <w:pPr>
              <w:widowControl w:val="0"/>
              <w:spacing w:before="360" w:after="360" w:line="290" w:lineRule="atLeast"/>
              <w:ind w:left="0" w:right="0"/>
              <w:jc w:val="left"/>
              <w:outlineLvl w:val="1"/>
              <w:rPr>
                <w:rFonts w:ascii="Trebuchet MS" w:eastAsia="Calibri" w:hAnsi="Trebuchet MS"/>
                <w:b/>
                <w:iCs/>
                <w:color w:val="808080"/>
                <w:sz w:val="26"/>
                <w:szCs w:val="26"/>
              </w:rPr>
            </w:pPr>
            <w:bookmarkStart w:id="62" w:name="_Toc61245860"/>
            <w:bookmarkStart w:id="63" w:name="_Toc61246199"/>
            <w:bookmarkStart w:id="64" w:name="_Toc63770030"/>
            <w:bookmarkStart w:id="65" w:name="_Toc64026045"/>
            <w:bookmarkStart w:id="66" w:name="_Toc71036593"/>
            <w:r w:rsidRPr="00D80606">
              <w:rPr>
                <w:rFonts w:ascii="Trebuchet MS" w:hAnsi="Trebuchet MS"/>
                <w:b/>
                <w:color w:val="808080"/>
                <w:sz w:val="26"/>
                <w:szCs w:val="26"/>
              </w:rPr>
              <w:t>Skutki pandemii COVID-19</w:t>
            </w:r>
            <w:bookmarkEnd w:id="62"/>
            <w:bookmarkEnd w:id="63"/>
            <w:bookmarkEnd w:id="64"/>
            <w:bookmarkEnd w:id="65"/>
            <w:bookmarkEnd w:id="66"/>
          </w:p>
          <w:p w14:paraId="3BDF3B52" w14:textId="021D7DF2" w:rsidR="007240BF"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Pandemia COVID-19 była wielkim wstrząsem zarówno dla Europy Środkowej jak i dla całego świata. We wszystkich dziewięciu krajach nastąpiło znaczne pogorszenie sytuacji </w:t>
            </w:r>
            <w:r w:rsidRPr="00D80606">
              <w:rPr>
                <w:rFonts w:ascii="Trebuchet MS" w:hAnsi="Trebuchet MS"/>
                <w:b/>
                <w:sz w:val="24"/>
                <w:szCs w:val="24"/>
              </w:rPr>
              <w:t>gospodarczej</w:t>
            </w:r>
            <w:r w:rsidRPr="00D80606">
              <w:rPr>
                <w:rFonts w:ascii="Trebuchet MS" w:hAnsi="Trebuchet MS"/>
                <w:sz w:val="24"/>
                <w:szCs w:val="24"/>
              </w:rPr>
              <w:t xml:space="preserve">, w szczególności we Włoszech i Chorwacji, gdzie oczekuje się, że PKB spadnie o ponad 10% w 2020 roku (wiiw, 2020). </w:t>
            </w:r>
            <w:r w:rsidRPr="00D80606">
              <w:rPr>
                <w:rFonts w:ascii="Trebuchet MS" w:hAnsi="Trebuchet MS"/>
                <w:b/>
                <w:sz w:val="24"/>
                <w:szCs w:val="24"/>
              </w:rPr>
              <w:t>Bezrobocie</w:t>
            </w:r>
            <w:r w:rsidRPr="00D80606">
              <w:rPr>
                <w:rFonts w:ascii="Trebuchet MS" w:hAnsi="Trebuchet MS"/>
                <w:sz w:val="24"/>
                <w:szCs w:val="24"/>
              </w:rPr>
              <w:t xml:space="preserve"> wzrosło wszędzie, chociaż przynajmniej na początku pandemii udało się uniknąć większości redukcji zatrudnienia dzięki programom postojowym i skróceniu czasu pracy. </w:t>
            </w:r>
          </w:p>
          <w:p w14:paraId="04B38502" w14:textId="402CC5E2" w:rsidR="00C1126D"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W wielu przypadkach ludzie zaczęli pracować w domu, szczególnie w Austrii, Niemczech i Włoszech, podczas gdy na Węgrzech, w Chorwacji i na Słowacji mniejszy odsetek ludności skorzystał z tej możliwości. Zakres stosowania „</w:t>
            </w:r>
            <w:r w:rsidRPr="008A72BA">
              <w:rPr>
                <w:rFonts w:ascii="Trebuchet MS" w:hAnsi="Trebuchet MS"/>
                <w:b/>
                <w:sz w:val="24"/>
                <w:szCs w:val="24"/>
              </w:rPr>
              <w:t>home office</w:t>
            </w:r>
            <w:r w:rsidRPr="00D80606">
              <w:rPr>
                <w:rFonts w:ascii="Trebuchet MS" w:hAnsi="Trebuchet MS"/>
                <w:sz w:val="24"/>
                <w:szCs w:val="24"/>
              </w:rPr>
              <w:t>” zależał między innymi od łączności cyfrowej, która w Europie Środkowej jest jeszcze bardzo zróżnicowana. Niemniej jednak wywołane pandemią zapotrzebowanie na więcej usług cyfrowych stanowi okazję do poszukiwania nowych rozwiązań, zwłaszcza w zakresie dostarczania e-rozwiązań przez sektor publiczny.</w:t>
            </w:r>
          </w:p>
          <w:p w14:paraId="3BA354EB" w14:textId="4C12460A"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Blokady (tzw. lockdowny) wywołane przez COVID-19 miały niszczycielski</w:t>
            </w:r>
            <w:r w:rsidR="00CF08AD">
              <w:rPr>
                <w:rFonts w:ascii="Trebuchet MS" w:hAnsi="Trebuchet MS"/>
                <w:sz w:val="24"/>
                <w:szCs w:val="24"/>
              </w:rPr>
              <w:t>e</w:t>
            </w:r>
            <w:r w:rsidRPr="00D80606">
              <w:rPr>
                <w:rFonts w:ascii="Trebuchet MS" w:hAnsi="Trebuchet MS"/>
                <w:sz w:val="24"/>
                <w:szCs w:val="24"/>
              </w:rPr>
              <w:t xml:space="preserve"> </w:t>
            </w:r>
            <w:r w:rsidR="00CF08AD">
              <w:rPr>
                <w:rFonts w:ascii="Trebuchet MS" w:hAnsi="Trebuchet MS"/>
                <w:sz w:val="24"/>
                <w:szCs w:val="24"/>
              </w:rPr>
              <w:t>skutki</w:t>
            </w:r>
            <w:r w:rsidRPr="00D80606">
              <w:rPr>
                <w:rFonts w:ascii="Trebuchet MS" w:hAnsi="Trebuchet MS"/>
                <w:sz w:val="24"/>
                <w:szCs w:val="24"/>
              </w:rPr>
              <w:t xml:space="preserve"> </w:t>
            </w:r>
            <w:r w:rsidR="00CF08AD">
              <w:rPr>
                <w:rFonts w:ascii="Trebuchet MS" w:hAnsi="Trebuchet MS"/>
                <w:sz w:val="24"/>
                <w:szCs w:val="24"/>
              </w:rPr>
              <w:t>dla</w:t>
            </w:r>
            <w:r w:rsidRPr="00D80606">
              <w:rPr>
                <w:rFonts w:ascii="Trebuchet MS" w:hAnsi="Trebuchet MS"/>
                <w:sz w:val="24"/>
                <w:szCs w:val="24"/>
              </w:rPr>
              <w:t xml:space="preserve"> </w:t>
            </w:r>
            <w:r w:rsidRPr="00D80606">
              <w:rPr>
                <w:rFonts w:ascii="Trebuchet MS" w:hAnsi="Trebuchet MS"/>
                <w:b/>
                <w:sz w:val="24"/>
                <w:szCs w:val="24"/>
              </w:rPr>
              <w:t>turystyk</w:t>
            </w:r>
            <w:r w:rsidR="00CF08AD">
              <w:rPr>
                <w:rFonts w:ascii="Trebuchet MS" w:hAnsi="Trebuchet MS"/>
                <w:b/>
                <w:sz w:val="24"/>
                <w:szCs w:val="24"/>
              </w:rPr>
              <w:t>i</w:t>
            </w:r>
            <w:r w:rsidRPr="00D80606">
              <w:rPr>
                <w:rFonts w:ascii="Trebuchet MS" w:hAnsi="Trebuchet MS"/>
                <w:sz w:val="24"/>
                <w:szCs w:val="24"/>
              </w:rPr>
              <w:t>, a liczba nocy spędzonych przez turystów na obszarze objętym programem spadła o 80-95%, w zależności od kraju i regionu. Silnie dotknięte regiony obejmowały regiony przybrzeżne na południu i północy Europy Środkowej, a także regiony alpejskie – czyli wszystkie te, które są gospodarczo silnie uzależnione od turystyki.</w:t>
            </w:r>
          </w:p>
          <w:p w14:paraId="03FDA09A" w14:textId="7FE304D4"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lastRenderedPageBreak/>
              <w:t xml:space="preserve">Konsekwencje COVID-19 dla Europy Środkowej pozostają obecnie dość niejasne. Jeśli pandemia będzie trwała dłużej, opisane wyzwania zostaną przyćmione przez </w:t>
            </w:r>
            <w:r w:rsidRPr="00D80606">
              <w:rPr>
                <w:rFonts w:ascii="Trebuchet MS" w:hAnsi="Trebuchet MS"/>
                <w:b/>
                <w:sz w:val="24"/>
                <w:szCs w:val="24"/>
              </w:rPr>
              <w:t>ekonomiczne i społeczne</w:t>
            </w:r>
            <w:r w:rsidR="00C57B3F">
              <w:rPr>
                <w:rFonts w:ascii="Trebuchet MS" w:hAnsi="Trebuchet MS"/>
                <w:b/>
                <w:sz w:val="24"/>
                <w:szCs w:val="24"/>
              </w:rPr>
              <w:t xml:space="preserve"> jej</w:t>
            </w:r>
            <w:r w:rsidRPr="00D80606">
              <w:rPr>
                <w:rFonts w:ascii="Trebuchet MS" w:hAnsi="Trebuchet MS"/>
                <w:b/>
                <w:sz w:val="24"/>
                <w:szCs w:val="24"/>
              </w:rPr>
              <w:t xml:space="preserve"> skutki</w:t>
            </w:r>
            <w:r w:rsidRPr="00D80606">
              <w:rPr>
                <w:rFonts w:ascii="Trebuchet MS" w:hAnsi="Trebuchet MS"/>
                <w:sz w:val="24"/>
                <w:szCs w:val="24"/>
              </w:rPr>
              <w:t xml:space="preserve">. Szczególnie dla Europy Środkowej szkodliwe będą skutki dla funkcjonalnych relacji i współpracy w sferze publicznej i prywatnej. Pandemia pokazała bardzo wyraźnie, jak szybko w obliczu globalnego kryzysu państwa sięgają po rozwiązania krajowe. Szczególnie podczas pierwszej fali przepływ ludzi, towarów i usług przez granice został częściowo przerwany, ponieważ również niektóre przedsiębiorstwa przestały funkcjonować. </w:t>
            </w:r>
          </w:p>
          <w:p w14:paraId="3406F6A2" w14:textId="0D4CE132" w:rsidR="00927281" w:rsidRPr="00D80606" w:rsidRDefault="000356FF"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Jednakże </w:t>
            </w:r>
            <w:r w:rsidRPr="00D80606">
              <w:rPr>
                <w:rFonts w:ascii="Trebuchet MS" w:hAnsi="Trebuchet MS"/>
                <w:b/>
                <w:sz w:val="24"/>
                <w:szCs w:val="24"/>
              </w:rPr>
              <w:t>skoordynowane podejście</w:t>
            </w:r>
            <w:r w:rsidRPr="00D80606">
              <w:rPr>
                <w:rFonts w:ascii="Trebuchet MS" w:hAnsi="Trebuchet MS"/>
                <w:sz w:val="24"/>
                <w:szCs w:val="24"/>
              </w:rPr>
              <w:t xml:space="preserve"> we wszystkich krajach europejskich, a zwłaszcza w państwach objętych programem Interreg EUROPA ŚRODKOWA, wydaje się być bardziej obiecujące i oczywiste w kontekście podejmowania wyzwań związanych z „pandemią bez granic”. Pandemia COVID-19 wykazała, że  współpraca i koordynacja są niezwykle potrzebne, ale nadal w dużej mierze ich brakuje (wiiw, 2020). Na wypadek, gdyby pandemia miała potrwać dłużej, rządy i organy publiczne muszą znaleźć skoordynowane sposoby radzenia sobie z nią, aby zapewnić swobodny przepływ osób i towarów w Europie, a jednocześnie zapewnić najlepszą możliwą ochronę przed wirusem.</w:t>
            </w:r>
          </w:p>
          <w:p w14:paraId="314257AD" w14:textId="77777777" w:rsidR="00F24AFE" w:rsidRPr="00680741" w:rsidRDefault="00F24AFE" w:rsidP="00C023D4">
            <w:pPr>
              <w:widowControl w:val="0"/>
              <w:spacing w:before="360" w:after="240" w:line="280" w:lineRule="atLeast"/>
              <w:ind w:left="0" w:right="0"/>
              <w:contextualSpacing/>
              <w:jc w:val="left"/>
              <w:outlineLvl w:val="0"/>
              <w:rPr>
                <w:rFonts w:ascii="Trebuchet MS" w:eastAsia="SimSun" w:hAnsi="Trebuchet MS" w:cs="Arial"/>
                <w:bCs/>
                <w:color w:val="A5A5A5"/>
                <w:spacing w:val="5"/>
                <w:kern w:val="32"/>
                <w:sz w:val="28"/>
                <w:szCs w:val="32"/>
                <w:lang w:eastAsia="zh-CN"/>
              </w:rPr>
            </w:pPr>
          </w:p>
          <w:p w14:paraId="0A3071A8" w14:textId="5723F3BB" w:rsidR="00927281" w:rsidRDefault="00927281" w:rsidP="00C023D4">
            <w:pPr>
              <w:widowControl w:val="0"/>
              <w:spacing w:before="360" w:after="240" w:line="280" w:lineRule="atLeast"/>
              <w:ind w:left="0" w:right="0"/>
              <w:contextualSpacing/>
              <w:jc w:val="left"/>
              <w:outlineLvl w:val="0"/>
              <w:rPr>
                <w:rFonts w:ascii="Trebuchet MS" w:eastAsia="SimSun" w:hAnsi="Trebuchet MS" w:cs="Arial"/>
                <w:bCs/>
                <w:color w:val="A5A5A5"/>
                <w:spacing w:val="5"/>
                <w:kern w:val="32"/>
                <w:sz w:val="28"/>
                <w:szCs w:val="32"/>
              </w:rPr>
            </w:pPr>
            <w:bookmarkStart w:id="67" w:name="_Toc61245861"/>
            <w:bookmarkStart w:id="68" w:name="_Toc61246200"/>
            <w:bookmarkStart w:id="69" w:name="_Toc63770031"/>
            <w:bookmarkStart w:id="70" w:name="_Toc64026046"/>
            <w:bookmarkStart w:id="71" w:name="_Toc71036594"/>
            <w:r>
              <w:rPr>
                <w:rFonts w:ascii="Trebuchet MS" w:hAnsi="Trebuchet MS"/>
                <w:color w:val="A5A5A5"/>
                <w:sz w:val="28"/>
              </w:rPr>
              <w:t>Wyciągnięte wnioski</w:t>
            </w:r>
            <w:bookmarkEnd w:id="67"/>
            <w:bookmarkEnd w:id="68"/>
            <w:bookmarkEnd w:id="69"/>
            <w:bookmarkEnd w:id="70"/>
            <w:bookmarkEnd w:id="71"/>
          </w:p>
          <w:p w14:paraId="54CB3C3E" w14:textId="77777777" w:rsidR="005924F3" w:rsidRPr="00680741" w:rsidRDefault="005924F3" w:rsidP="00C023D4">
            <w:pPr>
              <w:widowControl w:val="0"/>
              <w:spacing w:before="360" w:after="240" w:line="280" w:lineRule="atLeast"/>
              <w:ind w:left="0" w:right="0"/>
              <w:contextualSpacing/>
              <w:jc w:val="left"/>
              <w:outlineLvl w:val="0"/>
              <w:rPr>
                <w:rFonts w:ascii="Trebuchet MS" w:eastAsia="SimSun" w:hAnsi="Trebuchet MS" w:cs="Arial"/>
                <w:bCs/>
                <w:color w:val="A5A5A5"/>
                <w:spacing w:val="5"/>
                <w:kern w:val="32"/>
                <w:sz w:val="28"/>
                <w:szCs w:val="32"/>
                <w:lang w:eastAsia="zh-CN"/>
              </w:rPr>
            </w:pPr>
          </w:p>
          <w:p w14:paraId="7F84F479" w14:textId="7B6D9732"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W okresie programowania 2014-2020 program Interreg EUROPA ŚRODKOWA wsparł 138 projektów, które obejmowały współpracę w zakresie innowacji, niskoemisyjności, środowiska i kultury, a także tematów związanych z transportem. Doświadczenia z tych projektów, jak również wiedza zdobyta w okresie programowania 2007-2013, dostarczają wielu wniosków dla niniejszego programu (wiiw, 2018).</w:t>
            </w:r>
          </w:p>
          <w:p w14:paraId="2AA3B9DF" w14:textId="3B24AF65" w:rsidR="00927281" w:rsidRPr="00D80606" w:rsidRDefault="00E82AFF"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Ocena operacyjna programu Interreg EUROPA ŚRODKOWA 2014-2020 (</w:t>
            </w:r>
            <w:r w:rsidRPr="008A72BA">
              <w:rPr>
                <w:rFonts w:ascii="Trebuchet MS" w:hAnsi="Trebuchet MS"/>
                <w:sz w:val="24"/>
                <w:szCs w:val="24"/>
              </w:rPr>
              <w:t>Spatial Foresight</w:t>
            </w:r>
            <w:r w:rsidRPr="00D80606">
              <w:rPr>
                <w:rFonts w:ascii="Trebuchet MS" w:hAnsi="Trebuchet MS"/>
                <w:sz w:val="24"/>
                <w:szCs w:val="24"/>
              </w:rPr>
              <w:t xml:space="preserve">, t33, 2019) potwierdziła, że program wzbudził </w:t>
            </w:r>
            <w:r w:rsidRPr="00D80606">
              <w:rPr>
                <w:rFonts w:ascii="Trebuchet MS" w:hAnsi="Trebuchet MS"/>
                <w:b/>
                <w:sz w:val="24"/>
                <w:szCs w:val="24"/>
              </w:rPr>
              <w:t>duże zainteresowanie wśród interesariuszy</w:t>
            </w:r>
            <w:r w:rsidRPr="00D80606">
              <w:rPr>
                <w:rFonts w:ascii="Trebuchet MS" w:hAnsi="Trebuchet MS"/>
                <w:sz w:val="24"/>
                <w:szCs w:val="24"/>
              </w:rPr>
              <w:t xml:space="preserve"> i charakteryzował się dość równomiernym rozkładem wnioskodawców pod względem państw i instytucji. Świadczy o tym między innymi wysoki udział </w:t>
            </w:r>
            <w:r w:rsidRPr="00D80606">
              <w:rPr>
                <w:rFonts w:ascii="Trebuchet MS" w:hAnsi="Trebuchet MS"/>
                <w:b/>
                <w:sz w:val="24"/>
                <w:szCs w:val="24"/>
              </w:rPr>
              <w:t>partnerów prywatnych</w:t>
            </w:r>
            <w:r w:rsidRPr="00D80606">
              <w:rPr>
                <w:rFonts w:ascii="Trebuchet MS" w:hAnsi="Trebuchet MS"/>
                <w:sz w:val="24"/>
                <w:szCs w:val="24"/>
              </w:rPr>
              <w:t xml:space="preserve"> (41%) w projektach, a także wysoki udział </w:t>
            </w:r>
            <w:r w:rsidRPr="00D80606">
              <w:rPr>
                <w:rFonts w:ascii="Trebuchet MS" w:hAnsi="Trebuchet MS"/>
                <w:b/>
                <w:sz w:val="24"/>
                <w:szCs w:val="24"/>
              </w:rPr>
              <w:t xml:space="preserve">nowych </w:t>
            </w:r>
            <w:r w:rsidRPr="00D80606">
              <w:rPr>
                <w:rFonts w:ascii="Trebuchet MS" w:hAnsi="Trebuchet MS"/>
                <w:sz w:val="24"/>
                <w:szCs w:val="24"/>
              </w:rPr>
              <w:t>uczestników (24%) w programie Interreg.</w:t>
            </w:r>
          </w:p>
          <w:p w14:paraId="661E79D9" w14:textId="70F33C27"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b/>
                <w:sz w:val="24"/>
                <w:szCs w:val="24"/>
              </w:rPr>
              <w:t>Budowanie potencjału i uczenie się polityk</w:t>
            </w:r>
            <w:r w:rsidRPr="00D80606">
              <w:rPr>
                <w:rFonts w:ascii="Trebuchet MS" w:hAnsi="Trebuchet MS"/>
                <w:sz w:val="24"/>
                <w:szCs w:val="24"/>
              </w:rPr>
              <w:t xml:space="preserve"> jest głównym rezultatem realizowanych projektów. Zwiększają one możliwości administracji lokalnej, regionalnej i krajowej oraz decydentów politycznych, a także przedsiębiorstw, zwłaszcza MŚP. Ich współpraca obejmowała masę krytyczną podmiotów, które razem stawiały czoła wspólnym wyzwaniom. Umożliwiło to interesariuszom poszerzenie wiedzy, jak również opracowanie i wdrożenie narzędzi i strategii dotyczących wyzwań związanych z innowacyjnością, energią, środowiskiem, kulturą i transportem.</w:t>
            </w:r>
          </w:p>
          <w:p w14:paraId="3A3571DE" w14:textId="506F695D"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b/>
                <w:sz w:val="24"/>
                <w:szCs w:val="24"/>
              </w:rPr>
              <w:lastRenderedPageBreak/>
              <w:t>Działania pilotażowe</w:t>
            </w:r>
            <w:r w:rsidRPr="00D80606">
              <w:rPr>
                <w:rFonts w:ascii="Trebuchet MS" w:hAnsi="Trebuchet MS"/>
                <w:sz w:val="24"/>
                <w:szCs w:val="24"/>
              </w:rPr>
              <w:t xml:space="preserve"> okazały się być skutecznym sposobem wdrażania projektów i wymiany doświadczeń w zakresie najnowocześniejszych metod i technologii. Pozwoliły również na testowanie i konsekwentne wdrażanie </w:t>
            </w:r>
            <w:r w:rsidRPr="00D80606">
              <w:rPr>
                <w:rFonts w:ascii="Trebuchet MS" w:hAnsi="Trebuchet MS"/>
                <w:b/>
                <w:sz w:val="24"/>
                <w:szCs w:val="24"/>
              </w:rPr>
              <w:t>nowych technologii i rozwiązań</w:t>
            </w:r>
            <w:r w:rsidRPr="00D80606">
              <w:rPr>
                <w:rFonts w:ascii="Trebuchet MS" w:hAnsi="Trebuchet MS"/>
                <w:sz w:val="24"/>
                <w:szCs w:val="24"/>
              </w:rPr>
              <w:t xml:space="preserve">. W ten sposób działania pilotażowe przyniosły cenny efekt demonstracyjny, co przyczyniło się do ich upowszechnienia i osiągnięcia istotnej </w:t>
            </w:r>
            <w:r w:rsidRPr="00D80606">
              <w:rPr>
                <w:rFonts w:ascii="Trebuchet MS" w:hAnsi="Trebuchet MS"/>
                <w:b/>
                <w:sz w:val="24"/>
                <w:szCs w:val="24"/>
              </w:rPr>
              <w:t>dźwigni</w:t>
            </w:r>
            <w:r w:rsidRPr="00D80606">
              <w:rPr>
                <w:rFonts w:ascii="Trebuchet MS" w:hAnsi="Trebuchet MS"/>
                <w:sz w:val="24"/>
                <w:szCs w:val="24"/>
              </w:rPr>
              <w:t xml:space="preserve"> finansowej w różnych projektach.</w:t>
            </w:r>
          </w:p>
          <w:p w14:paraId="2C3E0ECF" w14:textId="14D4B045" w:rsidR="00463486" w:rsidRPr="00D80606" w:rsidRDefault="00463486"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Mówiąc bardziej ogólnie, bezpośrednie </w:t>
            </w:r>
            <w:r w:rsidRPr="00D80606">
              <w:rPr>
                <w:rFonts w:ascii="Trebuchet MS" w:hAnsi="Trebuchet MS"/>
                <w:b/>
                <w:sz w:val="24"/>
                <w:szCs w:val="24"/>
              </w:rPr>
              <w:t>zaangażowanie interesariuszy</w:t>
            </w:r>
            <w:r w:rsidRPr="00D80606">
              <w:rPr>
                <w:rFonts w:ascii="Trebuchet MS" w:hAnsi="Trebuchet MS"/>
                <w:sz w:val="24"/>
                <w:szCs w:val="24"/>
              </w:rPr>
              <w:t xml:space="preserve">, takich jak decydenci na wszystkich szczeblach zarządzania lub sektor przedsiębiorstw, pomogło projektom dostosować ich wyniki do konkretnych </w:t>
            </w:r>
            <w:r w:rsidRPr="00D80606">
              <w:rPr>
                <w:rFonts w:ascii="Trebuchet MS" w:hAnsi="Trebuchet MS"/>
                <w:b/>
                <w:sz w:val="24"/>
                <w:szCs w:val="24"/>
              </w:rPr>
              <w:t>potrzeb terytorialnych</w:t>
            </w:r>
            <w:r w:rsidRPr="00D80606">
              <w:rPr>
                <w:rFonts w:ascii="Trebuchet MS" w:hAnsi="Trebuchet MS"/>
                <w:sz w:val="24"/>
                <w:szCs w:val="24"/>
              </w:rPr>
              <w:t xml:space="preserve">. Wspierano tym samym ich wysiłki zmierzające do dalszego wykorzystania wyników projektu, np. poprzez wprowadzanie rozwiązań na terytoriach podmiotów uczestniczących w projekcie i poza nimi. W efekcie </w:t>
            </w:r>
            <w:r w:rsidRPr="00D80606">
              <w:rPr>
                <w:rFonts w:ascii="Trebuchet MS" w:hAnsi="Trebuchet MS"/>
                <w:b/>
                <w:sz w:val="24"/>
                <w:szCs w:val="24"/>
              </w:rPr>
              <w:t xml:space="preserve">rezultaty projektów stały się bardziej trwałe </w:t>
            </w:r>
            <w:r w:rsidRPr="00D80606">
              <w:rPr>
                <w:rFonts w:ascii="Trebuchet MS" w:hAnsi="Trebuchet MS"/>
                <w:sz w:val="24"/>
                <w:szCs w:val="24"/>
              </w:rPr>
              <w:t xml:space="preserve">i widoczne długo po ich zakończeniu. Potwierdziło to również badanie przeprowadzone wśród interesariuszy w ramach oceny oddziaływania programu Interreg EUROPA ŚRODKOWA 2007-2013 (wiiw, 2018). </w:t>
            </w:r>
          </w:p>
          <w:p w14:paraId="2F5E2B0A" w14:textId="57B483FF" w:rsidR="00927281" w:rsidRPr="00D80606" w:rsidRDefault="00463486"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Ocena ta wykazała również, że program Interreg EUROPA ŚRODKOWA może z powodzeniem:</w:t>
            </w:r>
          </w:p>
          <w:p w14:paraId="4AA5ECDC" w14:textId="135DAB25" w:rsidR="00927281" w:rsidRPr="00D80606" w:rsidRDefault="00927281" w:rsidP="00D80606">
            <w:pPr>
              <w:widowControl w:val="0"/>
              <w:numPr>
                <w:ilvl w:val="0"/>
                <w:numId w:val="60"/>
              </w:numPr>
              <w:spacing w:before="0" w:after="290"/>
              <w:ind w:right="0"/>
              <w:contextualSpacing/>
              <w:jc w:val="left"/>
              <w:rPr>
                <w:rFonts w:ascii="Trebuchet MS" w:eastAsia="SimSun" w:hAnsi="Trebuchet MS"/>
                <w:sz w:val="24"/>
                <w:szCs w:val="24"/>
              </w:rPr>
            </w:pPr>
            <w:r w:rsidRPr="00D80606">
              <w:rPr>
                <w:rFonts w:ascii="Trebuchet MS" w:hAnsi="Trebuchet MS"/>
                <w:sz w:val="24"/>
                <w:szCs w:val="24"/>
              </w:rPr>
              <w:t>zmniejszać bariery pomiędzy decydentami politycznymi, biznesem a sferą badań, administracją i planistami lokalnymi i regionalnymi oraz innymi interesariuszami, zarówno w obrębie kraju, jak i poza jego granicami;</w:t>
            </w:r>
          </w:p>
          <w:p w14:paraId="5A7C7FAC" w14:textId="43548260" w:rsidR="00927281" w:rsidRPr="00D80606" w:rsidRDefault="00927281" w:rsidP="00D80606">
            <w:pPr>
              <w:widowControl w:val="0"/>
              <w:numPr>
                <w:ilvl w:val="0"/>
                <w:numId w:val="60"/>
              </w:numPr>
              <w:spacing w:before="0" w:after="290"/>
              <w:ind w:right="0"/>
              <w:contextualSpacing/>
              <w:jc w:val="left"/>
              <w:rPr>
                <w:rFonts w:ascii="Trebuchet MS" w:eastAsia="SimSun" w:hAnsi="Trebuchet MS"/>
                <w:sz w:val="24"/>
                <w:szCs w:val="24"/>
              </w:rPr>
            </w:pPr>
            <w:r w:rsidRPr="00D80606">
              <w:rPr>
                <w:rFonts w:ascii="Trebuchet MS" w:hAnsi="Trebuchet MS"/>
                <w:sz w:val="24"/>
                <w:szCs w:val="24"/>
              </w:rPr>
              <w:t>zapewniać wysokiej trwałości współpracę i nawiązywanie nowej współpracy;</w:t>
            </w:r>
          </w:p>
          <w:p w14:paraId="753ADBD2" w14:textId="77777777" w:rsidR="00927281" w:rsidRPr="00D80606" w:rsidRDefault="00927281" w:rsidP="00D80606">
            <w:pPr>
              <w:widowControl w:val="0"/>
              <w:numPr>
                <w:ilvl w:val="0"/>
                <w:numId w:val="60"/>
              </w:numPr>
              <w:spacing w:before="0" w:after="290"/>
              <w:ind w:right="0"/>
              <w:contextualSpacing/>
              <w:jc w:val="left"/>
              <w:rPr>
                <w:rFonts w:ascii="Trebuchet MS" w:eastAsia="SimSun" w:hAnsi="Trebuchet MS"/>
                <w:sz w:val="24"/>
                <w:szCs w:val="24"/>
              </w:rPr>
            </w:pPr>
            <w:r w:rsidRPr="00D80606">
              <w:rPr>
                <w:rFonts w:ascii="Trebuchet MS" w:hAnsi="Trebuchet MS"/>
                <w:sz w:val="24"/>
                <w:szCs w:val="24"/>
              </w:rPr>
              <w:t>poprawiać koordynację między decydentami politycznymi a władzami lokalnymi poprzez utworzenie specjalnych struktur zarządzania w celu rozwiązywania wspólnych problemów;</w:t>
            </w:r>
          </w:p>
          <w:p w14:paraId="6E100E88" w14:textId="77777777" w:rsidR="00927281" w:rsidRPr="00D80606" w:rsidRDefault="00927281" w:rsidP="00D80606">
            <w:pPr>
              <w:widowControl w:val="0"/>
              <w:numPr>
                <w:ilvl w:val="0"/>
                <w:numId w:val="60"/>
              </w:numPr>
              <w:spacing w:before="0" w:after="290"/>
              <w:ind w:right="0"/>
              <w:contextualSpacing/>
              <w:jc w:val="left"/>
              <w:rPr>
                <w:rFonts w:ascii="Trebuchet MS" w:eastAsia="SimSun" w:hAnsi="Trebuchet MS"/>
                <w:sz w:val="24"/>
                <w:szCs w:val="24"/>
              </w:rPr>
            </w:pPr>
            <w:r w:rsidRPr="00D80606">
              <w:rPr>
                <w:rFonts w:ascii="Trebuchet MS" w:hAnsi="Trebuchet MS"/>
                <w:sz w:val="24"/>
                <w:szCs w:val="24"/>
              </w:rPr>
              <w:t>zwiększać zdolności zarządzania publicznego (i prywatnego) poprzez tworzenie i wymianę wiedzy opartej na badaniach, gromadzenie najlepszych praktyk, działania pilotażowe, szkolenia, itp;</w:t>
            </w:r>
          </w:p>
          <w:p w14:paraId="790A725C" w14:textId="77777777" w:rsidR="00927281" w:rsidRPr="00D80606" w:rsidRDefault="00927281" w:rsidP="00D80606">
            <w:pPr>
              <w:widowControl w:val="0"/>
              <w:numPr>
                <w:ilvl w:val="0"/>
                <w:numId w:val="60"/>
              </w:numPr>
              <w:spacing w:before="0" w:after="290"/>
              <w:ind w:right="0"/>
              <w:contextualSpacing/>
              <w:jc w:val="left"/>
              <w:rPr>
                <w:rFonts w:ascii="Trebuchet MS" w:eastAsia="SimSun" w:hAnsi="Trebuchet MS"/>
                <w:sz w:val="24"/>
                <w:szCs w:val="24"/>
              </w:rPr>
            </w:pPr>
            <w:r w:rsidRPr="00D80606">
              <w:rPr>
                <w:rFonts w:ascii="Trebuchet MS" w:hAnsi="Trebuchet MS"/>
                <w:sz w:val="24"/>
                <w:szCs w:val="24"/>
              </w:rPr>
              <w:t>tworzyć znaczną wartość dodaną poprzez przyczynianie się do rozwoju zarówno szerszych strategii i polityk UE, jak i do rozwoju gospodarczego, społecznego i terytorialnego.</w:t>
            </w:r>
          </w:p>
          <w:p w14:paraId="2AC96D9F" w14:textId="77777777" w:rsidR="005924F3" w:rsidRPr="00680741" w:rsidRDefault="005924F3" w:rsidP="00C023D4">
            <w:pPr>
              <w:widowControl w:val="0"/>
              <w:spacing w:before="360" w:after="240" w:line="280" w:lineRule="atLeast"/>
              <w:ind w:left="0" w:right="0"/>
              <w:contextualSpacing/>
              <w:jc w:val="left"/>
              <w:outlineLvl w:val="0"/>
              <w:rPr>
                <w:rFonts w:ascii="Trebuchet MS" w:eastAsia="SimSun" w:hAnsi="Trebuchet MS" w:cs="Arial"/>
                <w:bCs/>
                <w:color w:val="A5A5A5"/>
                <w:spacing w:val="5"/>
                <w:kern w:val="32"/>
                <w:sz w:val="28"/>
                <w:szCs w:val="32"/>
                <w:lang w:eastAsia="zh-CN"/>
              </w:rPr>
            </w:pPr>
          </w:p>
          <w:p w14:paraId="2946054B" w14:textId="29C278DE" w:rsidR="00927281" w:rsidRDefault="00927281" w:rsidP="007F73B6">
            <w:pPr>
              <w:widowControl w:val="0"/>
              <w:spacing w:before="360" w:after="240" w:line="280" w:lineRule="atLeast"/>
              <w:ind w:left="0" w:right="0"/>
              <w:contextualSpacing/>
              <w:jc w:val="left"/>
              <w:outlineLvl w:val="0"/>
              <w:rPr>
                <w:rFonts w:ascii="Trebuchet MS" w:eastAsia="SimSun" w:hAnsi="Trebuchet MS" w:cs="Arial"/>
                <w:bCs/>
                <w:color w:val="A5A5A5"/>
                <w:spacing w:val="5"/>
                <w:kern w:val="32"/>
                <w:sz w:val="28"/>
                <w:szCs w:val="32"/>
              </w:rPr>
            </w:pPr>
            <w:bookmarkStart w:id="72" w:name="_Toc61245862"/>
            <w:bookmarkStart w:id="73" w:name="_Toc61246201"/>
            <w:bookmarkStart w:id="74" w:name="_Toc63770032"/>
            <w:bookmarkStart w:id="75" w:name="_Toc64026047"/>
            <w:bookmarkStart w:id="76" w:name="_Toc71036595"/>
            <w:r>
              <w:rPr>
                <w:rFonts w:ascii="Trebuchet MS" w:hAnsi="Trebuchet MS"/>
                <w:color w:val="A5A5A5"/>
                <w:sz w:val="28"/>
              </w:rPr>
              <w:t>Komplementarność i synergie (w tym wkład w strategie makroregionalne)</w:t>
            </w:r>
            <w:bookmarkEnd w:id="72"/>
            <w:bookmarkEnd w:id="73"/>
            <w:bookmarkEnd w:id="74"/>
            <w:bookmarkEnd w:id="75"/>
            <w:bookmarkEnd w:id="76"/>
          </w:p>
          <w:p w14:paraId="4B265140" w14:textId="77777777" w:rsidR="005924F3" w:rsidRPr="00680741" w:rsidRDefault="005924F3" w:rsidP="00C023D4">
            <w:pPr>
              <w:widowControl w:val="0"/>
              <w:spacing w:before="360" w:after="240" w:line="280" w:lineRule="atLeast"/>
              <w:ind w:left="0" w:right="0"/>
              <w:contextualSpacing/>
              <w:jc w:val="left"/>
              <w:outlineLvl w:val="0"/>
              <w:rPr>
                <w:rFonts w:ascii="Trebuchet MS" w:eastAsia="SimSun" w:hAnsi="Trebuchet MS" w:cs="Arial"/>
                <w:bCs/>
                <w:color w:val="A5A5A5"/>
                <w:spacing w:val="5"/>
                <w:kern w:val="32"/>
                <w:sz w:val="28"/>
                <w:szCs w:val="32"/>
                <w:lang w:eastAsia="zh-CN"/>
              </w:rPr>
            </w:pPr>
          </w:p>
          <w:p w14:paraId="7E45C9D0" w14:textId="7E32F08C" w:rsidR="00927281" w:rsidRPr="00D80606" w:rsidRDefault="00927281"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Wpływ współpracy transnarodowej zależy m.in. od stopnia, w jakim wyniki projektów Interreg mogą być przeniesione do innych, większych pod względem finansowym, programów i inicjatyw europejskich lub krajowych, a także od ich skali. Dlatego też koordynacja i współpraca z innymi instrumentami finansowania stwarza możliwości kapitalizacji produktów i rezultatów projektów, a w konsekwencji zwielokrotnienia ich oddziaływania terytorialnego.</w:t>
            </w:r>
          </w:p>
          <w:p w14:paraId="2F2D4EA2" w14:textId="77777777" w:rsidR="00CB5754" w:rsidRPr="00D80606" w:rsidRDefault="00C62148"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lastRenderedPageBreak/>
              <w:t xml:space="preserve">Program Interreg EUROPA ŚRODKOWA ma na celu wykorzystanie synergii i komplementarności z: </w:t>
            </w:r>
          </w:p>
          <w:p w14:paraId="2F1F68D0" w14:textId="7867A5A8" w:rsidR="00CB5754" w:rsidRPr="00D80606" w:rsidRDefault="00C62148" w:rsidP="00D80606">
            <w:pPr>
              <w:pStyle w:val="Akapitzlist"/>
              <w:widowControl w:val="0"/>
              <w:numPr>
                <w:ilvl w:val="0"/>
                <w:numId w:val="76"/>
              </w:numPr>
              <w:spacing w:before="0"/>
              <w:ind w:right="0"/>
              <w:jc w:val="left"/>
              <w:rPr>
                <w:rFonts w:ascii="Trebuchet MS" w:eastAsia="Calibri" w:hAnsi="Trebuchet MS"/>
                <w:sz w:val="24"/>
                <w:szCs w:val="24"/>
              </w:rPr>
            </w:pPr>
            <w:r w:rsidRPr="00D80606">
              <w:rPr>
                <w:rFonts w:ascii="Trebuchet MS" w:hAnsi="Trebuchet MS"/>
                <w:sz w:val="24"/>
                <w:szCs w:val="24"/>
              </w:rPr>
              <w:t xml:space="preserve">innymi programami Interreg; </w:t>
            </w:r>
          </w:p>
          <w:p w14:paraId="35DDBBC6" w14:textId="5C183E06" w:rsidR="00CB5754" w:rsidRPr="00D80606" w:rsidRDefault="00C62148" w:rsidP="00D80606">
            <w:pPr>
              <w:pStyle w:val="Akapitzlist"/>
              <w:widowControl w:val="0"/>
              <w:numPr>
                <w:ilvl w:val="0"/>
                <w:numId w:val="76"/>
              </w:numPr>
              <w:spacing w:before="0"/>
              <w:ind w:right="0"/>
              <w:jc w:val="left"/>
              <w:rPr>
                <w:rFonts w:ascii="Trebuchet MS" w:eastAsia="Calibri" w:hAnsi="Trebuchet MS"/>
                <w:sz w:val="24"/>
                <w:szCs w:val="24"/>
              </w:rPr>
            </w:pPr>
            <w:r w:rsidRPr="00D80606">
              <w:rPr>
                <w:rFonts w:ascii="Trebuchet MS" w:hAnsi="Trebuchet MS"/>
                <w:sz w:val="24"/>
                <w:szCs w:val="24"/>
              </w:rPr>
              <w:t xml:space="preserve">regionalnymi i krajowymi programami polityki spójności </w:t>
            </w:r>
            <w:r w:rsidR="00BC653A" w:rsidRPr="00D80606">
              <w:rPr>
                <w:rFonts w:ascii="Trebuchet MS" w:hAnsi="Trebuchet MS"/>
                <w:sz w:val="24"/>
                <w:szCs w:val="24"/>
              </w:rPr>
              <w:t>istotnymi</w:t>
            </w:r>
            <w:r w:rsidRPr="00D80606">
              <w:rPr>
                <w:rFonts w:ascii="Trebuchet MS" w:hAnsi="Trebuchet MS"/>
                <w:sz w:val="24"/>
                <w:szCs w:val="24"/>
              </w:rPr>
              <w:t xml:space="preserve"> dla państw Europy Środkowej; oraz </w:t>
            </w:r>
          </w:p>
          <w:p w14:paraId="565C19E9" w14:textId="32013B60" w:rsidR="00927281" w:rsidRPr="00D80606" w:rsidRDefault="00BC653A" w:rsidP="00D80606">
            <w:pPr>
              <w:pStyle w:val="Akapitzlist"/>
              <w:widowControl w:val="0"/>
              <w:numPr>
                <w:ilvl w:val="0"/>
                <w:numId w:val="76"/>
              </w:numPr>
              <w:spacing w:before="0"/>
              <w:ind w:right="0"/>
              <w:jc w:val="left"/>
              <w:rPr>
                <w:rFonts w:ascii="Trebuchet MS" w:eastAsia="Calibri" w:hAnsi="Trebuchet MS"/>
                <w:sz w:val="24"/>
                <w:szCs w:val="24"/>
              </w:rPr>
            </w:pPr>
            <w:r w:rsidRPr="00D80606">
              <w:rPr>
                <w:rFonts w:ascii="Trebuchet MS" w:hAnsi="Trebuchet MS"/>
                <w:sz w:val="24"/>
                <w:szCs w:val="24"/>
              </w:rPr>
              <w:t xml:space="preserve"> ogólnounijnymi</w:t>
            </w:r>
            <w:r w:rsidR="00C62148" w:rsidRPr="00D80606">
              <w:rPr>
                <w:rFonts w:ascii="Trebuchet MS" w:hAnsi="Trebuchet MS"/>
                <w:sz w:val="24"/>
                <w:szCs w:val="24"/>
              </w:rPr>
              <w:t xml:space="preserve"> programami, inicjatywami i funduszami, w tym programami „Horizon 2020” i „Horyzont Europa”, programem LIFE, programami finansowanymi w ramach Wspólnego Funduszu Transformacji, instrumentu „Łącząc Europę” (CEF), programu „Kreatywna Europa” itp. </w:t>
            </w:r>
          </w:p>
          <w:p w14:paraId="552F5041" w14:textId="77777777" w:rsidR="00CB5754" w:rsidRPr="00D80606" w:rsidRDefault="00CB5754" w:rsidP="00D80606">
            <w:pPr>
              <w:widowControl w:val="0"/>
              <w:spacing w:before="0" w:after="160"/>
              <w:ind w:left="0" w:right="0"/>
              <w:jc w:val="left"/>
              <w:rPr>
                <w:rFonts w:ascii="Trebuchet MS" w:eastAsia="Calibri" w:hAnsi="Trebuchet MS"/>
                <w:sz w:val="24"/>
                <w:szCs w:val="24"/>
              </w:rPr>
            </w:pPr>
          </w:p>
          <w:p w14:paraId="54E01FAB" w14:textId="6D7FA6CF" w:rsidR="00FE0E4D" w:rsidRPr="00D80606" w:rsidRDefault="00FE0E4D"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Wdrożenie takich synergii będzie miało miejsce w trakcie całego cyklu życia programu. </w:t>
            </w:r>
          </w:p>
          <w:p w14:paraId="352BD7DC" w14:textId="0226AEA8" w:rsidR="00FE0E4D" w:rsidRPr="00D80606" w:rsidRDefault="00FE0E4D"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Podczas </w:t>
            </w:r>
            <w:r w:rsidRPr="00D80606">
              <w:rPr>
                <w:rFonts w:ascii="Trebuchet MS" w:hAnsi="Trebuchet MS"/>
                <w:b/>
                <w:sz w:val="24"/>
                <w:szCs w:val="24"/>
              </w:rPr>
              <w:t>programowania</w:t>
            </w:r>
            <w:r w:rsidRPr="00D80606">
              <w:rPr>
                <w:rFonts w:ascii="Trebuchet MS" w:hAnsi="Trebuchet MS"/>
                <w:sz w:val="24"/>
                <w:szCs w:val="24"/>
              </w:rPr>
              <w:t xml:space="preserve"> szczególną uwagę zwrócono na sześć transnarodowych programów Interreg, które częściowo pokrywają się geograficznie z programem Interreg dla Europy Środkowej (przestrzeń alpejska, Morze Adriatyckie - Morze Jońskie, Morze Bałtyckie, Dunaj, Morze Śródziemne, Morze Północne, Północ-Zachód). Angażując partnerów w proces programowania, władze tych programów zostały potraktowane w sposób szczególny (patrz również sekcja 4). Pozwoliło to na omówienie synergii i komplementarności, jak również na zebranie informacji zwrotnych na temat projektu logiki interwencji programu Interreg EUROPA ŚRODKOWA. Bardziej ogólnie, proces programowania programu Interreg EUROPA ŚRODKOWA wykorzystał fakt, że niektórzy członkowie komitetu programowego (Grupa Robocza CE21+) są jednocześnie zaangażowani w komitety programowe innych transnarodowych programów Interreg, co ułatwia wymianę informacji między komitetami.</w:t>
            </w:r>
          </w:p>
          <w:p w14:paraId="78D0F902" w14:textId="1ADF583A" w:rsidR="00FE0E4D" w:rsidRPr="00D80606" w:rsidRDefault="00CB5754"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Większość synergii będzie uzyskiwana podczas </w:t>
            </w:r>
            <w:r w:rsidRPr="00D80606">
              <w:rPr>
                <w:rFonts w:ascii="Trebuchet MS" w:hAnsi="Trebuchet MS"/>
                <w:b/>
                <w:sz w:val="24"/>
                <w:szCs w:val="24"/>
              </w:rPr>
              <w:t>realizacji programu</w:t>
            </w:r>
            <w:r w:rsidRPr="00D80606">
              <w:rPr>
                <w:rFonts w:ascii="Trebuchet MS" w:hAnsi="Trebuchet MS"/>
                <w:sz w:val="24"/>
                <w:szCs w:val="24"/>
              </w:rPr>
              <w:t>, zgodnie z następującymi zasadami:</w:t>
            </w:r>
          </w:p>
          <w:p w14:paraId="03EDCCDF" w14:textId="5A6BA3EA" w:rsidR="00FE0E4D" w:rsidRPr="00D80606" w:rsidRDefault="00CB5754" w:rsidP="00D80606">
            <w:pPr>
              <w:widowControl w:val="0"/>
              <w:numPr>
                <w:ilvl w:val="0"/>
                <w:numId w:val="60"/>
              </w:numPr>
              <w:spacing w:before="0" w:after="160"/>
              <w:ind w:left="714" w:right="0" w:hanging="357"/>
              <w:contextualSpacing/>
              <w:jc w:val="left"/>
              <w:rPr>
                <w:rFonts w:ascii="Trebuchet MS" w:eastAsia="Calibri" w:hAnsi="Trebuchet MS"/>
                <w:sz w:val="24"/>
                <w:szCs w:val="24"/>
              </w:rPr>
            </w:pPr>
            <w:r w:rsidRPr="00D80606">
              <w:rPr>
                <w:rFonts w:ascii="Trebuchet MS" w:hAnsi="Trebuchet MS"/>
                <w:b/>
                <w:sz w:val="24"/>
                <w:szCs w:val="24"/>
              </w:rPr>
              <w:t>Ogólnie rzecz biorąc,</w:t>
            </w:r>
            <w:r w:rsidRPr="00D80606">
              <w:rPr>
                <w:rFonts w:ascii="Trebuchet MS" w:hAnsi="Trebuchet MS"/>
                <w:sz w:val="24"/>
                <w:szCs w:val="24"/>
              </w:rPr>
              <w:t xml:space="preserve"> przy składaniu wniosków projektowych wnioskodawcy będą musieli opisać spójność i komplementarność z programami unijnymi, krajowymi i regionalnymi w sekcji ad hoc w formularzu wniosku. Informacje te będą podlegały ocenie.</w:t>
            </w:r>
          </w:p>
          <w:p w14:paraId="54D94653" w14:textId="77777777" w:rsidR="00FE0E4D" w:rsidRPr="00D80606" w:rsidRDefault="00FE0E4D" w:rsidP="00D80606">
            <w:pPr>
              <w:widowControl w:val="0"/>
              <w:numPr>
                <w:ilvl w:val="0"/>
                <w:numId w:val="60"/>
              </w:numPr>
              <w:spacing w:before="0" w:after="160"/>
              <w:ind w:left="714" w:right="0" w:hanging="357"/>
              <w:contextualSpacing/>
              <w:jc w:val="left"/>
              <w:rPr>
                <w:rFonts w:ascii="Trebuchet MS" w:eastAsia="Calibri" w:hAnsi="Trebuchet MS"/>
                <w:sz w:val="24"/>
                <w:szCs w:val="24"/>
              </w:rPr>
            </w:pPr>
            <w:r w:rsidRPr="00D80606">
              <w:rPr>
                <w:rFonts w:ascii="Trebuchet MS" w:hAnsi="Trebuchet MS"/>
                <w:b/>
                <w:sz w:val="24"/>
                <w:szCs w:val="24"/>
              </w:rPr>
              <w:t>Nakładające się programy Interreg</w:t>
            </w:r>
            <w:r w:rsidRPr="00D80606">
              <w:rPr>
                <w:rFonts w:ascii="Trebuchet MS" w:hAnsi="Trebuchet MS"/>
                <w:sz w:val="24"/>
                <w:szCs w:val="24"/>
              </w:rPr>
              <w:t xml:space="preserve">: ciągła wymiana informacji z zainteresowanymi IZ/WS, szczególnie podczas oceny i monitorowania projektu. Pozwoli to na proaktywne wspieranie synergii między projektami i ograniczenie ryzyka podwójnego finansowania. Ponadto działania kapitalizacyjne określone przez program (np. celowane zaproszenia) pozwolą na uruchomienie synergii i komplementarności pomiędzy projektami Interreg EUROPA ŚRODKOWA a projektami finansowanymi przez inne programy Interreg. </w:t>
            </w:r>
          </w:p>
          <w:p w14:paraId="2E6BCAA6" w14:textId="71E95E71" w:rsidR="00FE0E4D" w:rsidRPr="00D80606" w:rsidRDefault="00FE0E4D" w:rsidP="00D80606">
            <w:pPr>
              <w:widowControl w:val="0"/>
              <w:numPr>
                <w:ilvl w:val="0"/>
                <w:numId w:val="60"/>
              </w:numPr>
              <w:spacing w:before="0" w:after="160"/>
              <w:ind w:left="714" w:right="0" w:hanging="357"/>
              <w:contextualSpacing/>
              <w:jc w:val="left"/>
              <w:rPr>
                <w:rFonts w:ascii="Trebuchet MS" w:eastAsia="Calibri" w:hAnsi="Trebuchet MS"/>
                <w:sz w:val="24"/>
                <w:szCs w:val="24"/>
              </w:rPr>
            </w:pPr>
            <w:r w:rsidRPr="00D80606">
              <w:rPr>
                <w:rFonts w:ascii="Trebuchet MS" w:hAnsi="Trebuchet MS"/>
                <w:b/>
                <w:sz w:val="24"/>
                <w:szCs w:val="24"/>
              </w:rPr>
              <w:t>Programy UE zarządzane centralnie</w:t>
            </w:r>
            <w:r w:rsidRPr="00D80606">
              <w:rPr>
                <w:rFonts w:ascii="Trebuchet MS" w:hAnsi="Trebuchet MS"/>
                <w:sz w:val="24"/>
                <w:szCs w:val="24"/>
              </w:rPr>
              <w:t xml:space="preserve">: doświadczenia z kapitalizacją </w:t>
            </w:r>
            <w:r w:rsidRPr="00D80606">
              <w:rPr>
                <w:rFonts w:ascii="Trebuchet MS" w:hAnsi="Trebuchet MS"/>
                <w:sz w:val="24"/>
                <w:szCs w:val="24"/>
              </w:rPr>
              <w:lastRenderedPageBreak/>
              <w:t xml:space="preserve">rezultatów Interreg EUROPA ŚRODKOWA 2014-2020 będą wspierać kapitalizację rezultatów Interreg CE 2021-2027 w koordynacji z innymi programami UE. </w:t>
            </w:r>
          </w:p>
          <w:p w14:paraId="784A1CBD" w14:textId="30EA0AC8" w:rsidR="00FE0E4D" w:rsidRPr="00D80606" w:rsidRDefault="00FE0E4D" w:rsidP="00D80606">
            <w:pPr>
              <w:widowControl w:val="0"/>
              <w:numPr>
                <w:ilvl w:val="0"/>
                <w:numId w:val="60"/>
              </w:numPr>
              <w:spacing w:before="0" w:after="160"/>
              <w:ind w:left="714" w:right="0" w:hanging="357"/>
              <w:contextualSpacing/>
              <w:jc w:val="left"/>
              <w:rPr>
                <w:rFonts w:ascii="Trebuchet MS" w:eastAsia="Calibri" w:hAnsi="Trebuchet MS"/>
                <w:sz w:val="24"/>
                <w:szCs w:val="24"/>
              </w:rPr>
            </w:pPr>
            <w:r w:rsidRPr="00D80606">
              <w:rPr>
                <w:rFonts w:ascii="Trebuchet MS" w:hAnsi="Trebuchet MS"/>
                <w:b/>
                <w:sz w:val="24"/>
                <w:szCs w:val="24"/>
              </w:rPr>
              <w:t>Inne programy polityki spójności</w:t>
            </w:r>
            <w:r w:rsidRPr="00D80606">
              <w:rPr>
                <w:rFonts w:ascii="Trebuchet MS" w:hAnsi="Trebuchet MS"/>
                <w:sz w:val="24"/>
                <w:szCs w:val="24"/>
              </w:rPr>
              <w:t xml:space="preserve">: koordynacja będzie prowadzona przez </w:t>
            </w:r>
            <w:r w:rsidRPr="00D80606">
              <w:rPr>
                <w:rFonts w:ascii="Trebuchet MS" w:hAnsi="Trebuchet MS"/>
                <w:color w:val="0C0C0C" w:themeColor="text1"/>
                <w:sz w:val="24"/>
                <w:szCs w:val="24"/>
              </w:rPr>
              <w:t xml:space="preserve">komitety krajowe </w:t>
            </w:r>
            <w:r w:rsidRPr="00D80606">
              <w:rPr>
                <w:rFonts w:ascii="Trebuchet MS" w:hAnsi="Trebuchet MS"/>
                <w:sz w:val="24"/>
                <w:szCs w:val="24"/>
              </w:rPr>
              <w:t xml:space="preserve">(lub inne mechanizmy/organy ustanowione przepisami krajowymi) </w:t>
            </w:r>
            <w:r w:rsidRPr="00D80606">
              <w:rPr>
                <w:rFonts w:ascii="Trebuchet MS" w:hAnsi="Trebuchet MS"/>
                <w:color w:val="0C0C0C" w:themeColor="text1"/>
                <w:sz w:val="24"/>
                <w:szCs w:val="24"/>
              </w:rPr>
              <w:t>z udziałem przedstawicieli instytucji uczestniczących w realizacji programów krajowych i regionalnych</w:t>
            </w:r>
            <w:r w:rsidRPr="00D80606">
              <w:rPr>
                <w:sz w:val="24"/>
                <w:szCs w:val="24"/>
              </w:rPr>
              <w:t>.</w:t>
            </w:r>
            <w:r w:rsidRPr="00D80606">
              <w:rPr>
                <w:rFonts w:ascii="Trebuchet MS" w:hAnsi="Trebuchet MS"/>
                <w:color w:val="0C0C0C" w:themeColor="text1"/>
                <w:sz w:val="24"/>
                <w:szCs w:val="24"/>
              </w:rPr>
              <w:t xml:space="preserve"> Ponadto odpowiednie ustalenia dotyczące kontroli i środki zwalczania nadużyć finansowych pozwolą ograniczyć ryzyko podwójnego finansowania.</w:t>
            </w:r>
          </w:p>
          <w:p w14:paraId="4E3D8814" w14:textId="77777777" w:rsidR="00FE0E4D" w:rsidRPr="00D80606" w:rsidRDefault="00FE0E4D" w:rsidP="00D80606">
            <w:pPr>
              <w:widowControl w:val="0"/>
              <w:spacing w:before="0" w:after="160"/>
              <w:ind w:left="0" w:right="0"/>
              <w:jc w:val="left"/>
              <w:rPr>
                <w:rFonts w:ascii="Trebuchet MS" w:eastAsia="Calibri" w:hAnsi="Trebuchet MS"/>
                <w:sz w:val="24"/>
                <w:szCs w:val="24"/>
              </w:rPr>
            </w:pPr>
          </w:p>
          <w:p w14:paraId="299A4634" w14:textId="77777777" w:rsidR="00FE0E4D" w:rsidRPr="00D80606" w:rsidRDefault="00FE0E4D"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Szczegółowe procedury realizacji powyższych działań zostaną określone w opisie systemu zarządzania i kontroli programu oraz w „Podręczniku programu” określającym zasady uczestnictwa w programie Interreg EUROPA ŚRODKOWA.</w:t>
            </w:r>
          </w:p>
          <w:p w14:paraId="513680DC" w14:textId="3238C6A8" w:rsidR="00FE0E4D" w:rsidRPr="00D80606" w:rsidRDefault="001A55F3"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Program Interreg EUROPA ŚRODKOWA odgrywa również ważną funkcję pomostową pomiędzy czterema </w:t>
            </w:r>
            <w:r w:rsidRPr="00D80606">
              <w:rPr>
                <w:rFonts w:ascii="Trebuchet MS" w:hAnsi="Trebuchet MS"/>
                <w:b/>
                <w:sz w:val="24"/>
                <w:szCs w:val="24"/>
              </w:rPr>
              <w:t>unijnymi strategiami makroregionalnymi (MRS)</w:t>
            </w:r>
            <w:r w:rsidRPr="00D80606">
              <w:rPr>
                <w:rFonts w:ascii="Trebuchet MS" w:hAnsi="Trebuchet MS"/>
                <w:sz w:val="24"/>
                <w:szCs w:val="24"/>
              </w:rPr>
              <w:t>, a mianowicie EUSDR, EUSALP, EUSAIR i EUSBSR. Jest to jedyny program Interreg, który dzieli częś</w:t>
            </w:r>
            <w:r w:rsidR="00606632">
              <w:rPr>
                <w:rFonts w:ascii="Trebuchet MS" w:hAnsi="Trebuchet MS"/>
                <w:sz w:val="24"/>
                <w:szCs w:val="24"/>
              </w:rPr>
              <w:t>ci</w:t>
            </w:r>
            <w:r w:rsidRPr="00D80606">
              <w:rPr>
                <w:rFonts w:ascii="Trebuchet MS" w:hAnsi="Trebuchet MS"/>
                <w:sz w:val="24"/>
                <w:szCs w:val="24"/>
              </w:rPr>
              <w:t xml:space="preserve"> swojego obszaru współpracy </w:t>
            </w:r>
            <w:r w:rsidR="00606632">
              <w:rPr>
                <w:rFonts w:ascii="Trebuchet MS" w:hAnsi="Trebuchet MS"/>
                <w:sz w:val="24"/>
                <w:szCs w:val="24"/>
              </w:rPr>
              <w:t>z nimi wszystkimi</w:t>
            </w:r>
            <w:r w:rsidRPr="00D80606">
              <w:rPr>
                <w:rFonts w:ascii="Trebuchet MS" w:hAnsi="Trebuchet MS"/>
                <w:sz w:val="24"/>
                <w:szCs w:val="24"/>
              </w:rPr>
              <w:t>. Program Interreg EUROPA ŚRODKOWA staje się zatem quasi-naturalnym ośrodkiem, który może ułatwić współpracę pomiędzy tymi czterema MRS. Wykorzystanie elastyczności geograficznej, o której mowa w art. 22 ust. 1 rozporządzenia o Interreg, pozwoli na zaangażowanie partnerów spoza obszaru objętego programem, tworząc w ten sposób powiązania i uruchamiając synergie w obrębie makroregionów i korytarzy oraz pomiędzy nimi. Program ma również potencjał do wzmocnienia współpracy krajów karpackich.</w:t>
            </w:r>
          </w:p>
          <w:p w14:paraId="39C2E8A8" w14:textId="259FEB95" w:rsidR="00D33189" w:rsidRPr="00D80606" w:rsidRDefault="00FE0E4D" w:rsidP="00D80606">
            <w:pPr>
              <w:widowControl w:val="0"/>
              <w:spacing w:before="0" w:after="160"/>
              <w:ind w:left="0" w:right="0"/>
              <w:jc w:val="left"/>
              <w:rPr>
                <w:rFonts w:ascii="Trebuchet MS" w:eastAsia="Calibri" w:hAnsi="Trebuchet MS"/>
                <w:sz w:val="24"/>
                <w:szCs w:val="24"/>
              </w:rPr>
            </w:pPr>
            <w:r w:rsidRPr="00D80606">
              <w:rPr>
                <w:rFonts w:asciiTheme="minorHAnsi" w:hAnsiTheme="minorHAnsi"/>
                <w:sz w:val="24"/>
                <w:szCs w:val="24"/>
              </w:rPr>
              <w:t>Podejście to jest dodatkowo uzasadnione faktem, że podczas procesu angażowania partnerów (zob. rozdział 4)</w:t>
            </w:r>
            <w:r w:rsidRPr="00D80606">
              <w:rPr>
                <w:rFonts w:ascii="Trebuchet MS" w:hAnsi="Trebuchet MS"/>
                <w:sz w:val="24"/>
                <w:szCs w:val="24"/>
              </w:rPr>
              <w:t xml:space="preserve"> </w:t>
            </w:r>
            <w:r w:rsidRPr="00D80606">
              <w:rPr>
                <w:rFonts w:asciiTheme="minorHAnsi" w:hAnsiTheme="minorHAnsi"/>
                <w:sz w:val="24"/>
                <w:szCs w:val="24"/>
              </w:rPr>
              <w:t>obszary tematyczne i działania przewidziane w programie dla Europy Środkowej (WŚ) zostały uznane za bardzo ważne przez interesariuszy z czterech MRS dla realizacji ich odpowiednich planów działania w zakresie MRS.</w:t>
            </w:r>
          </w:p>
          <w:p w14:paraId="5C40955D" w14:textId="17B8EDEC" w:rsidR="00927281" w:rsidRPr="00680741" w:rsidRDefault="00927281" w:rsidP="00C023D4">
            <w:pPr>
              <w:widowControl w:val="0"/>
              <w:spacing w:before="0" w:after="160" w:line="259" w:lineRule="auto"/>
              <w:ind w:left="0" w:right="0"/>
              <w:rPr>
                <w:rFonts w:ascii="Trebuchet MS" w:eastAsia="Calibri" w:hAnsi="Trebuchet MS"/>
                <w:szCs w:val="22"/>
              </w:rPr>
            </w:pPr>
          </w:p>
          <w:p w14:paraId="34AF0394" w14:textId="6F0A5E0C" w:rsidR="00927281" w:rsidRDefault="00927281" w:rsidP="007C147D">
            <w:pPr>
              <w:widowControl w:val="0"/>
              <w:spacing w:before="360" w:after="240" w:line="280" w:lineRule="atLeast"/>
              <w:ind w:left="0" w:right="0"/>
              <w:contextualSpacing/>
              <w:jc w:val="left"/>
              <w:outlineLvl w:val="0"/>
              <w:rPr>
                <w:rFonts w:ascii="Trebuchet MS" w:eastAsia="SimSun" w:hAnsi="Trebuchet MS" w:cs="Arial"/>
                <w:b/>
                <w:bCs/>
                <w:color w:val="A5A5A5"/>
                <w:spacing w:val="5"/>
                <w:kern w:val="32"/>
                <w:sz w:val="28"/>
                <w:szCs w:val="32"/>
              </w:rPr>
            </w:pPr>
            <w:bookmarkStart w:id="77" w:name="_Toc61245863"/>
            <w:bookmarkStart w:id="78" w:name="_Toc61246202"/>
            <w:bookmarkStart w:id="79" w:name="_Toc63770033"/>
            <w:bookmarkStart w:id="80" w:name="_Toc64026048"/>
            <w:bookmarkStart w:id="81" w:name="_Toc71036596"/>
            <w:r>
              <w:rPr>
                <w:rFonts w:ascii="Trebuchet MS" w:hAnsi="Trebuchet MS"/>
                <w:b/>
                <w:color w:val="A5A5A5"/>
                <w:sz w:val="28"/>
              </w:rPr>
              <w:t>Wizja, misja i zasady realizacji programu</w:t>
            </w:r>
            <w:bookmarkEnd w:id="77"/>
            <w:bookmarkEnd w:id="78"/>
            <w:bookmarkEnd w:id="79"/>
            <w:bookmarkEnd w:id="80"/>
            <w:bookmarkEnd w:id="81"/>
          </w:p>
          <w:p w14:paraId="143C0E42" w14:textId="77777777" w:rsidR="005924F3" w:rsidRPr="00680741" w:rsidRDefault="005924F3" w:rsidP="007C147D">
            <w:pPr>
              <w:widowControl w:val="0"/>
              <w:spacing w:before="360" w:after="240" w:line="280" w:lineRule="atLeast"/>
              <w:ind w:left="0" w:right="0"/>
              <w:contextualSpacing/>
              <w:jc w:val="left"/>
              <w:outlineLvl w:val="0"/>
              <w:rPr>
                <w:rFonts w:ascii="Trebuchet MS" w:eastAsia="SimSun" w:hAnsi="Trebuchet MS" w:cs="Arial"/>
                <w:b/>
                <w:bCs/>
                <w:color w:val="A5A5A5"/>
                <w:spacing w:val="5"/>
                <w:kern w:val="32"/>
                <w:sz w:val="28"/>
                <w:szCs w:val="32"/>
                <w:lang w:eastAsia="zh-CN"/>
              </w:rPr>
            </w:pPr>
          </w:p>
          <w:p w14:paraId="517B69B6" w14:textId="466DC011" w:rsidR="001336BA" w:rsidRPr="00D80606" w:rsidRDefault="001336BA" w:rsidP="00277B6A">
            <w:pPr>
              <w:widowControl w:val="0"/>
              <w:spacing w:after="120" w:line="290" w:lineRule="atLeast"/>
              <w:ind w:left="0" w:right="0"/>
              <w:jc w:val="left"/>
              <w:outlineLvl w:val="1"/>
              <w:rPr>
                <w:rFonts w:ascii="Trebuchet MS" w:eastAsia="Calibri" w:hAnsi="Trebuchet MS"/>
                <w:b/>
                <w:iCs/>
                <w:color w:val="808080"/>
                <w:sz w:val="26"/>
                <w:szCs w:val="26"/>
              </w:rPr>
            </w:pPr>
            <w:bookmarkStart w:id="82" w:name="_Toc61245864"/>
            <w:bookmarkStart w:id="83" w:name="_Toc61246203"/>
            <w:bookmarkStart w:id="84" w:name="_Toc63770034"/>
            <w:bookmarkStart w:id="85" w:name="_Toc64026049"/>
            <w:bookmarkStart w:id="86" w:name="_Toc71036597"/>
            <w:r w:rsidRPr="00D80606">
              <w:rPr>
                <w:rFonts w:ascii="Trebuchet MS" w:hAnsi="Trebuchet MS"/>
                <w:b/>
                <w:color w:val="808080"/>
                <w:sz w:val="26"/>
                <w:szCs w:val="26"/>
              </w:rPr>
              <w:t>Wizja i misja Programu</w:t>
            </w:r>
            <w:bookmarkEnd w:id="82"/>
            <w:bookmarkEnd w:id="83"/>
            <w:bookmarkEnd w:id="84"/>
            <w:bookmarkEnd w:id="85"/>
            <w:bookmarkEnd w:id="86"/>
            <w:r w:rsidRPr="00D80606">
              <w:rPr>
                <w:rFonts w:ascii="Trebuchet MS" w:hAnsi="Trebuchet MS"/>
                <w:b/>
                <w:color w:val="808080"/>
                <w:sz w:val="26"/>
                <w:szCs w:val="26"/>
              </w:rPr>
              <w:t xml:space="preserve"> </w:t>
            </w:r>
          </w:p>
          <w:p w14:paraId="0B3DF5F7" w14:textId="2F65DE4E" w:rsidR="00126F2C" w:rsidRPr="00D80606" w:rsidRDefault="00126F2C" w:rsidP="00D80606">
            <w:pPr>
              <w:pStyle w:val="CE-StandardText"/>
              <w:jc w:val="left"/>
              <w:rPr>
                <w:sz w:val="24"/>
                <w:szCs w:val="24"/>
              </w:rPr>
            </w:pPr>
            <w:r w:rsidRPr="00D80606">
              <w:rPr>
                <w:sz w:val="24"/>
                <w:szCs w:val="24"/>
              </w:rPr>
              <w:t xml:space="preserve">Powyższa analiza terytorialna wskazuje, że Europa Środkowa znajduje się w okresie przejściowym, a regiony i miasta stoją w obliczu licznych wyzwań, które nie znają granic i nie mogą być rozwiązane w pojedynkę. Analiza wyraźnie wzmacnia znaczenie niedawno zaktualizowanej Agendy Terytorialnej 2030 (AT 2030), w której decydenci uznali, że nierówności między miejscami i ludźmi rosną, a niezrównoważony rozwój osiągnął poziom krytyczny. </w:t>
            </w:r>
          </w:p>
          <w:p w14:paraId="31842BC8" w14:textId="5C089357" w:rsidR="00126F2C" w:rsidRPr="00D80606" w:rsidRDefault="00126F2C" w:rsidP="00D80606">
            <w:pPr>
              <w:pStyle w:val="CE-StandardText"/>
              <w:jc w:val="left"/>
              <w:rPr>
                <w:sz w:val="24"/>
                <w:szCs w:val="24"/>
              </w:rPr>
            </w:pPr>
            <w:r w:rsidRPr="00D80606">
              <w:rPr>
                <w:sz w:val="24"/>
                <w:szCs w:val="24"/>
              </w:rPr>
              <w:t xml:space="preserve">Agenda Terytorialna 2030 wzywa zatem do bardziej skoordynowanych działań na </w:t>
            </w:r>
            <w:r w:rsidRPr="00D80606">
              <w:rPr>
                <w:sz w:val="24"/>
                <w:szCs w:val="24"/>
              </w:rPr>
              <w:lastRenderedPageBreak/>
              <w:t>wszystkich poziomach geograficznych i poziomach zarządzania, aby zapewnić lepsze perspektywy dla wszystkich ludzi, społeczności i miejsc w Europie. Wzywa ona decydentów do lepszego zrozumienia i odpowiedniego uwzględnienia w zintegrowany sposób terytorialnych skutków polityk sektorowych oraz domaga się, aby przyszłe działania przyczyniały się do zrównoważonego rozwoju i do utrzymania Europy razem.</w:t>
            </w:r>
          </w:p>
          <w:p w14:paraId="3F4FD479" w14:textId="22712D8D" w:rsidR="0056466C" w:rsidRPr="00D80606" w:rsidRDefault="0056466C" w:rsidP="00D80606">
            <w:pPr>
              <w:widowControl w:val="0"/>
              <w:ind w:left="0" w:right="0"/>
              <w:jc w:val="left"/>
              <w:rPr>
                <w:rFonts w:ascii="Trebuchet MS" w:eastAsia="Calibri" w:hAnsi="Trebuchet MS"/>
                <w:sz w:val="24"/>
                <w:szCs w:val="24"/>
              </w:rPr>
            </w:pPr>
            <w:r w:rsidRPr="00D80606">
              <w:rPr>
                <w:rFonts w:ascii="Trebuchet MS" w:hAnsi="Trebuchet MS"/>
                <w:sz w:val="24"/>
                <w:szCs w:val="24"/>
              </w:rPr>
              <w:t>Program Interreg EUROPA ŚRODKOWA zajmuje się najpilniejszymi wspólnymi wyzwaniami w samym sercu Europy, zgodnie z tymi politycznymi wymaganiami. Wizja programu to zjednoczona, współpracująca Europa Środkowa, która ma stać się bardziej inteligentna, bardziej ekologiczna i lepiej połączona. Opierając się na wspólnych potrzebach i wspólnej tożsamości na obszarze przez długi czas podzielonym żelazną kurtyną, ten program ma na celu stworzenie opartej na zaufaniu kultury współpracy ponad granicami administracyjnymi.</w:t>
            </w:r>
          </w:p>
          <w:p w14:paraId="7496EC50" w14:textId="26C2F0A7" w:rsidR="0056466C" w:rsidRPr="00D80606" w:rsidRDefault="0056466C" w:rsidP="00D80606">
            <w:pPr>
              <w:widowControl w:val="0"/>
              <w:ind w:left="0" w:right="0"/>
              <w:jc w:val="left"/>
              <w:rPr>
                <w:rFonts w:ascii="Trebuchet MS" w:eastAsia="Calibri" w:hAnsi="Trebuchet MS"/>
                <w:sz w:val="24"/>
                <w:szCs w:val="24"/>
              </w:rPr>
            </w:pPr>
            <w:r w:rsidRPr="00D80606">
              <w:rPr>
                <w:rFonts w:ascii="Trebuchet MS" w:hAnsi="Trebuchet MS"/>
                <w:sz w:val="24"/>
                <w:szCs w:val="24"/>
              </w:rPr>
              <w:t>Misją programu jest łączenie regionów i miast ponad granicami państwowymi, w celu znalezienia odpowiednich rozwiązań dla swoich obywateli w sprawiedliwy i równy sposób na całym obszarze programu. Program zachęca do współpracy transnarodowej i ją wspiera, tak aby regiony stały się bardziej odporne na wspólne wyzwania, które nie znają granic, i których nie da się rozwiązać w pojedynkę. Wyzwania te obejmują m.in. procesy transformacji gospodarczej, zmiany klimatu oraz długoterminowe społeczno-gospodarcze skutki pandemii Covid-19.</w:t>
            </w:r>
          </w:p>
          <w:p w14:paraId="2B794913" w14:textId="77777777" w:rsidR="00126F2C" w:rsidRPr="00D80606" w:rsidRDefault="00126F2C"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Opierając się na wspólnych potrzebach i wspólnej tożsamości, program ma na celu stworzenie wspólnej kultury współpracy. Współpraca ma kluczowe znaczenie dla miast i regionów, aby stały się miejscami, które są bardziej odporne i bardziej atrakcyjne do mieszkania i do pracy. </w:t>
            </w:r>
          </w:p>
          <w:p w14:paraId="325BC7BE" w14:textId="5F5D7551" w:rsidR="00734553" w:rsidRPr="00D80606" w:rsidRDefault="00734553" w:rsidP="00D80606">
            <w:pPr>
              <w:widowControl w:val="0"/>
              <w:spacing w:before="0" w:after="160"/>
              <w:ind w:left="0" w:right="0"/>
              <w:jc w:val="left"/>
              <w:rPr>
                <w:rFonts w:ascii="Trebuchet MS" w:eastAsia="Calibri" w:hAnsi="Trebuchet MS"/>
                <w:sz w:val="24"/>
                <w:szCs w:val="24"/>
              </w:rPr>
            </w:pPr>
            <w:r w:rsidRPr="00D80606">
              <w:rPr>
                <w:rFonts w:ascii="Trebuchet MS" w:hAnsi="Trebuchet MS"/>
                <w:sz w:val="24"/>
                <w:szCs w:val="24"/>
              </w:rPr>
              <w:t xml:space="preserve">W praktyce program ten łączy organizacje publiczne, sektor prywatny i społeczeństwo obywatelskie. Finansuje on projekty ponadnarodowe, w ramach których opracowuje się, testuje i wdraża rozwiązania pilnie potrzebne, aby sprawić, że Europa Środkowa stanie się bardziej odporna i atrakcyjna. Program wspiera te partnerstwa również poprzez zapewnianie doradztwa i wiedzy. </w:t>
            </w:r>
          </w:p>
          <w:p w14:paraId="68AA62B8" w14:textId="624FA457" w:rsidR="00126F2C" w:rsidRPr="00D80606" w:rsidRDefault="00126F2C" w:rsidP="00D80606">
            <w:pPr>
              <w:widowControl w:val="0"/>
              <w:spacing w:before="0" w:after="160"/>
              <w:ind w:left="0" w:right="0"/>
              <w:jc w:val="left"/>
              <w:rPr>
                <w:rFonts w:ascii="Trebuchet MS" w:eastAsia="Calibri" w:hAnsi="Trebuchet MS"/>
                <w:sz w:val="24"/>
                <w:szCs w:val="24"/>
              </w:rPr>
            </w:pPr>
            <w:r w:rsidRPr="00D80606">
              <w:rPr>
                <w:rFonts w:ascii="Trebuchet MS" w:hAnsi="Trebuchet MS"/>
                <w:b/>
                <w:sz w:val="24"/>
                <w:szCs w:val="24"/>
              </w:rPr>
              <w:t>Rodzaje</w:t>
            </w:r>
            <w:r w:rsidRPr="00D80606">
              <w:rPr>
                <w:rFonts w:ascii="Trebuchet MS" w:hAnsi="Trebuchet MS"/>
                <w:sz w:val="24"/>
                <w:szCs w:val="24"/>
              </w:rPr>
              <w:t xml:space="preserve"> </w:t>
            </w:r>
            <w:r w:rsidRPr="00D80606">
              <w:rPr>
                <w:rFonts w:ascii="Trebuchet MS" w:hAnsi="Trebuchet MS"/>
                <w:b/>
                <w:sz w:val="24"/>
                <w:szCs w:val="24"/>
              </w:rPr>
              <w:t>rezultatów</w:t>
            </w:r>
            <w:r w:rsidRPr="00D80606">
              <w:rPr>
                <w:rFonts w:ascii="Trebuchet MS" w:hAnsi="Trebuchet MS"/>
                <w:sz w:val="24"/>
                <w:szCs w:val="24"/>
              </w:rPr>
              <w:t xml:space="preserve"> osiągniętych w ramach tych projektów można sklasyfikować następująco: </w:t>
            </w:r>
          </w:p>
          <w:p w14:paraId="6B9A1A89" w14:textId="77777777" w:rsidR="00126F2C" w:rsidRPr="00D80606" w:rsidRDefault="00126F2C" w:rsidP="00D80606">
            <w:pPr>
              <w:widowControl w:val="0"/>
              <w:numPr>
                <w:ilvl w:val="0"/>
                <w:numId w:val="69"/>
              </w:numPr>
              <w:ind w:left="357" w:right="0" w:hanging="357"/>
              <w:jc w:val="left"/>
              <w:rPr>
                <w:rFonts w:ascii="Trebuchet MS" w:eastAsia="SimSun" w:hAnsi="Trebuchet MS"/>
                <w:sz w:val="24"/>
                <w:szCs w:val="24"/>
              </w:rPr>
            </w:pPr>
            <w:r w:rsidRPr="00D80606">
              <w:rPr>
                <w:rFonts w:ascii="Trebuchet MS" w:hAnsi="Trebuchet MS"/>
                <w:sz w:val="24"/>
                <w:szCs w:val="24"/>
              </w:rPr>
              <w:t>Ulepszenie rozwoju, uczenia się i zmiany polityk;</w:t>
            </w:r>
          </w:p>
          <w:p w14:paraId="11F8F6FA" w14:textId="77777777" w:rsidR="00126F2C" w:rsidRPr="00D80606" w:rsidRDefault="00126F2C" w:rsidP="00D80606">
            <w:pPr>
              <w:widowControl w:val="0"/>
              <w:numPr>
                <w:ilvl w:val="0"/>
                <w:numId w:val="69"/>
              </w:numPr>
              <w:ind w:left="357" w:right="0" w:hanging="357"/>
              <w:jc w:val="left"/>
              <w:rPr>
                <w:rFonts w:ascii="Trebuchet MS" w:eastAsia="SimSun" w:hAnsi="Trebuchet MS"/>
                <w:sz w:val="24"/>
                <w:szCs w:val="24"/>
              </w:rPr>
            </w:pPr>
            <w:r w:rsidRPr="00D80606">
              <w:rPr>
                <w:rFonts w:ascii="Trebuchet MS" w:hAnsi="Trebuchet MS"/>
                <w:sz w:val="24"/>
                <w:szCs w:val="24"/>
              </w:rPr>
              <w:t>Poprawa wiedzy i zdolności, w tym transfer i wymiana wiedzy;</w:t>
            </w:r>
          </w:p>
          <w:p w14:paraId="17279C61" w14:textId="77777777" w:rsidR="00126F2C" w:rsidRPr="00D80606" w:rsidRDefault="00126F2C" w:rsidP="00D80606">
            <w:pPr>
              <w:widowControl w:val="0"/>
              <w:numPr>
                <w:ilvl w:val="0"/>
                <w:numId w:val="69"/>
              </w:numPr>
              <w:ind w:left="357" w:right="0" w:hanging="357"/>
              <w:jc w:val="left"/>
              <w:rPr>
                <w:rFonts w:ascii="Trebuchet MS" w:eastAsia="SimSun" w:hAnsi="Trebuchet MS"/>
                <w:sz w:val="24"/>
                <w:szCs w:val="24"/>
              </w:rPr>
            </w:pPr>
            <w:r w:rsidRPr="00D80606">
              <w:rPr>
                <w:rFonts w:ascii="Trebuchet MS" w:hAnsi="Trebuchet MS"/>
                <w:sz w:val="24"/>
                <w:szCs w:val="24"/>
              </w:rPr>
              <w:t>Lepiej skoordynowana współpraca i lepsze zarządzanie na różnych szczeblach;</w:t>
            </w:r>
          </w:p>
          <w:p w14:paraId="65A6FA9F" w14:textId="77777777" w:rsidR="00126F2C" w:rsidRPr="00D80606" w:rsidRDefault="00126F2C" w:rsidP="00D80606">
            <w:pPr>
              <w:widowControl w:val="0"/>
              <w:numPr>
                <w:ilvl w:val="0"/>
                <w:numId w:val="69"/>
              </w:numPr>
              <w:ind w:left="357" w:right="0" w:hanging="357"/>
              <w:jc w:val="left"/>
              <w:rPr>
                <w:rFonts w:ascii="Trebuchet MS" w:eastAsia="SimSun" w:hAnsi="Trebuchet MS"/>
                <w:sz w:val="24"/>
                <w:szCs w:val="24"/>
              </w:rPr>
            </w:pPr>
            <w:r w:rsidRPr="00D80606">
              <w:rPr>
                <w:rFonts w:ascii="Trebuchet MS" w:hAnsi="Trebuchet MS"/>
                <w:sz w:val="24"/>
                <w:szCs w:val="24"/>
              </w:rPr>
              <w:t>Zmniejszanie barier;</w:t>
            </w:r>
          </w:p>
          <w:p w14:paraId="51E9873E" w14:textId="77777777" w:rsidR="00126F2C" w:rsidRPr="00D80606" w:rsidRDefault="00126F2C" w:rsidP="00D80606">
            <w:pPr>
              <w:widowControl w:val="0"/>
              <w:numPr>
                <w:ilvl w:val="0"/>
                <w:numId w:val="69"/>
              </w:numPr>
              <w:ind w:left="357" w:right="0" w:hanging="357"/>
              <w:jc w:val="left"/>
              <w:rPr>
                <w:rFonts w:ascii="Trebuchet MS" w:eastAsia="SimSun" w:hAnsi="Trebuchet MS"/>
                <w:sz w:val="24"/>
                <w:szCs w:val="24"/>
              </w:rPr>
            </w:pPr>
            <w:r w:rsidRPr="00D80606">
              <w:rPr>
                <w:rFonts w:ascii="Trebuchet MS" w:hAnsi="Trebuchet MS"/>
                <w:sz w:val="24"/>
                <w:szCs w:val="24"/>
              </w:rPr>
              <w:t>Nowe lub lepsze usługi;</w:t>
            </w:r>
          </w:p>
          <w:p w14:paraId="06F63B6E" w14:textId="77777777" w:rsidR="00126F2C" w:rsidRPr="00D80606" w:rsidRDefault="00126F2C" w:rsidP="00D80606">
            <w:pPr>
              <w:widowControl w:val="0"/>
              <w:numPr>
                <w:ilvl w:val="0"/>
                <w:numId w:val="69"/>
              </w:numPr>
              <w:ind w:left="357" w:right="0" w:hanging="357"/>
              <w:jc w:val="left"/>
              <w:rPr>
                <w:rFonts w:ascii="Trebuchet MS" w:eastAsia="SimSun" w:hAnsi="Trebuchet MS"/>
                <w:sz w:val="24"/>
                <w:szCs w:val="24"/>
              </w:rPr>
            </w:pPr>
            <w:r w:rsidRPr="00D80606">
              <w:rPr>
                <w:rFonts w:ascii="Trebuchet MS" w:hAnsi="Trebuchet MS"/>
                <w:sz w:val="24"/>
                <w:szCs w:val="24"/>
              </w:rPr>
              <w:t>Zmiana zachowań;</w:t>
            </w:r>
          </w:p>
          <w:p w14:paraId="2F529FA3" w14:textId="70CC323B" w:rsidR="00126F2C" w:rsidRPr="00D80606" w:rsidRDefault="00126F2C" w:rsidP="00D80606">
            <w:pPr>
              <w:widowControl w:val="0"/>
              <w:numPr>
                <w:ilvl w:val="0"/>
                <w:numId w:val="69"/>
              </w:numPr>
              <w:ind w:left="357" w:right="0" w:hanging="357"/>
              <w:jc w:val="left"/>
              <w:rPr>
                <w:rFonts w:ascii="Trebuchet MS" w:eastAsia="SimSun" w:hAnsi="Trebuchet MS"/>
                <w:sz w:val="24"/>
                <w:szCs w:val="24"/>
              </w:rPr>
            </w:pPr>
            <w:r w:rsidRPr="00D80606">
              <w:rPr>
                <w:rFonts w:ascii="Trebuchet MS" w:hAnsi="Trebuchet MS"/>
                <w:sz w:val="24"/>
                <w:szCs w:val="24"/>
              </w:rPr>
              <w:t xml:space="preserve">Wykorzystanie funduszy publicznych i prywatnych, w tym przygotowywanie do </w:t>
            </w:r>
            <w:r w:rsidRPr="00D80606">
              <w:rPr>
                <w:rFonts w:ascii="Trebuchet MS" w:hAnsi="Trebuchet MS"/>
                <w:sz w:val="24"/>
                <w:szCs w:val="24"/>
              </w:rPr>
              <w:lastRenderedPageBreak/>
              <w:t xml:space="preserve">inwestycji stanowiących kontynuacje. </w:t>
            </w:r>
          </w:p>
          <w:p w14:paraId="7DD94FE8" w14:textId="77777777" w:rsidR="004C138F" w:rsidRPr="00680741" w:rsidRDefault="004C138F" w:rsidP="00F00470">
            <w:pPr>
              <w:widowControl w:val="0"/>
              <w:ind w:left="0" w:right="0"/>
              <w:rPr>
                <w:rFonts w:ascii="Trebuchet MS" w:eastAsia="Calibri" w:hAnsi="Trebuchet MS"/>
                <w:szCs w:val="22"/>
              </w:rPr>
            </w:pPr>
          </w:p>
          <w:p w14:paraId="4259CF37" w14:textId="606F83E4" w:rsidR="00AF7E14" w:rsidRPr="00D80606" w:rsidRDefault="001336BA" w:rsidP="00F00470">
            <w:pPr>
              <w:widowControl w:val="0"/>
              <w:ind w:left="0" w:right="0"/>
              <w:rPr>
                <w:rFonts w:ascii="Trebuchet MS" w:eastAsia="Calibri" w:hAnsi="Trebuchet MS"/>
                <w:b/>
                <w:iCs/>
                <w:color w:val="808080"/>
                <w:sz w:val="26"/>
                <w:szCs w:val="26"/>
              </w:rPr>
            </w:pPr>
            <w:r w:rsidRPr="00D80606">
              <w:rPr>
                <w:rFonts w:ascii="Trebuchet MS" w:hAnsi="Trebuchet MS"/>
                <w:b/>
                <w:color w:val="808080"/>
                <w:sz w:val="26"/>
                <w:szCs w:val="26"/>
              </w:rPr>
              <w:t xml:space="preserve">Horyzontalne zasady realizacji </w:t>
            </w:r>
          </w:p>
          <w:p w14:paraId="739B05C2" w14:textId="77777777" w:rsidR="00AF7E14" w:rsidRPr="00D80606" w:rsidRDefault="00AF7E14" w:rsidP="00D80606">
            <w:pPr>
              <w:widowControl w:val="0"/>
              <w:ind w:left="0" w:right="0"/>
              <w:jc w:val="left"/>
              <w:rPr>
                <w:rFonts w:ascii="Trebuchet MS" w:eastAsia="Calibri" w:hAnsi="Trebuchet MS"/>
                <w:sz w:val="24"/>
                <w:szCs w:val="24"/>
              </w:rPr>
            </w:pPr>
            <w:r w:rsidRPr="00D80606">
              <w:rPr>
                <w:rFonts w:ascii="Trebuchet MS" w:hAnsi="Trebuchet MS"/>
                <w:sz w:val="24"/>
                <w:szCs w:val="24"/>
              </w:rPr>
              <w:t xml:space="preserve">Wszystkie działania w ramach współpracy, które prowadzą do osiągnięcia powyższych rodzajów rezultatów, będą respektowały horyzontalne zasady </w:t>
            </w:r>
            <w:r w:rsidRPr="00D80606">
              <w:rPr>
                <w:rFonts w:ascii="Trebuchet MS" w:hAnsi="Trebuchet MS"/>
                <w:b/>
                <w:sz w:val="24"/>
                <w:szCs w:val="24"/>
              </w:rPr>
              <w:t>równości szans, niedyskryminacji, równości płci i zrównoważenia środowiskowego</w:t>
            </w:r>
            <w:r w:rsidRPr="00D80606">
              <w:rPr>
                <w:rFonts w:ascii="Trebuchet MS" w:hAnsi="Trebuchet MS"/>
                <w:sz w:val="24"/>
                <w:szCs w:val="24"/>
              </w:rPr>
              <w:t xml:space="preserve"> podczas opracowywania projektów oraz ich wdrażania. </w:t>
            </w:r>
          </w:p>
          <w:p w14:paraId="3F04B83A" w14:textId="6B9A4ACA" w:rsidR="00010AC4" w:rsidRPr="00D80606" w:rsidRDefault="00AF7E14" w:rsidP="00D80606">
            <w:pPr>
              <w:widowControl w:val="0"/>
              <w:ind w:left="0" w:right="0"/>
              <w:jc w:val="left"/>
              <w:rPr>
                <w:rFonts w:ascii="Trebuchet MS" w:eastAsia="Calibri" w:hAnsi="Trebuchet MS"/>
                <w:sz w:val="24"/>
                <w:szCs w:val="24"/>
              </w:rPr>
            </w:pPr>
            <w:r w:rsidRPr="00D80606">
              <w:rPr>
                <w:rFonts w:ascii="Trebuchet MS" w:hAnsi="Trebuchet MS"/>
                <w:sz w:val="24"/>
                <w:szCs w:val="24"/>
              </w:rPr>
              <w:t xml:space="preserve">W szczególności, wszystkie działania finansowane w ramach programu będą zgodne z podejściem </w:t>
            </w:r>
            <w:r w:rsidRPr="00D80606">
              <w:rPr>
                <w:rFonts w:ascii="Trebuchet MS" w:hAnsi="Trebuchet MS"/>
                <w:b/>
                <w:sz w:val="24"/>
                <w:szCs w:val="24"/>
              </w:rPr>
              <w:t>„zrównoważenie środowiskowe od etapu projektowania”</w:t>
            </w:r>
            <w:r w:rsidRPr="00D80606">
              <w:rPr>
                <w:rFonts w:ascii="Trebuchet MS" w:hAnsi="Trebuchet MS"/>
                <w:sz w:val="24"/>
                <w:szCs w:val="24"/>
              </w:rPr>
              <w:t>. Oznacza to, że kwestie związane ze środowiskiem lub szerzej pojętym zrównoważonym rozwojem, w tym skutki dla zdrowia ludzkiego, nie są już traktowane jako „sprawy poboczne”. Są one od samego początku włączane już na etapie projektowania do wszystkich działań. Partnerstwa są zachęcane do zidentyfikowania i wzięcia pod uwagę wszelkich potencjalnie istotnych kwestii środowiskowych i zdrowotnych podczas opracowywania projektu. Działania wspierane w ramach programu nie mogą mieć negatywnego wpływu na jakość środowiska naturalnego. Powinny one raczej przyczyniać się do regeneracji środowiska oraz funkcji i usług ekosystemów, neutralności klimatycznej, jak również zrównoważonego zarządzania krajobrazami kulturowymi i ich wzbogacania.</w:t>
            </w:r>
          </w:p>
          <w:p w14:paraId="538CE544" w14:textId="71F52E34" w:rsidR="0083450A" w:rsidRPr="00680741" w:rsidRDefault="0083450A" w:rsidP="002B253A">
            <w:pPr>
              <w:widowControl w:val="0"/>
              <w:spacing w:before="0" w:after="160" w:line="259" w:lineRule="auto"/>
              <w:ind w:left="0" w:right="0"/>
              <w:rPr>
                <w:rFonts w:asciiTheme="minorHAnsi" w:eastAsia="Arial" w:hAnsiTheme="minorHAnsi" w:cs="Arial"/>
                <w:color w:val="000000"/>
              </w:rPr>
            </w:pPr>
          </w:p>
        </w:tc>
      </w:tr>
    </w:tbl>
    <w:p w14:paraId="1864583F" w14:textId="7EAADEF3" w:rsidR="008727F2" w:rsidRPr="006C1A3F" w:rsidRDefault="008727F2" w:rsidP="005924F3">
      <w:pPr>
        <w:ind w:left="0"/>
        <w:rPr>
          <w:rFonts w:asciiTheme="minorHAnsi" w:hAnsiTheme="minorHAnsi"/>
        </w:rPr>
      </w:pPr>
      <w:r>
        <w:lastRenderedPageBreak/>
        <w:br w:type="page"/>
      </w:r>
    </w:p>
    <w:p w14:paraId="200DE426" w14:textId="77777777" w:rsidR="008727F2" w:rsidRPr="00D80606" w:rsidRDefault="008727F2" w:rsidP="00173920">
      <w:pPr>
        <w:pStyle w:val="CE-Headline2"/>
      </w:pPr>
      <w:bookmarkStart w:id="87" w:name="_Toc71036598"/>
      <w:r w:rsidRPr="00D80606">
        <w:lastRenderedPageBreak/>
        <w:t>Uzasadnienie wyboru celów polityki i celów szczegółowych Programu Interreg, odpowiednich priorytetów, celów szczegółowych i form wsparcia, podejścia do brakujących połączeń w infrastrukturze transnarodowej, jeżeli takie istnieją</w:t>
      </w:r>
      <w:bookmarkEnd w:id="87"/>
    </w:p>
    <w:p w14:paraId="4FF64305" w14:textId="77777777" w:rsidR="008727F2" w:rsidRPr="00D80606" w:rsidRDefault="008727F2" w:rsidP="00905A0D">
      <w:pPr>
        <w:ind w:left="0"/>
        <w:rPr>
          <w:rFonts w:asciiTheme="minorHAnsi" w:hAnsiTheme="minorHAnsi"/>
          <w:color w:val="000000"/>
          <w:szCs w:val="24"/>
        </w:rPr>
      </w:pPr>
      <w:r w:rsidRPr="00D80606">
        <w:rPr>
          <w:rFonts w:asciiTheme="minorHAnsi" w:hAnsiTheme="minorHAnsi"/>
          <w:color w:val="000000"/>
        </w:rPr>
        <w:t>Podstawa: Artykuł 17 ust. 4 lit. c)</w:t>
      </w:r>
    </w:p>
    <w:p w14:paraId="35760004" w14:textId="77777777" w:rsidR="008727F2" w:rsidRPr="00136D67" w:rsidRDefault="008727F2" w:rsidP="00905A0D">
      <w:pPr>
        <w:spacing w:line="240" w:lineRule="auto"/>
        <w:ind w:left="0"/>
        <w:rPr>
          <w:rFonts w:asciiTheme="minorHAnsi" w:hAnsiTheme="minorHAnsi"/>
          <w:color w:val="000000"/>
          <w:szCs w:val="24"/>
        </w:rPr>
      </w:pPr>
      <w:r>
        <w:rPr>
          <w:rFonts w:asciiTheme="minorHAnsi" w:hAnsiTheme="minorHAnsi"/>
          <w:color w:val="000000"/>
        </w:rPr>
        <w:t>Tabela 1</w:t>
      </w:r>
    </w:p>
    <w:tbl>
      <w:tblPr>
        <w:tblStyle w:val="23"/>
        <w:tblW w:w="10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Caption w:val="Tabela uzasadniająca wybór celów polityki i celów szczegółowych programu Interregu Europa Środkowa"/>
      </w:tblPr>
      <w:tblGrid>
        <w:gridCol w:w="1696"/>
        <w:gridCol w:w="1560"/>
        <w:gridCol w:w="1559"/>
        <w:gridCol w:w="5246"/>
      </w:tblGrid>
      <w:tr w:rsidR="009554CB" w:rsidRPr="00DD24E2" w14:paraId="2C5AB45C" w14:textId="77777777" w:rsidTr="00D80606">
        <w:trPr>
          <w:tblHeader/>
        </w:trPr>
        <w:tc>
          <w:tcPr>
            <w:tcW w:w="1696" w:type="dxa"/>
            <w:shd w:val="clear" w:color="auto" w:fill="C8D3D8" w:themeFill="accent3"/>
            <w:vAlign w:val="center"/>
          </w:tcPr>
          <w:p w14:paraId="0AEB7432" w14:textId="77777777" w:rsidR="009554CB" w:rsidRPr="00685684" w:rsidRDefault="009554CB" w:rsidP="002F1F98">
            <w:pPr>
              <w:ind w:left="0" w:right="0"/>
              <w:jc w:val="center"/>
              <w:rPr>
                <w:rFonts w:asciiTheme="minorHAnsi" w:hAnsiTheme="minorHAnsi"/>
                <w:b/>
                <w:sz w:val="20"/>
                <w:highlight w:val="yellow"/>
              </w:rPr>
            </w:pPr>
            <w:r w:rsidRPr="00685684">
              <w:rPr>
                <w:rFonts w:asciiTheme="minorHAnsi" w:hAnsiTheme="minorHAnsi"/>
                <w:b/>
                <w:sz w:val="20"/>
              </w:rPr>
              <w:t>Wybrany cel polityki lub wybrany cel szczegółowy programu Interreg</w:t>
            </w:r>
          </w:p>
        </w:tc>
        <w:tc>
          <w:tcPr>
            <w:tcW w:w="1560" w:type="dxa"/>
            <w:shd w:val="clear" w:color="auto" w:fill="C8D3D8" w:themeFill="accent3"/>
            <w:vAlign w:val="center"/>
          </w:tcPr>
          <w:p w14:paraId="05D5545F" w14:textId="77777777" w:rsidR="009554CB" w:rsidRPr="00685684" w:rsidRDefault="009554CB" w:rsidP="002F1F98">
            <w:pPr>
              <w:ind w:left="0" w:right="0"/>
              <w:jc w:val="center"/>
              <w:rPr>
                <w:rFonts w:asciiTheme="minorHAnsi" w:hAnsiTheme="minorHAnsi"/>
                <w:b/>
                <w:sz w:val="20"/>
                <w:highlight w:val="yellow"/>
              </w:rPr>
            </w:pPr>
            <w:r w:rsidRPr="00685684">
              <w:rPr>
                <w:rFonts w:asciiTheme="minorHAnsi" w:hAnsiTheme="minorHAnsi"/>
                <w:b/>
                <w:sz w:val="20"/>
              </w:rPr>
              <w:t>Wybrany cel szcz</w:t>
            </w:r>
            <w:r w:rsidRPr="00E47C30">
              <w:rPr>
                <w:rFonts w:asciiTheme="minorHAnsi" w:hAnsiTheme="minorHAnsi"/>
                <w:b/>
                <w:sz w:val="20"/>
              </w:rPr>
              <w:t>e</w:t>
            </w:r>
            <w:r w:rsidRPr="00685684">
              <w:rPr>
                <w:rFonts w:asciiTheme="minorHAnsi" w:hAnsiTheme="minorHAnsi"/>
                <w:b/>
                <w:sz w:val="20"/>
              </w:rPr>
              <w:t>gółowy</w:t>
            </w:r>
          </w:p>
        </w:tc>
        <w:tc>
          <w:tcPr>
            <w:tcW w:w="1559" w:type="dxa"/>
            <w:shd w:val="clear" w:color="auto" w:fill="C8D3D8" w:themeFill="accent3"/>
            <w:vAlign w:val="center"/>
          </w:tcPr>
          <w:p w14:paraId="64126872" w14:textId="77777777" w:rsidR="009554CB" w:rsidRPr="00685684" w:rsidRDefault="009554CB" w:rsidP="002F1F98">
            <w:pPr>
              <w:ind w:left="0" w:right="0"/>
              <w:jc w:val="center"/>
              <w:rPr>
                <w:rFonts w:asciiTheme="minorHAnsi" w:hAnsiTheme="minorHAnsi"/>
                <w:b/>
                <w:sz w:val="20"/>
              </w:rPr>
            </w:pPr>
            <w:r w:rsidRPr="00685684">
              <w:rPr>
                <w:rFonts w:asciiTheme="minorHAnsi" w:hAnsiTheme="minorHAnsi"/>
                <w:b/>
                <w:sz w:val="20"/>
              </w:rPr>
              <w:t>Priorytet</w:t>
            </w:r>
          </w:p>
        </w:tc>
        <w:tc>
          <w:tcPr>
            <w:tcW w:w="5246" w:type="dxa"/>
            <w:shd w:val="clear" w:color="auto" w:fill="C8D3D8" w:themeFill="accent3"/>
            <w:vAlign w:val="center"/>
          </w:tcPr>
          <w:p w14:paraId="313DD680" w14:textId="77777777" w:rsidR="009554CB" w:rsidRPr="00685684" w:rsidRDefault="009554CB" w:rsidP="002F1F98">
            <w:pPr>
              <w:ind w:left="0" w:right="0"/>
              <w:jc w:val="center"/>
              <w:rPr>
                <w:rFonts w:asciiTheme="minorHAnsi" w:hAnsiTheme="minorHAnsi"/>
                <w:b/>
                <w:sz w:val="20"/>
              </w:rPr>
            </w:pPr>
            <w:r w:rsidRPr="00685684">
              <w:rPr>
                <w:rFonts w:asciiTheme="minorHAnsi" w:hAnsiTheme="minorHAnsi"/>
                <w:b/>
                <w:sz w:val="20"/>
              </w:rPr>
              <w:t>Uzasadnienie wyboru:</w:t>
            </w:r>
          </w:p>
        </w:tc>
      </w:tr>
      <w:tr w:rsidR="00503205" w:rsidRPr="005F09AF" w14:paraId="0D2C9421" w14:textId="77777777" w:rsidTr="00D80606">
        <w:trPr>
          <w:trHeight w:val="2125"/>
        </w:trPr>
        <w:tc>
          <w:tcPr>
            <w:tcW w:w="1696" w:type="dxa"/>
          </w:tcPr>
          <w:p w14:paraId="2EC5E851" w14:textId="77777777" w:rsidR="00503205" w:rsidRPr="00752ED1" w:rsidRDefault="00503205" w:rsidP="00D80606">
            <w:pPr>
              <w:ind w:left="0" w:right="0"/>
              <w:jc w:val="left"/>
              <w:rPr>
                <w:rFonts w:asciiTheme="minorHAnsi" w:eastAsia="Times New Roman" w:hAnsiTheme="minorHAnsi" w:cs="Times New Roman"/>
                <w:b/>
                <w:sz w:val="20"/>
                <w:szCs w:val="20"/>
                <w:lang w:eastAsia="en-US"/>
              </w:rPr>
            </w:pPr>
            <w:r>
              <w:rPr>
                <w:rFonts w:asciiTheme="minorHAnsi" w:hAnsiTheme="minorHAnsi"/>
                <w:b/>
                <w:sz w:val="20"/>
              </w:rPr>
              <w:t>Cel polityki 1 –</w:t>
            </w:r>
          </w:p>
          <w:p w14:paraId="796E3C6C" w14:textId="6630F8E0" w:rsidR="00503205" w:rsidRPr="00752ED1" w:rsidRDefault="00503205" w:rsidP="00D80606">
            <w:pPr>
              <w:ind w:left="0" w:right="0"/>
              <w:jc w:val="left"/>
              <w:rPr>
                <w:rFonts w:asciiTheme="minorHAnsi" w:eastAsia="Times New Roman" w:hAnsiTheme="minorHAnsi" w:cs="Times New Roman"/>
                <w:b/>
                <w:sz w:val="18"/>
                <w:szCs w:val="20"/>
                <w:highlight w:val="yellow"/>
                <w:lang w:eastAsia="en-US"/>
              </w:rPr>
            </w:pPr>
            <w:r>
              <w:rPr>
                <w:rFonts w:asciiTheme="minorHAnsi" w:hAnsiTheme="minorHAnsi"/>
                <w:b/>
                <w:sz w:val="20"/>
              </w:rPr>
              <w:t>Bardziej inteligentna Europa przez promowanie innowacyjnych i inteligentnych przemian gospodarczych</w:t>
            </w:r>
          </w:p>
          <w:p w14:paraId="1510E2A3" w14:textId="77777777" w:rsidR="00503205" w:rsidRPr="00136D67" w:rsidRDefault="00503205" w:rsidP="00B34641">
            <w:pPr>
              <w:ind w:left="0" w:right="340"/>
              <w:jc w:val="left"/>
              <w:rPr>
                <w:rFonts w:asciiTheme="minorHAnsi" w:eastAsia="Times New Roman" w:hAnsiTheme="minorHAnsi" w:cs="Times New Roman"/>
                <w:b/>
                <w:sz w:val="20"/>
                <w:szCs w:val="20"/>
                <w:highlight w:val="yellow"/>
              </w:rPr>
            </w:pPr>
          </w:p>
        </w:tc>
        <w:tc>
          <w:tcPr>
            <w:tcW w:w="1560" w:type="dxa"/>
          </w:tcPr>
          <w:p w14:paraId="43D3542B" w14:textId="6B1EB5FE" w:rsidR="00503205" w:rsidRPr="00752ED1" w:rsidRDefault="00503205" w:rsidP="007B7D91">
            <w:pPr>
              <w:ind w:left="0" w:right="0"/>
              <w:jc w:val="left"/>
              <w:rPr>
                <w:rFonts w:asciiTheme="minorHAnsi" w:hAnsiTheme="minorHAnsi"/>
                <w:sz w:val="20"/>
                <w:szCs w:val="20"/>
              </w:rPr>
            </w:pPr>
            <w:r>
              <w:rPr>
                <w:rFonts w:asciiTheme="minorHAnsi" w:hAnsiTheme="minorHAnsi"/>
                <w:sz w:val="20"/>
              </w:rPr>
              <w:t xml:space="preserve">(i) Wzmacnianie zdolności badawczo-innowacyjnych i wykorzystanie zaawansowanych technologii </w:t>
            </w:r>
          </w:p>
          <w:p w14:paraId="1D50BE01" w14:textId="071800AE" w:rsidR="00503205" w:rsidRPr="00752ED1" w:rsidRDefault="00503205" w:rsidP="0094762A">
            <w:pPr>
              <w:ind w:left="0" w:right="0"/>
              <w:jc w:val="left"/>
              <w:rPr>
                <w:rFonts w:asciiTheme="minorHAnsi" w:hAnsiTheme="minorHAnsi"/>
                <w:sz w:val="20"/>
                <w:szCs w:val="20"/>
              </w:rPr>
            </w:pPr>
          </w:p>
        </w:tc>
        <w:tc>
          <w:tcPr>
            <w:tcW w:w="1559" w:type="dxa"/>
          </w:tcPr>
          <w:p w14:paraId="3D95F1AC" w14:textId="0D6F1B57" w:rsidR="00503205" w:rsidRPr="00A3252D" w:rsidRDefault="00503205" w:rsidP="00D80606">
            <w:pPr>
              <w:ind w:left="0" w:right="27"/>
              <w:jc w:val="left"/>
              <w:rPr>
                <w:rFonts w:asciiTheme="minorHAnsi" w:eastAsia="Times New Roman" w:hAnsiTheme="minorHAnsi" w:cs="Times New Roman"/>
                <w:b/>
                <w:bCs/>
                <w:iCs/>
                <w:color w:val="5D6867" w:themeColor="accent1" w:themeShade="BF"/>
                <w:sz w:val="24"/>
                <w:szCs w:val="24"/>
                <w:lang w:eastAsia="en-US"/>
              </w:rPr>
            </w:pPr>
            <w:r>
              <w:rPr>
                <w:rFonts w:asciiTheme="minorHAnsi" w:hAnsiTheme="minorHAnsi"/>
                <w:b/>
              </w:rPr>
              <w:t>Priorytet 1 -</w:t>
            </w:r>
            <w:r>
              <w:rPr>
                <w:rFonts w:asciiTheme="minorHAnsi" w:hAnsiTheme="minorHAnsi"/>
              </w:rPr>
              <w:t xml:space="preserve"> Współpraca na rzecz </w:t>
            </w:r>
            <w:r w:rsidRPr="00D80606">
              <w:rPr>
                <w:rFonts w:asciiTheme="minorHAnsi" w:hAnsiTheme="minorHAnsi"/>
              </w:rPr>
              <w:t>inteligentnej Europy Środkowej</w:t>
            </w:r>
            <w:r>
              <w:rPr>
                <w:rFonts w:asciiTheme="minorHAnsi" w:hAnsiTheme="minorHAnsi"/>
                <w:i/>
              </w:rPr>
              <w:t xml:space="preserve"> </w:t>
            </w:r>
          </w:p>
          <w:p w14:paraId="3C652E00" w14:textId="77777777" w:rsidR="00503205" w:rsidRPr="00136D67" w:rsidRDefault="00503205" w:rsidP="00510942">
            <w:pPr>
              <w:pBdr>
                <w:top w:val="nil"/>
                <w:left w:val="nil"/>
                <w:bottom w:val="nil"/>
                <w:right w:val="nil"/>
                <w:between w:val="nil"/>
              </w:pBdr>
              <w:ind w:left="0"/>
              <w:rPr>
                <w:rFonts w:asciiTheme="minorHAnsi" w:eastAsia="Times New Roman" w:hAnsiTheme="minorHAnsi" w:cs="Times New Roman"/>
                <w:i/>
                <w:sz w:val="20"/>
                <w:szCs w:val="20"/>
                <w:highlight w:val="yellow"/>
              </w:rPr>
            </w:pPr>
          </w:p>
        </w:tc>
        <w:tc>
          <w:tcPr>
            <w:tcW w:w="5246" w:type="dxa"/>
          </w:tcPr>
          <w:p w14:paraId="46EABCE4" w14:textId="6CD6277F" w:rsidR="00851885" w:rsidRPr="00FF52E9" w:rsidRDefault="00851885" w:rsidP="00D80606">
            <w:pPr>
              <w:ind w:left="0" w:right="0"/>
              <w:jc w:val="left"/>
              <w:rPr>
                <w:rFonts w:asciiTheme="minorHAnsi" w:eastAsia="Times New Roman" w:hAnsiTheme="minorHAnsi" w:cs="Times New Roman"/>
                <w:b/>
                <w:bCs/>
                <w:iCs/>
                <w:color w:val="5D6867" w:themeColor="accent1" w:themeShade="BF"/>
                <w:sz w:val="20"/>
                <w:szCs w:val="20"/>
                <w:u w:val="single"/>
                <w:lang w:eastAsia="en-US"/>
              </w:rPr>
            </w:pPr>
            <w:r>
              <w:rPr>
                <w:rFonts w:asciiTheme="minorHAnsi" w:hAnsiTheme="minorHAnsi"/>
                <w:sz w:val="20"/>
                <w:u w:val="single"/>
              </w:rPr>
              <w:t>Uzasadnienie wyboru celu polityki 1</w:t>
            </w:r>
          </w:p>
          <w:p w14:paraId="10A279AA" w14:textId="24405E17" w:rsidR="003C6876" w:rsidRPr="001D1D29" w:rsidRDefault="003C6876"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 xml:space="preserve">Europa Środkowa jest najważniejszych obszarem gospodarczym w UE, posiadającym mocną bazę przemysłową. Długotrwała współpraca w zakresie handlu, inwestycji i przemysłu zaowocowała silnymi więzami funkcjonalnymi na całym obszarze objętym programem. </w:t>
            </w:r>
          </w:p>
          <w:p w14:paraId="2CAE2B47" w14:textId="6B69EDFB" w:rsidR="00A81975" w:rsidRPr="001D1D29" w:rsidRDefault="003C6876"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 xml:space="preserve">Aby sprostać konkurencji, terytoria Europy Środkowej muszą zarządzać </w:t>
            </w:r>
            <w:r>
              <w:rPr>
                <w:rFonts w:asciiTheme="minorHAnsi" w:hAnsiTheme="minorHAnsi"/>
                <w:b/>
                <w:sz w:val="20"/>
              </w:rPr>
              <w:t xml:space="preserve">trwającym procesem </w:t>
            </w:r>
            <w:r w:rsidR="0053554F">
              <w:rPr>
                <w:rFonts w:asciiTheme="minorHAnsi" w:hAnsiTheme="minorHAnsi"/>
                <w:b/>
                <w:sz w:val="20"/>
              </w:rPr>
              <w:t>przejścia</w:t>
            </w:r>
            <w:r>
              <w:rPr>
                <w:rFonts w:asciiTheme="minorHAnsi" w:hAnsiTheme="minorHAnsi"/>
                <w:b/>
                <w:sz w:val="20"/>
              </w:rPr>
              <w:t xml:space="preserve"> do bardziej cyfrowej, ekologicznej i odpornej gospodarki</w:t>
            </w:r>
            <w:r>
              <w:rPr>
                <w:rFonts w:asciiTheme="minorHAnsi" w:hAnsiTheme="minorHAnsi"/>
                <w:sz w:val="20"/>
              </w:rPr>
              <w:t>. Muszą to osiągnąć w sposób sprawiedliwy i sprzyjający włączeniu społecznemu.</w:t>
            </w:r>
            <w:r>
              <w:rPr>
                <w:sz w:val="20"/>
              </w:rPr>
              <w:t xml:space="preserve"> </w:t>
            </w:r>
            <w:r>
              <w:rPr>
                <w:rFonts w:asciiTheme="minorHAnsi" w:hAnsiTheme="minorHAnsi"/>
                <w:sz w:val="20"/>
              </w:rPr>
              <w:t xml:space="preserve">Jest to w pełni zgodne z Agendą Terytorialną 2030 i jej celem „Sprawiedliwa Europa”, która dąży do zrównoważonego rozwoju terytorialnego. </w:t>
            </w:r>
          </w:p>
          <w:p w14:paraId="0447C4CC" w14:textId="0A554EE3" w:rsidR="00851885" w:rsidRPr="001D1D29" w:rsidRDefault="00851885" w:rsidP="00D80606">
            <w:pPr>
              <w:ind w:left="0" w:right="0"/>
              <w:jc w:val="left"/>
              <w:rPr>
                <w:rFonts w:asciiTheme="minorHAnsi" w:eastAsia="Times New Roman" w:hAnsiTheme="minorHAnsi" w:cs="Times New Roman"/>
                <w:sz w:val="20"/>
                <w:szCs w:val="20"/>
                <w:u w:val="single"/>
                <w:lang w:eastAsia="en-US"/>
              </w:rPr>
            </w:pPr>
            <w:r>
              <w:rPr>
                <w:rFonts w:asciiTheme="minorHAnsi" w:hAnsiTheme="minorHAnsi"/>
                <w:sz w:val="20"/>
                <w:u w:val="single"/>
              </w:rPr>
              <w:t>Uzasadnienie wyboru celu szczegółowego EFRR (i)</w:t>
            </w:r>
          </w:p>
          <w:p w14:paraId="15A69F4A" w14:textId="67BCF310" w:rsidR="004D28AB" w:rsidRPr="001D1D29" w:rsidRDefault="00DB455B" w:rsidP="00D80606">
            <w:pPr>
              <w:ind w:left="0" w:right="0"/>
              <w:jc w:val="left"/>
              <w:rPr>
                <w:rFonts w:asciiTheme="minorHAnsi" w:eastAsia="Times New Roman" w:hAnsiTheme="minorHAnsi" w:cs="Times New Roman"/>
                <w:sz w:val="20"/>
                <w:szCs w:val="20"/>
                <w:lang w:eastAsia="en-US"/>
              </w:rPr>
            </w:pPr>
            <w:r>
              <w:rPr>
                <w:rFonts w:asciiTheme="minorHAnsi" w:hAnsiTheme="minorHAnsi"/>
                <w:sz w:val="20"/>
              </w:rPr>
              <w:t xml:space="preserve">Kluczowym wyzwaniem jest fakt, że działania w zakresie badań i rozwoju oraz transfer technologii i innowacji wykazują nadal znaczny brak równowagi między wschodnimi i zachodnimi regionami Europy Środkowej oraz że są one ograniczone głównie do obszarów miejskich. Działania muszą być w dalszym ciągu wzmacniane, różnicowane i dostosowywane do nowych wyzwań gospodarczych i społecznych. Należy poprawić </w:t>
            </w:r>
            <w:r>
              <w:rPr>
                <w:rFonts w:asciiTheme="minorHAnsi" w:hAnsiTheme="minorHAnsi"/>
                <w:b/>
                <w:sz w:val="20"/>
              </w:rPr>
              <w:t>dostęp do wyników</w:t>
            </w:r>
            <w:r>
              <w:rPr>
                <w:rFonts w:asciiTheme="minorHAnsi" w:hAnsiTheme="minorHAnsi"/>
                <w:sz w:val="20"/>
              </w:rPr>
              <w:t xml:space="preserve"> badań naukowych i innowacji dla podmiotów działających w dziedzinie innowacji, w szczególności na obszarach </w:t>
            </w:r>
            <w:r w:rsidR="001B038F">
              <w:rPr>
                <w:rFonts w:asciiTheme="minorHAnsi" w:hAnsiTheme="minorHAnsi"/>
                <w:sz w:val="20"/>
              </w:rPr>
              <w:t>nienadążających w rozwoju</w:t>
            </w:r>
            <w:r>
              <w:rPr>
                <w:rFonts w:asciiTheme="minorHAnsi" w:hAnsiTheme="minorHAnsi"/>
                <w:sz w:val="20"/>
              </w:rPr>
              <w:t xml:space="preserve">, takich jak regiony peryferyjne i obszary wiejskie. </w:t>
            </w:r>
            <w:r>
              <w:rPr>
                <w:rFonts w:asciiTheme="minorHAnsi" w:hAnsiTheme="minorHAnsi"/>
                <w:b/>
                <w:sz w:val="20"/>
              </w:rPr>
              <w:t>Współpraca w ramach łańcuchów wartości</w:t>
            </w:r>
            <w:r>
              <w:rPr>
                <w:rFonts w:asciiTheme="minorHAnsi" w:hAnsiTheme="minorHAnsi"/>
                <w:sz w:val="20"/>
              </w:rPr>
              <w:t xml:space="preserve">, zielona i cyfrowa gospodarka oraz współpraca międzysektorowa pozostają kluczową potrzebą dla wielu przedsiębiorstw, w szczególności dla MŚP. </w:t>
            </w:r>
          </w:p>
          <w:p w14:paraId="7BB246C7" w14:textId="7777F7B7" w:rsidR="003C6876" w:rsidRDefault="009C2330" w:rsidP="00D80606">
            <w:pPr>
              <w:ind w:left="0" w:right="0"/>
              <w:jc w:val="left"/>
              <w:rPr>
                <w:rFonts w:asciiTheme="minorHAnsi" w:eastAsia="Times New Roman" w:hAnsiTheme="minorHAnsi" w:cs="Times New Roman"/>
                <w:sz w:val="20"/>
                <w:szCs w:val="20"/>
                <w:lang w:eastAsia="en-US"/>
              </w:rPr>
            </w:pPr>
            <w:r>
              <w:rPr>
                <w:rFonts w:asciiTheme="minorHAnsi" w:hAnsiTheme="minorHAnsi"/>
                <w:sz w:val="20"/>
              </w:rPr>
              <w:t xml:space="preserve">Współpraca transnarodowa oferuje wyraźną wartość </w:t>
            </w:r>
            <w:r>
              <w:rPr>
                <w:rFonts w:asciiTheme="minorHAnsi" w:hAnsiTheme="minorHAnsi"/>
                <w:sz w:val="20"/>
              </w:rPr>
              <w:lastRenderedPageBreak/>
              <w:t>dodaną między innymi w zakresie zaspokajania następujących szczególnych potrzeb (rodzaje i przykłady działań znajdują się w sekcji 2):</w:t>
            </w:r>
          </w:p>
          <w:p w14:paraId="01523902" w14:textId="5C827A30" w:rsidR="003C6876" w:rsidRDefault="003C6876" w:rsidP="00D80606">
            <w:pPr>
              <w:pStyle w:val="Akapitzlist"/>
              <w:numPr>
                <w:ilvl w:val="0"/>
                <w:numId w:val="34"/>
              </w:numPr>
              <w:ind w:left="319" w:right="0" w:hanging="283"/>
              <w:jc w:val="left"/>
              <w:rPr>
                <w:rFonts w:asciiTheme="minorHAnsi" w:eastAsia="Times New Roman" w:hAnsiTheme="minorHAnsi" w:cs="Times New Roman"/>
                <w:sz w:val="20"/>
                <w:szCs w:val="20"/>
                <w:lang w:eastAsia="en-US"/>
              </w:rPr>
            </w:pPr>
            <w:r>
              <w:rPr>
                <w:rFonts w:asciiTheme="minorHAnsi" w:hAnsiTheme="minorHAnsi"/>
                <w:sz w:val="20"/>
              </w:rPr>
              <w:t>Wspieranie przejścia na bardziej odporną, cyfrową i ekologiczną gospodarkę</w:t>
            </w:r>
          </w:p>
          <w:p w14:paraId="4A61A6D1" w14:textId="11FDEB74" w:rsidR="003C6876" w:rsidRDefault="00790692" w:rsidP="00D80606">
            <w:pPr>
              <w:pStyle w:val="Akapitzlist"/>
              <w:numPr>
                <w:ilvl w:val="0"/>
                <w:numId w:val="34"/>
              </w:numPr>
              <w:ind w:left="319" w:right="0" w:hanging="283"/>
              <w:jc w:val="left"/>
              <w:rPr>
                <w:rFonts w:asciiTheme="minorHAnsi" w:eastAsia="Times New Roman" w:hAnsiTheme="minorHAnsi" w:cs="Times New Roman"/>
                <w:sz w:val="20"/>
                <w:szCs w:val="20"/>
                <w:lang w:eastAsia="en-US"/>
              </w:rPr>
            </w:pPr>
            <w:r>
              <w:rPr>
                <w:rFonts w:asciiTheme="minorHAnsi" w:hAnsiTheme="minorHAnsi"/>
                <w:sz w:val="20"/>
              </w:rPr>
              <w:t>Poprawa dostępu MŚP do badań naukowych i innowacji oraz zwiększenie transferu technologii, w szczególności na obszarach pozamiejskich</w:t>
            </w:r>
          </w:p>
          <w:p w14:paraId="1F497666" w14:textId="12299EA1" w:rsidR="003C6876" w:rsidRPr="005D6CF8" w:rsidRDefault="003C6876" w:rsidP="00D80606">
            <w:pPr>
              <w:pStyle w:val="Akapitzlist"/>
              <w:numPr>
                <w:ilvl w:val="0"/>
                <w:numId w:val="34"/>
              </w:numPr>
              <w:ind w:left="319" w:right="0" w:hanging="283"/>
              <w:jc w:val="left"/>
              <w:rPr>
                <w:rFonts w:asciiTheme="minorHAnsi" w:eastAsia="Times New Roman" w:hAnsiTheme="minorHAnsi" w:cs="Times New Roman"/>
                <w:sz w:val="20"/>
                <w:szCs w:val="20"/>
                <w:lang w:eastAsia="en-US"/>
              </w:rPr>
            </w:pPr>
            <w:r>
              <w:rPr>
                <w:rFonts w:asciiTheme="minorHAnsi" w:hAnsiTheme="minorHAnsi"/>
                <w:sz w:val="20"/>
              </w:rPr>
              <w:t xml:space="preserve">Poprawa powiązań między bardziej i mniej rozwiniętymi terytoriami (np. mistrzowie innowacji) oraz wspieranie ich przenoszenia się na sąsiednie terytoria </w:t>
            </w:r>
          </w:p>
          <w:p w14:paraId="604FD728" w14:textId="4C4BF449" w:rsidR="003C6876" w:rsidRPr="005D6CF8" w:rsidRDefault="003C6876" w:rsidP="00D80606">
            <w:pPr>
              <w:pStyle w:val="Akapitzlist"/>
              <w:numPr>
                <w:ilvl w:val="0"/>
                <w:numId w:val="34"/>
              </w:numPr>
              <w:ind w:left="319" w:right="0" w:hanging="283"/>
              <w:jc w:val="left"/>
              <w:rPr>
                <w:rFonts w:asciiTheme="minorHAnsi" w:eastAsia="Times New Roman" w:hAnsiTheme="minorHAnsi" w:cs="Times New Roman"/>
                <w:sz w:val="20"/>
                <w:szCs w:val="20"/>
                <w:lang w:eastAsia="en-US"/>
              </w:rPr>
            </w:pPr>
            <w:r>
              <w:rPr>
                <w:rFonts w:asciiTheme="minorHAnsi" w:hAnsiTheme="minorHAnsi"/>
                <w:sz w:val="20"/>
              </w:rPr>
              <w:t xml:space="preserve">Wspieranie ponadnarodowych partnerstw przemysłowych w celu ustanowienia zrównoważonych łańcuchów wartości i dostaw </w:t>
            </w:r>
          </w:p>
          <w:p w14:paraId="71FE0AE5" w14:textId="1232E6B0" w:rsidR="003C6876" w:rsidRPr="005D6CF8" w:rsidRDefault="003C6876" w:rsidP="00D80606">
            <w:pPr>
              <w:pStyle w:val="Akapitzlist"/>
              <w:numPr>
                <w:ilvl w:val="0"/>
                <w:numId w:val="34"/>
              </w:numPr>
              <w:ind w:left="319" w:right="0" w:hanging="283"/>
              <w:jc w:val="left"/>
              <w:rPr>
                <w:rFonts w:asciiTheme="minorHAnsi" w:eastAsia="Times New Roman" w:hAnsiTheme="minorHAnsi" w:cs="Times New Roman"/>
                <w:sz w:val="20"/>
                <w:szCs w:val="20"/>
                <w:lang w:eastAsia="en-US"/>
              </w:rPr>
            </w:pPr>
            <w:r>
              <w:rPr>
                <w:rFonts w:asciiTheme="minorHAnsi" w:hAnsiTheme="minorHAnsi"/>
                <w:sz w:val="20"/>
              </w:rPr>
              <w:t>Ułatwianie przekształcania wyników badań w produkty nadające się do wprowadzenia na rynek</w:t>
            </w:r>
          </w:p>
          <w:p w14:paraId="0424A723" w14:textId="2DE615BA" w:rsidR="003A1AF9" w:rsidRPr="00A06340" w:rsidRDefault="00683A09" w:rsidP="00D80606">
            <w:pPr>
              <w:ind w:left="36"/>
              <w:jc w:val="left"/>
              <w:rPr>
                <w:rFonts w:asciiTheme="minorHAnsi" w:eastAsia="Times New Roman" w:hAnsiTheme="minorHAnsi" w:cs="Times New Roman"/>
                <w:sz w:val="20"/>
                <w:szCs w:val="20"/>
                <w:lang w:eastAsia="en-US"/>
              </w:rPr>
            </w:pPr>
            <w:r>
              <w:rPr>
                <w:rFonts w:asciiTheme="minorHAnsi" w:hAnsiTheme="minorHAnsi"/>
                <w:sz w:val="20"/>
              </w:rPr>
              <w:t>Forma wsparcia: dotacje</w:t>
            </w:r>
          </w:p>
        </w:tc>
      </w:tr>
      <w:tr w:rsidR="009C2330" w:rsidRPr="005F09AF" w14:paraId="37C50894" w14:textId="77777777" w:rsidTr="00D80606">
        <w:trPr>
          <w:trHeight w:val="2125"/>
        </w:trPr>
        <w:tc>
          <w:tcPr>
            <w:tcW w:w="1696" w:type="dxa"/>
            <w:tcBorders>
              <w:bottom w:val="single" w:sz="4" w:space="0" w:color="auto"/>
            </w:tcBorders>
          </w:tcPr>
          <w:p w14:paraId="43F1BE78" w14:textId="77777777" w:rsidR="009C2330" w:rsidRPr="00752ED1" w:rsidRDefault="009C2330" w:rsidP="00D80606">
            <w:pPr>
              <w:ind w:left="0" w:right="0"/>
              <w:jc w:val="left"/>
              <w:rPr>
                <w:rFonts w:asciiTheme="minorHAnsi" w:eastAsia="Times New Roman" w:hAnsiTheme="minorHAnsi" w:cs="Times New Roman"/>
                <w:b/>
                <w:sz w:val="20"/>
                <w:szCs w:val="20"/>
                <w:lang w:eastAsia="en-US"/>
              </w:rPr>
            </w:pPr>
            <w:r>
              <w:rPr>
                <w:rFonts w:asciiTheme="minorHAnsi" w:hAnsiTheme="minorHAnsi"/>
                <w:b/>
                <w:sz w:val="20"/>
              </w:rPr>
              <w:lastRenderedPageBreak/>
              <w:t>Cel polityki 1 –</w:t>
            </w:r>
          </w:p>
          <w:p w14:paraId="2C24D8E3" w14:textId="0DE6AAAD" w:rsidR="009C2330" w:rsidRPr="00752ED1" w:rsidRDefault="009C2330" w:rsidP="00D80606">
            <w:pPr>
              <w:ind w:left="0" w:right="0"/>
              <w:jc w:val="left"/>
              <w:rPr>
                <w:rFonts w:asciiTheme="minorHAnsi" w:eastAsia="Times New Roman" w:hAnsiTheme="minorHAnsi" w:cs="Times New Roman"/>
                <w:b/>
                <w:sz w:val="18"/>
                <w:szCs w:val="20"/>
                <w:highlight w:val="yellow"/>
                <w:lang w:eastAsia="en-US"/>
              </w:rPr>
            </w:pPr>
            <w:r>
              <w:rPr>
                <w:rFonts w:asciiTheme="minorHAnsi" w:hAnsiTheme="minorHAnsi"/>
                <w:b/>
                <w:sz w:val="20"/>
              </w:rPr>
              <w:t>Bardziej inteligentna Europa przez promowanie innowacyjnych i inteligentnych przemian gospodarczych</w:t>
            </w:r>
          </w:p>
          <w:p w14:paraId="33802F81" w14:textId="77777777" w:rsidR="009C2330" w:rsidRPr="00752ED1" w:rsidRDefault="009C2330" w:rsidP="007B7D91">
            <w:pPr>
              <w:ind w:left="0" w:right="0"/>
              <w:jc w:val="center"/>
              <w:rPr>
                <w:rFonts w:asciiTheme="minorHAnsi" w:hAnsiTheme="minorHAnsi"/>
                <w:b/>
              </w:rPr>
            </w:pPr>
          </w:p>
        </w:tc>
        <w:tc>
          <w:tcPr>
            <w:tcW w:w="1560" w:type="dxa"/>
            <w:tcBorders>
              <w:bottom w:val="single" w:sz="4" w:space="0" w:color="auto"/>
            </w:tcBorders>
          </w:tcPr>
          <w:p w14:paraId="57AB4359" w14:textId="4BB69E45" w:rsidR="009C2330" w:rsidRPr="00752ED1" w:rsidRDefault="009C2330" w:rsidP="007B7D91">
            <w:pPr>
              <w:ind w:left="0" w:right="0"/>
              <w:jc w:val="left"/>
              <w:rPr>
                <w:rFonts w:asciiTheme="minorHAnsi" w:hAnsiTheme="minorHAnsi"/>
              </w:rPr>
            </w:pPr>
            <w:r>
              <w:rPr>
                <w:rFonts w:asciiTheme="minorHAnsi" w:hAnsiTheme="minorHAnsi"/>
                <w:sz w:val="20"/>
              </w:rPr>
              <w:t>(iv) Rozwijanie umiejętności na potrzeby inteligentnej specjalizacji, przemian przemysłowych i rozwoju przedsiębiorczości</w:t>
            </w:r>
          </w:p>
        </w:tc>
        <w:tc>
          <w:tcPr>
            <w:tcW w:w="1559" w:type="dxa"/>
            <w:tcBorders>
              <w:bottom w:val="single" w:sz="4" w:space="0" w:color="auto"/>
            </w:tcBorders>
          </w:tcPr>
          <w:p w14:paraId="6043A537" w14:textId="22225D39" w:rsidR="009C2330" w:rsidRPr="00A92CF6" w:rsidRDefault="009C2330" w:rsidP="00D80606">
            <w:pPr>
              <w:ind w:left="0" w:right="27"/>
              <w:jc w:val="left"/>
              <w:rPr>
                <w:rFonts w:asciiTheme="minorHAnsi" w:eastAsia="Times New Roman" w:hAnsiTheme="minorHAnsi" w:cs="Times New Roman"/>
                <w:b/>
                <w:bCs/>
                <w:iCs/>
                <w:color w:val="5D6867" w:themeColor="accent1" w:themeShade="BF"/>
                <w:sz w:val="24"/>
                <w:szCs w:val="24"/>
                <w:lang w:eastAsia="en-US"/>
              </w:rPr>
            </w:pPr>
            <w:r>
              <w:rPr>
                <w:rFonts w:asciiTheme="minorHAnsi" w:hAnsiTheme="minorHAnsi"/>
                <w:b/>
              </w:rPr>
              <w:t>Priorytet 1 -</w:t>
            </w:r>
            <w:r>
              <w:rPr>
                <w:rFonts w:asciiTheme="minorHAnsi" w:hAnsiTheme="minorHAnsi"/>
              </w:rPr>
              <w:t xml:space="preserve"> Współpraca na rzecz </w:t>
            </w:r>
            <w:r w:rsidRPr="00D80606">
              <w:rPr>
                <w:rFonts w:asciiTheme="minorHAnsi" w:hAnsiTheme="minorHAnsi"/>
              </w:rPr>
              <w:t>inteligentnej Europy Środkowej</w:t>
            </w:r>
            <w:r>
              <w:rPr>
                <w:rFonts w:asciiTheme="minorHAnsi" w:hAnsiTheme="minorHAnsi"/>
                <w:i/>
              </w:rPr>
              <w:t xml:space="preserve"> </w:t>
            </w:r>
          </w:p>
        </w:tc>
        <w:tc>
          <w:tcPr>
            <w:tcW w:w="5246" w:type="dxa"/>
            <w:tcBorders>
              <w:bottom w:val="single" w:sz="4" w:space="0" w:color="auto"/>
            </w:tcBorders>
          </w:tcPr>
          <w:p w14:paraId="7C875E7D" w14:textId="77777777" w:rsidR="00FF52E9" w:rsidRDefault="00FF52E9" w:rsidP="00D80606">
            <w:pPr>
              <w:ind w:left="0" w:right="0"/>
              <w:jc w:val="left"/>
              <w:rPr>
                <w:rFonts w:asciiTheme="minorHAnsi" w:eastAsia="Times New Roman" w:hAnsiTheme="minorHAnsi" w:cs="Times New Roman"/>
                <w:b/>
                <w:bCs/>
                <w:iCs/>
                <w:color w:val="5D6867" w:themeColor="accent1" w:themeShade="BF"/>
                <w:sz w:val="20"/>
                <w:szCs w:val="20"/>
                <w:u w:val="single"/>
                <w:lang w:eastAsia="en-US"/>
              </w:rPr>
            </w:pPr>
            <w:r>
              <w:rPr>
                <w:rFonts w:asciiTheme="minorHAnsi" w:hAnsiTheme="minorHAnsi"/>
                <w:sz w:val="20"/>
                <w:u w:val="single"/>
              </w:rPr>
              <w:t xml:space="preserve">Uzasadnienie wyboru celu polityki 1 </w:t>
            </w:r>
          </w:p>
          <w:p w14:paraId="3169E925" w14:textId="76BFFC87" w:rsidR="00FF52E9" w:rsidRPr="00FF52E9" w:rsidRDefault="00FF52E9"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zobacz wyżej</w:t>
            </w:r>
          </w:p>
          <w:p w14:paraId="3BCCF627" w14:textId="4E6C346B" w:rsidR="00FF52E9" w:rsidRPr="00275810" w:rsidRDefault="00FF52E9" w:rsidP="00D80606">
            <w:pPr>
              <w:ind w:left="0" w:right="0"/>
              <w:jc w:val="left"/>
              <w:rPr>
                <w:rFonts w:asciiTheme="minorHAnsi" w:eastAsia="Times New Roman" w:hAnsiTheme="minorHAnsi" w:cs="Times New Roman"/>
                <w:b/>
                <w:bCs/>
                <w:iCs/>
                <w:color w:val="5D6867" w:themeColor="accent1" w:themeShade="BF"/>
                <w:sz w:val="20"/>
                <w:szCs w:val="20"/>
                <w:u w:val="single"/>
                <w:lang w:eastAsia="en-US"/>
              </w:rPr>
            </w:pPr>
            <w:r>
              <w:rPr>
                <w:rFonts w:asciiTheme="minorHAnsi" w:hAnsiTheme="minorHAnsi"/>
                <w:sz w:val="20"/>
                <w:u w:val="single"/>
              </w:rPr>
              <w:t>Uzasadnienie wyboru celu szczegółowego EFRR (iv)</w:t>
            </w:r>
          </w:p>
          <w:p w14:paraId="69406F97" w14:textId="3CE550D3" w:rsidR="00814413" w:rsidRPr="001D1D29" w:rsidRDefault="006E71C4"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 xml:space="preserve">Kluczową sprawą jest to, by z powodzeniem kształtować transformację siły roboczej w Europie Środkowej w kierunku bardziej cyfrowej i bardziej efektywnie wykorzystującej zasoby gospodarki, co obejmuje przejście w kierunku Przemysłu 4.0 z uwzględnieniem odpowiednich krajowych i regionalnych strategii inteligentnej specjalizacji. Wymaga to wzmocnienia i poprawy powiązanych z tym umiejętności i kompetencji przedsiębiorczych pracowników i przedsiębiorców. </w:t>
            </w:r>
          </w:p>
          <w:p w14:paraId="46A12D21" w14:textId="722E7853" w:rsidR="00A06340" w:rsidRPr="001D1D29" w:rsidRDefault="00814413"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 xml:space="preserve">Mimo że Europa Środkowa posiada wysoko wykwalifikowaną siłę roboczą, która, między innymi, jest ważną podstawą przemysłu wytwórczego, jest ona rozmieszczona w </w:t>
            </w:r>
            <w:r>
              <w:rPr>
                <w:rFonts w:asciiTheme="minorHAnsi" w:hAnsiTheme="minorHAnsi"/>
                <w:b/>
                <w:sz w:val="20"/>
              </w:rPr>
              <w:t>nierównomierny sposób</w:t>
            </w:r>
            <w:r>
              <w:rPr>
                <w:rFonts w:asciiTheme="minorHAnsi" w:hAnsiTheme="minorHAnsi"/>
                <w:sz w:val="20"/>
              </w:rPr>
              <w:t xml:space="preserve">. Osoby wykwalifikowane koncentrują się głównie na obszarach miejskich, a w mniejszym stopniu w regionach pośrednich i wiejskich. Ponadto niektóre terytoria pozostają w tyle pod względem </w:t>
            </w:r>
            <w:r>
              <w:rPr>
                <w:rFonts w:asciiTheme="minorHAnsi" w:hAnsiTheme="minorHAnsi"/>
                <w:b/>
                <w:sz w:val="20"/>
              </w:rPr>
              <w:t xml:space="preserve">nowych technologii i cyfryzacji, a także umiejętności </w:t>
            </w:r>
            <w:r>
              <w:rPr>
                <w:rFonts w:asciiTheme="minorHAnsi" w:hAnsiTheme="minorHAnsi"/>
                <w:sz w:val="20"/>
              </w:rPr>
              <w:t xml:space="preserve">w zakresie </w:t>
            </w:r>
            <w:r>
              <w:rPr>
                <w:rFonts w:asciiTheme="minorHAnsi" w:hAnsiTheme="minorHAnsi"/>
                <w:b/>
                <w:sz w:val="20"/>
              </w:rPr>
              <w:t>przedsiębiorczości</w:t>
            </w:r>
            <w:r>
              <w:rPr>
                <w:rFonts w:asciiTheme="minorHAnsi" w:hAnsiTheme="minorHAnsi"/>
                <w:sz w:val="20"/>
              </w:rPr>
              <w:t xml:space="preserve">. </w:t>
            </w:r>
          </w:p>
          <w:p w14:paraId="18D89E38" w14:textId="6EA47DEB" w:rsidR="00A06340" w:rsidRPr="00A06340" w:rsidRDefault="00A06340" w:rsidP="00D80606">
            <w:pPr>
              <w:ind w:left="0" w:right="0"/>
              <w:jc w:val="left"/>
              <w:rPr>
                <w:rFonts w:asciiTheme="minorHAnsi" w:eastAsia="Times New Roman" w:hAnsiTheme="minorHAnsi" w:cs="Times New Roman"/>
                <w:b/>
                <w:bCs/>
                <w:iCs/>
                <w:color w:val="5D6867" w:themeColor="accent1" w:themeShade="BF"/>
                <w:sz w:val="20"/>
                <w:szCs w:val="24"/>
                <w:lang w:eastAsia="en-US"/>
              </w:rPr>
            </w:pPr>
            <w:r>
              <w:rPr>
                <w:rFonts w:asciiTheme="minorHAnsi" w:hAnsiTheme="minorHAnsi"/>
                <w:sz w:val="20"/>
              </w:rPr>
              <w:lastRenderedPageBreak/>
              <w:t>Współpraca transnarodowa oferuje wyraźną wartość dodaną między innymi w zakresie zaspokajania następujących szczególnych potrzeb (rodzaje i przykłady działań znajdują się w sekcji 2):</w:t>
            </w:r>
          </w:p>
          <w:p w14:paraId="52AEDD2E" w14:textId="5E786F5C" w:rsidR="005C763D" w:rsidRPr="00463135" w:rsidRDefault="005C763D" w:rsidP="00D80606">
            <w:pPr>
              <w:pStyle w:val="Akapitzlist"/>
              <w:numPr>
                <w:ilvl w:val="0"/>
                <w:numId w:val="34"/>
              </w:numPr>
              <w:ind w:left="313" w:right="0" w:hanging="283"/>
              <w:jc w:val="left"/>
              <w:rPr>
                <w:rFonts w:asciiTheme="minorHAnsi" w:eastAsia="Times New Roman" w:hAnsiTheme="minorHAnsi" w:cs="Times New Roman"/>
                <w:b/>
                <w:bCs/>
                <w:iCs/>
                <w:color w:val="5D6867" w:themeColor="accent1" w:themeShade="BF"/>
                <w:sz w:val="20"/>
                <w:szCs w:val="24"/>
                <w:lang w:eastAsia="en-US"/>
              </w:rPr>
            </w:pPr>
            <w:r>
              <w:rPr>
                <w:rFonts w:asciiTheme="minorHAnsi" w:hAnsiTheme="minorHAnsi"/>
                <w:sz w:val="20"/>
              </w:rPr>
              <w:t>Opracowywanie i wdrażanie polityki w zakresie umiejętności na rzecz skutecznego procesu odkrywania przedsiębiorczości oraz przygotowanie lub aktualizacja strategii inteligentnej specjalizacji</w:t>
            </w:r>
          </w:p>
          <w:p w14:paraId="493A85D6" w14:textId="06EC9C36" w:rsidR="00A06340" w:rsidRDefault="00A06340"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4"/>
                <w:lang w:eastAsia="en-US"/>
              </w:rPr>
            </w:pPr>
            <w:r>
              <w:rPr>
                <w:rFonts w:asciiTheme="minorHAnsi" w:hAnsiTheme="minorHAnsi"/>
                <w:sz w:val="20"/>
              </w:rPr>
              <w:t>Podnoszenie umiejętności cyfrowych i ekologicznych, zwłaszcza wśród pracowników w priorytetowych obszarach technologicznych, które są powiązane z regionalnymi strategiami inteligentnej specjalizacji</w:t>
            </w:r>
          </w:p>
          <w:p w14:paraId="0849FF23" w14:textId="77777777" w:rsidR="00C7526B" w:rsidRDefault="00C7526B"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4"/>
                <w:lang w:eastAsia="en-US"/>
              </w:rPr>
            </w:pPr>
            <w:r>
              <w:rPr>
                <w:rFonts w:asciiTheme="minorHAnsi" w:hAnsiTheme="minorHAnsi"/>
                <w:sz w:val="20"/>
              </w:rPr>
              <w:t>Wspieranie przedsiębiorczości i wzmacnianie powiązanych z tym umiejętności</w:t>
            </w:r>
          </w:p>
          <w:p w14:paraId="41161182" w14:textId="4D7D6E20" w:rsidR="00AA1088" w:rsidRPr="007B42E1" w:rsidRDefault="00AA1088"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4"/>
                <w:lang w:eastAsia="en-US"/>
              </w:rPr>
            </w:pPr>
            <w:r>
              <w:rPr>
                <w:rFonts w:asciiTheme="minorHAnsi" w:hAnsiTheme="minorHAnsi"/>
                <w:sz w:val="20"/>
              </w:rPr>
              <w:t>Przeciwdziałanie utracie wykwalifikowanej siły roboczej w wyniku emigracji i drenażu mózgów, zwłaszcza na obszarach wiejskich i peryferyjnych</w:t>
            </w:r>
          </w:p>
          <w:p w14:paraId="1E2620CD" w14:textId="6578C3E4" w:rsidR="003A1AF9" w:rsidRDefault="00C7526B" w:rsidP="00D80606">
            <w:pPr>
              <w:ind w:left="0" w:right="0"/>
              <w:jc w:val="left"/>
              <w:rPr>
                <w:rFonts w:asciiTheme="minorHAnsi" w:eastAsia="Times New Roman" w:hAnsiTheme="minorHAnsi" w:cs="Times New Roman"/>
                <w:b/>
                <w:bCs/>
                <w:iCs/>
                <w:color w:val="5D6867" w:themeColor="accent1" w:themeShade="BF"/>
                <w:sz w:val="24"/>
                <w:szCs w:val="24"/>
                <w:lang w:eastAsia="en-US"/>
              </w:rPr>
            </w:pPr>
            <w:r>
              <w:rPr>
                <w:rFonts w:asciiTheme="minorHAnsi" w:hAnsiTheme="minorHAnsi"/>
                <w:sz w:val="20"/>
              </w:rPr>
              <w:t xml:space="preserve">Forma wsparcia:  dotacje </w:t>
            </w:r>
          </w:p>
        </w:tc>
      </w:tr>
      <w:tr w:rsidR="008F6BAB" w:rsidRPr="005F09AF" w14:paraId="68A20C9B" w14:textId="77777777" w:rsidTr="00D806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6"/>
        </w:trPr>
        <w:tc>
          <w:tcPr>
            <w:tcW w:w="1696" w:type="dxa"/>
            <w:tcBorders>
              <w:top w:val="single" w:sz="4" w:space="0" w:color="auto"/>
              <w:left w:val="single" w:sz="4" w:space="0" w:color="auto"/>
              <w:bottom w:val="single" w:sz="4" w:space="0" w:color="auto"/>
              <w:right w:val="single" w:sz="4" w:space="0" w:color="auto"/>
            </w:tcBorders>
          </w:tcPr>
          <w:p w14:paraId="12EF4C56" w14:textId="77777777" w:rsidR="008F6BAB" w:rsidRPr="00A92CF6" w:rsidRDefault="008F6BAB" w:rsidP="00BD74C0">
            <w:pPr>
              <w:ind w:left="0" w:right="0"/>
              <w:jc w:val="left"/>
              <w:rPr>
                <w:rFonts w:asciiTheme="minorHAnsi" w:eastAsia="Times New Roman" w:hAnsiTheme="minorHAnsi" w:cs="Times New Roman"/>
                <w:b/>
                <w:sz w:val="20"/>
                <w:szCs w:val="20"/>
              </w:rPr>
            </w:pPr>
            <w:r>
              <w:rPr>
                <w:rFonts w:asciiTheme="minorHAnsi" w:hAnsiTheme="minorHAnsi"/>
                <w:b/>
                <w:sz w:val="20"/>
              </w:rPr>
              <w:lastRenderedPageBreak/>
              <w:t xml:space="preserve">PO2 – </w:t>
            </w:r>
          </w:p>
          <w:p w14:paraId="015035A5" w14:textId="77777777" w:rsidR="008F6BAB" w:rsidRPr="00A92CF6" w:rsidRDefault="008F6BAB" w:rsidP="00BD74C0">
            <w:pPr>
              <w:ind w:left="0" w:right="0"/>
              <w:jc w:val="left"/>
              <w:rPr>
                <w:rFonts w:asciiTheme="minorHAnsi" w:eastAsia="Times New Roman" w:hAnsiTheme="minorHAnsi" w:cs="Times New Roman"/>
                <w:b/>
                <w:sz w:val="20"/>
                <w:szCs w:val="20"/>
              </w:rPr>
            </w:pPr>
            <w:r>
              <w:rPr>
                <w:rFonts w:asciiTheme="minorHAnsi" w:hAnsiTheme="minorHAnsi"/>
                <w:b/>
                <w:sz w:val="20"/>
              </w:rPr>
              <w:t>Bardziej ekologiczna, niskoemisyjna Europa przez promowanie ekologicznej i sprawiedliwej transformacji energetycznej, zielonych i niebieskich inwestycji, gospodarki o obiegu zamkniętym, dostosowania do zmian klimatu i przeciwdziałania i zarządzania ryzykiem</w:t>
            </w:r>
          </w:p>
        </w:tc>
        <w:tc>
          <w:tcPr>
            <w:tcW w:w="1560" w:type="dxa"/>
            <w:tcBorders>
              <w:top w:val="single" w:sz="4" w:space="0" w:color="auto"/>
              <w:left w:val="single" w:sz="4" w:space="0" w:color="auto"/>
              <w:bottom w:val="single" w:sz="4" w:space="0" w:color="auto"/>
              <w:right w:val="single" w:sz="4" w:space="0" w:color="auto"/>
            </w:tcBorders>
          </w:tcPr>
          <w:p w14:paraId="7D26A978" w14:textId="77777777" w:rsidR="008F6BAB" w:rsidRPr="00A92CF6" w:rsidRDefault="008F6BAB" w:rsidP="00BD74C0">
            <w:pPr>
              <w:ind w:left="0" w:right="0"/>
              <w:jc w:val="left"/>
              <w:rPr>
                <w:rFonts w:asciiTheme="minorHAnsi" w:hAnsiTheme="minorHAnsi"/>
                <w:sz w:val="20"/>
                <w:szCs w:val="20"/>
                <w:highlight w:val="yellow"/>
              </w:rPr>
            </w:pPr>
            <w:r>
              <w:rPr>
                <w:rFonts w:asciiTheme="minorHAnsi" w:hAnsiTheme="minorHAnsi"/>
                <w:sz w:val="20"/>
              </w:rPr>
              <w:t>(i) Promowanie działań zwiększających efektywność energetyczną i zmniejszanie emisji gazów cieplarnianych</w:t>
            </w:r>
          </w:p>
        </w:tc>
        <w:tc>
          <w:tcPr>
            <w:tcW w:w="1559" w:type="dxa"/>
            <w:tcBorders>
              <w:top w:val="single" w:sz="4" w:space="0" w:color="auto"/>
              <w:left w:val="single" w:sz="4" w:space="0" w:color="auto"/>
              <w:bottom w:val="single" w:sz="4" w:space="0" w:color="auto"/>
              <w:right w:val="single" w:sz="4" w:space="0" w:color="auto"/>
            </w:tcBorders>
          </w:tcPr>
          <w:p w14:paraId="4F405914" w14:textId="77777777" w:rsidR="008F6BAB" w:rsidRPr="00A3252D" w:rsidRDefault="008F6BAB" w:rsidP="00BD74C0">
            <w:pPr>
              <w:ind w:left="0" w:right="0"/>
              <w:jc w:val="left"/>
              <w:rPr>
                <w:rFonts w:asciiTheme="minorHAnsi" w:eastAsia="Times New Roman" w:hAnsiTheme="minorHAnsi" w:cs="Times New Roman"/>
                <w:b/>
                <w:szCs w:val="20"/>
              </w:rPr>
            </w:pPr>
            <w:r>
              <w:rPr>
                <w:rFonts w:asciiTheme="minorHAnsi" w:hAnsiTheme="minorHAnsi"/>
                <w:b/>
              </w:rPr>
              <w:t>Priorytet 2 –</w:t>
            </w:r>
          </w:p>
          <w:p w14:paraId="72A63CA3" w14:textId="77777777" w:rsidR="008F6BAB" w:rsidRPr="00685684" w:rsidRDefault="008F6BAB" w:rsidP="00BD74C0">
            <w:pPr>
              <w:ind w:left="0" w:right="0"/>
              <w:jc w:val="left"/>
              <w:rPr>
                <w:rFonts w:asciiTheme="minorHAnsi" w:eastAsia="Times New Roman" w:hAnsiTheme="minorHAnsi" w:cs="Times New Roman"/>
                <w:sz w:val="20"/>
                <w:szCs w:val="20"/>
                <w:highlight w:val="yellow"/>
              </w:rPr>
            </w:pPr>
            <w:r w:rsidRPr="00013AEE">
              <w:rPr>
                <w:rFonts w:asciiTheme="minorHAnsi" w:hAnsiTheme="minorHAnsi"/>
              </w:rPr>
              <w:t xml:space="preserve">Współpraca na rzecz bardziej zielonej Europy Środkowej </w:t>
            </w:r>
          </w:p>
        </w:tc>
        <w:tc>
          <w:tcPr>
            <w:tcW w:w="5246" w:type="dxa"/>
            <w:tcBorders>
              <w:top w:val="single" w:sz="4" w:space="0" w:color="auto"/>
              <w:left w:val="single" w:sz="4" w:space="0" w:color="auto"/>
              <w:bottom w:val="single" w:sz="4" w:space="0" w:color="auto"/>
              <w:right w:val="single" w:sz="4" w:space="0" w:color="auto"/>
            </w:tcBorders>
          </w:tcPr>
          <w:p w14:paraId="6E713A64" w14:textId="77777777" w:rsidR="008F6BAB" w:rsidRDefault="008F6BAB" w:rsidP="00D80606">
            <w:pPr>
              <w:ind w:left="0" w:right="0"/>
              <w:jc w:val="left"/>
              <w:rPr>
                <w:rFonts w:asciiTheme="minorHAnsi" w:eastAsia="Times New Roman" w:hAnsiTheme="minorHAnsi" w:cs="Times New Roman"/>
                <w:b/>
                <w:bCs/>
                <w:iCs/>
                <w:color w:val="5D6867" w:themeColor="accent1" w:themeShade="BF"/>
                <w:sz w:val="20"/>
                <w:szCs w:val="20"/>
                <w:u w:val="single"/>
                <w:lang w:eastAsia="en-US"/>
              </w:rPr>
            </w:pPr>
            <w:r>
              <w:rPr>
                <w:rFonts w:asciiTheme="minorHAnsi" w:hAnsiTheme="minorHAnsi"/>
                <w:sz w:val="20"/>
                <w:u w:val="single"/>
              </w:rPr>
              <w:t xml:space="preserve">Uzasadnienie wyboru celu polityki 2 </w:t>
            </w:r>
          </w:p>
          <w:p w14:paraId="08D9EDDE" w14:textId="77777777" w:rsidR="008F6BAB" w:rsidRDefault="008F6BAB"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 xml:space="preserve">Europa Środkowa jest obszarem bogatym w </w:t>
            </w:r>
            <w:r>
              <w:rPr>
                <w:rFonts w:asciiTheme="minorHAnsi" w:hAnsiTheme="minorHAnsi"/>
                <w:b/>
                <w:sz w:val="20"/>
              </w:rPr>
              <w:t>zasoby dziedzictwa naturalnego i różnorodnym biologicznie</w:t>
            </w:r>
            <w:r>
              <w:rPr>
                <w:rFonts w:asciiTheme="minorHAnsi" w:hAnsiTheme="minorHAnsi"/>
                <w:sz w:val="20"/>
              </w:rPr>
              <w:t xml:space="preserve">. Stanowi to ważny czynnik lokalizacyjny, któremu jednak zagrażają </w:t>
            </w:r>
            <w:r>
              <w:rPr>
                <w:rFonts w:asciiTheme="minorHAnsi" w:hAnsiTheme="minorHAnsi"/>
                <w:b/>
                <w:sz w:val="20"/>
              </w:rPr>
              <w:t>zmiany klimatyczne, działalność przemysłowa oraz niezrównoważone wzorce konsumpcji i mobilności</w:t>
            </w:r>
            <w:r>
              <w:rPr>
                <w:rFonts w:asciiTheme="minorHAnsi" w:hAnsiTheme="minorHAnsi"/>
                <w:sz w:val="20"/>
              </w:rPr>
              <w:t xml:space="preserve">. </w:t>
            </w:r>
          </w:p>
          <w:p w14:paraId="2B87018A" w14:textId="77777777" w:rsidR="008F6BAB" w:rsidRDefault="008F6BAB"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 xml:space="preserve">Zgodnie z </w:t>
            </w:r>
            <w:r>
              <w:rPr>
                <w:rFonts w:asciiTheme="minorHAnsi" w:hAnsiTheme="minorHAnsi"/>
                <w:b/>
                <w:sz w:val="20"/>
              </w:rPr>
              <w:t>Zielonym Ładem</w:t>
            </w:r>
            <w:r>
              <w:rPr>
                <w:rFonts w:asciiTheme="minorHAnsi" w:hAnsiTheme="minorHAnsi"/>
                <w:sz w:val="20"/>
              </w:rPr>
              <w:t>, terytoria muszą odpowiedzieć na wyzwania związane z degradacją środowiska i zmianą klimatu, poprzez zwiększenie efektywnego wykorzystania zasobów, ochronę i przywrócenie różnorodności biologicznej oraz zmniejszenie zanieczyszczeń.</w:t>
            </w:r>
          </w:p>
          <w:p w14:paraId="7552E532" w14:textId="77777777" w:rsidR="008F6BAB" w:rsidRPr="00B56EFE" w:rsidRDefault="008F6BAB" w:rsidP="00D80606">
            <w:pPr>
              <w:ind w:left="0" w:right="0"/>
              <w:jc w:val="left"/>
              <w:rPr>
                <w:rFonts w:asciiTheme="minorHAnsi" w:eastAsia="Times New Roman" w:hAnsiTheme="minorHAnsi" w:cs="Times New Roman"/>
                <w:b/>
                <w:bCs/>
                <w:iCs/>
                <w:color w:val="5D6867" w:themeColor="accent1" w:themeShade="BF"/>
                <w:sz w:val="20"/>
                <w:szCs w:val="20"/>
                <w:u w:val="single"/>
                <w:lang w:eastAsia="en-US"/>
              </w:rPr>
            </w:pPr>
            <w:r>
              <w:rPr>
                <w:rFonts w:asciiTheme="minorHAnsi" w:hAnsiTheme="minorHAnsi"/>
                <w:sz w:val="20"/>
                <w:u w:val="single"/>
              </w:rPr>
              <w:t>Uzasadnienie wyboru celu szczegółowego EFRR (i)</w:t>
            </w:r>
          </w:p>
          <w:p w14:paraId="082F95BF" w14:textId="77777777" w:rsidR="008F6BAB" w:rsidRPr="001D1D29" w:rsidRDefault="008F6BAB"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 xml:space="preserve">Jedno z głównych wyzwań związanych z przejściem na gospodarkę niskoemisyjną dotyczy środków </w:t>
            </w:r>
            <w:r>
              <w:rPr>
                <w:rFonts w:asciiTheme="minorHAnsi" w:hAnsiTheme="minorHAnsi"/>
                <w:b/>
                <w:sz w:val="20"/>
              </w:rPr>
              <w:t>łagodzących zmiany klimatu</w:t>
            </w:r>
            <w:r>
              <w:rPr>
                <w:rFonts w:asciiTheme="minorHAnsi" w:hAnsiTheme="minorHAnsi"/>
                <w:sz w:val="20"/>
              </w:rPr>
              <w:t xml:space="preserve"> i </w:t>
            </w:r>
            <w:r>
              <w:rPr>
                <w:rFonts w:asciiTheme="minorHAnsi" w:hAnsiTheme="minorHAnsi"/>
                <w:b/>
                <w:sz w:val="20"/>
              </w:rPr>
              <w:t>zwiększenia efektywności energetycznej</w:t>
            </w:r>
            <w:r>
              <w:rPr>
                <w:rFonts w:asciiTheme="minorHAnsi" w:hAnsiTheme="minorHAnsi"/>
                <w:sz w:val="20"/>
              </w:rPr>
              <w:t xml:space="preserve">. Ogólnie rzecz biorąc, zużycie energii i emisje gazów cieplarnianych w większości krajów Europy Środkowej są nadal powyżej średniej UE. Ponadto w wielu regionach nadal w </w:t>
            </w:r>
            <w:r>
              <w:rPr>
                <w:rFonts w:asciiTheme="minorHAnsi" w:hAnsiTheme="minorHAnsi"/>
                <w:b/>
                <w:sz w:val="20"/>
              </w:rPr>
              <w:t xml:space="preserve">dużym stopniu korzysta się z wysokoemisyjnych źródeł </w:t>
            </w:r>
            <w:r>
              <w:rPr>
                <w:rFonts w:asciiTheme="minorHAnsi" w:hAnsiTheme="minorHAnsi"/>
                <w:b/>
                <w:sz w:val="20"/>
              </w:rPr>
              <w:lastRenderedPageBreak/>
              <w:t>energii</w:t>
            </w:r>
            <w:r>
              <w:rPr>
                <w:rFonts w:asciiTheme="minorHAnsi" w:hAnsiTheme="minorHAnsi"/>
                <w:sz w:val="20"/>
              </w:rPr>
              <w:t xml:space="preserve">, a przejście na korzystanie z energii ze źródeł odnawialnych przebiega wolniej niż średnio w UE. Zagraża to realizacji celu, jakim jest osiągnięcie neutralności klimatycznej UE do 2050 roku. </w:t>
            </w:r>
          </w:p>
          <w:p w14:paraId="24906720" w14:textId="77777777" w:rsidR="008F6BAB" w:rsidRDefault="008F6BAB"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Współpraca transnarodowa oferuje wyraźną wartość dodaną między innymi w zakresie zaspokajania następujących szczególnych potrzeb (rodzaje i przykłady działań znajdują się w sekcji 2):</w:t>
            </w:r>
          </w:p>
          <w:p w14:paraId="52D10CF1" w14:textId="77777777" w:rsidR="008F6BAB" w:rsidRDefault="008F6BAB"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 xml:space="preserve">Zwiększenie efektywności energetycznej i wykorzystania energii odnawialnej w celu ograniczenia emisji gazów cieplarnianych </w:t>
            </w:r>
          </w:p>
          <w:p w14:paraId="38EA5CFB" w14:textId="77777777" w:rsidR="008F6BAB" w:rsidRDefault="008F6BAB"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Poprawa wydajności energetycznej budynków</w:t>
            </w:r>
          </w:p>
          <w:p w14:paraId="11FDE473" w14:textId="77777777" w:rsidR="008F6BAB" w:rsidRDefault="008F6BAB"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Wspieranie wdrażania i upowszechniania technologii i rozwiązań energooszczędnych we wszystkich sektorach</w:t>
            </w:r>
          </w:p>
          <w:p w14:paraId="5431CC65" w14:textId="77777777" w:rsidR="008F6BAB" w:rsidRPr="009E4078" w:rsidRDefault="008F6BAB"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 xml:space="preserve">Wzmocnienie polityki w zakresie zintegrowanego planowania gospodarki niskoemisyjnej </w:t>
            </w:r>
          </w:p>
          <w:p w14:paraId="157B1683" w14:textId="77777777" w:rsidR="008F6BAB" w:rsidRDefault="008F6BAB"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 xml:space="preserve">Wspieranie zmian zachowań w celu zmniejszenia zużycia energii </w:t>
            </w:r>
          </w:p>
          <w:p w14:paraId="2E1B4E92" w14:textId="77777777" w:rsidR="008F6BAB" w:rsidRPr="00671B38" w:rsidRDefault="008F6BAB" w:rsidP="00D80606">
            <w:pPr>
              <w:ind w:left="0" w:right="0"/>
              <w:jc w:val="left"/>
              <w:rPr>
                <w:rFonts w:asciiTheme="minorHAnsi" w:eastAsia="Times New Roman" w:hAnsiTheme="minorHAnsi" w:cs="Times New Roman"/>
                <w:b/>
                <w:bCs/>
                <w:iCs/>
                <w:color w:val="5D6867" w:themeColor="accent1" w:themeShade="BF"/>
                <w:sz w:val="24"/>
                <w:szCs w:val="24"/>
                <w:lang w:eastAsia="en-US"/>
              </w:rPr>
            </w:pPr>
            <w:r>
              <w:rPr>
                <w:rFonts w:asciiTheme="minorHAnsi" w:hAnsiTheme="minorHAnsi"/>
                <w:sz w:val="20"/>
              </w:rPr>
              <w:t>Forma wsparcia: dotacje</w:t>
            </w:r>
          </w:p>
        </w:tc>
      </w:tr>
      <w:tr w:rsidR="008F6BAB" w:rsidRPr="005F09AF" w14:paraId="534A1891" w14:textId="77777777" w:rsidTr="00D806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696" w:type="dxa"/>
            <w:tcBorders>
              <w:top w:val="single" w:sz="4" w:space="0" w:color="auto"/>
              <w:left w:val="single" w:sz="4" w:space="0" w:color="auto"/>
              <w:bottom w:val="single" w:sz="4" w:space="0" w:color="auto"/>
              <w:right w:val="single" w:sz="4" w:space="0" w:color="auto"/>
            </w:tcBorders>
          </w:tcPr>
          <w:p w14:paraId="2BCA80C9" w14:textId="77777777" w:rsidR="008F6BAB" w:rsidRPr="00A92CF6" w:rsidRDefault="008F6BAB" w:rsidP="00BD74C0">
            <w:pPr>
              <w:ind w:left="0" w:right="0"/>
              <w:jc w:val="left"/>
              <w:rPr>
                <w:rFonts w:asciiTheme="minorHAnsi" w:eastAsia="Times New Roman" w:hAnsiTheme="minorHAnsi" w:cs="Times New Roman"/>
                <w:b/>
                <w:sz w:val="20"/>
                <w:szCs w:val="20"/>
              </w:rPr>
            </w:pPr>
            <w:r>
              <w:rPr>
                <w:rFonts w:asciiTheme="minorHAnsi" w:hAnsiTheme="minorHAnsi"/>
                <w:b/>
                <w:sz w:val="20"/>
              </w:rPr>
              <w:lastRenderedPageBreak/>
              <w:t xml:space="preserve">PO2 – </w:t>
            </w:r>
          </w:p>
          <w:p w14:paraId="12BB56C5" w14:textId="77777777" w:rsidR="008F6BAB" w:rsidRDefault="008F6BAB" w:rsidP="00BD74C0">
            <w:pPr>
              <w:ind w:left="0" w:right="0"/>
              <w:jc w:val="left"/>
              <w:rPr>
                <w:rFonts w:asciiTheme="minorHAnsi" w:eastAsia="Times New Roman" w:hAnsiTheme="minorHAnsi" w:cs="Times New Roman"/>
                <w:b/>
                <w:sz w:val="20"/>
                <w:szCs w:val="20"/>
              </w:rPr>
            </w:pPr>
            <w:r>
              <w:rPr>
                <w:rFonts w:asciiTheme="minorHAnsi" w:hAnsiTheme="minorHAnsi"/>
                <w:b/>
                <w:sz w:val="20"/>
              </w:rPr>
              <w:t>Bardziej ekologiczna, niskoemisyjna Europa przez promowanie ekologicznej i sprawiedliwej transformacji energetycznej, zielonych i niebieskich inwestycji, gospodarki o obiegu zamkniętym, dostosowania do zmian klimatu i przeciwdziałania i zarządzania ryzykiem</w:t>
            </w:r>
          </w:p>
          <w:p w14:paraId="37FC7C70" w14:textId="77777777" w:rsidR="008F6BAB" w:rsidRPr="00671B38" w:rsidRDefault="008F6BAB" w:rsidP="00BD74C0">
            <w:pPr>
              <w:ind w:left="0" w:right="0"/>
              <w:jc w:val="center"/>
              <w:rPr>
                <w:rFonts w:asciiTheme="minorHAnsi" w:eastAsia="Times New Roman" w:hAnsiTheme="minorHAnsi"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14:paraId="6C3EA95B" w14:textId="77777777" w:rsidR="008F6BAB" w:rsidRPr="00B52ABA" w:rsidRDefault="008F6BAB" w:rsidP="00BD74C0">
            <w:pPr>
              <w:ind w:left="0" w:right="0"/>
              <w:jc w:val="left"/>
              <w:rPr>
                <w:rFonts w:asciiTheme="minorHAnsi" w:eastAsia="Times New Roman" w:hAnsiTheme="minorHAnsi" w:cs="Times New Roman"/>
                <w:sz w:val="20"/>
                <w:szCs w:val="20"/>
                <w:highlight w:val="yellow"/>
              </w:rPr>
            </w:pPr>
            <w:r>
              <w:rPr>
                <w:rFonts w:asciiTheme="minorHAnsi" w:hAnsiTheme="minorHAnsi"/>
                <w:sz w:val="20"/>
              </w:rPr>
              <w:lastRenderedPageBreak/>
              <w:t>(iv) Promowanie działań na rzecz dostosowania do zmian klimatu, przeciwdziałania ryzyku i odporności na katastrofy naturalne, z uwzględnieniem podejść opartych na ekosystemach</w:t>
            </w:r>
          </w:p>
        </w:tc>
        <w:tc>
          <w:tcPr>
            <w:tcW w:w="1559" w:type="dxa"/>
            <w:tcBorders>
              <w:top w:val="single" w:sz="4" w:space="0" w:color="auto"/>
              <w:left w:val="single" w:sz="4" w:space="0" w:color="auto"/>
              <w:bottom w:val="single" w:sz="4" w:space="0" w:color="auto"/>
              <w:right w:val="single" w:sz="4" w:space="0" w:color="auto"/>
            </w:tcBorders>
          </w:tcPr>
          <w:p w14:paraId="3AF3EBA4" w14:textId="77777777" w:rsidR="008F6BAB" w:rsidRPr="00C24273" w:rsidRDefault="008F6BAB" w:rsidP="00BD74C0">
            <w:pPr>
              <w:ind w:left="0" w:right="0"/>
              <w:jc w:val="left"/>
              <w:rPr>
                <w:rFonts w:asciiTheme="minorHAnsi" w:eastAsia="Times New Roman" w:hAnsiTheme="minorHAnsi" w:cs="Times New Roman"/>
                <w:b/>
                <w:szCs w:val="20"/>
              </w:rPr>
            </w:pPr>
            <w:r>
              <w:rPr>
                <w:rFonts w:asciiTheme="minorHAnsi" w:hAnsiTheme="minorHAnsi"/>
                <w:b/>
              </w:rPr>
              <w:t>Priorytet 2 –</w:t>
            </w:r>
          </w:p>
          <w:p w14:paraId="3AA3B57D" w14:textId="77777777" w:rsidR="008F6BAB" w:rsidRPr="00013AEE" w:rsidRDefault="008F6BAB" w:rsidP="00BD74C0">
            <w:pPr>
              <w:ind w:left="0" w:right="0"/>
              <w:jc w:val="left"/>
              <w:rPr>
                <w:rFonts w:asciiTheme="minorHAnsi" w:eastAsia="Times New Roman" w:hAnsiTheme="minorHAnsi" w:cs="Times New Roman"/>
                <w:sz w:val="20"/>
                <w:szCs w:val="20"/>
                <w:highlight w:val="yellow"/>
              </w:rPr>
            </w:pPr>
            <w:r w:rsidRPr="00013AEE">
              <w:rPr>
                <w:rFonts w:asciiTheme="minorHAnsi" w:hAnsiTheme="minorHAnsi"/>
              </w:rPr>
              <w:t xml:space="preserve">Współpraca na rzecz bardziej zielonej Europy Środkowej </w:t>
            </w:r>
          </w:p>
        </w:tc>
        <w:tc>
          <w:tcPr>
            <w:tcW w:w="5246" w:type="dxa"/>
            <w:tcBorders>
              <w:top w:val="single" w:sz="4" w:space="0" w:color="auto"/>
              <w:left w:val="single" w:sz="4" w:space="0" w:color="auto"/>
              <w:bottom w:val="single" w:sz="4" w:space="0" w:color="auto"/>
              <w:right w:val="single" w:sz="4" w:space="0" w:color="auto"/>
            </w:tcBorders>
          </w:tcPr>
          <w:p w14:paraId="35765E1E" w14:textId="77777777" w:rsidR="008F6BAB" w:rsidRDefault="008F6BAB" w:rsidP="00D80606">
            <w:pPr>
              <w:ind w:left="0" w:right="0"/>
              <w:jc w:val="left"/>
              <w:rPr>
                <w:rFonts w:asciiTheme="minorHAnsi" w:eastAsia="Times New Roman" w:hAnsiTheme="minorHAnsi" w:cs="Times New Roman"/>
                <w:b/>
                <w:bCs/>
                <w:iCs/>
                <w:color w:val="5D6867" w:themeColor="accent1" w:themeShade="BF"/>
                <w:sz w:val="20"/>
                <w:szCs w:val="20"/>
                <w:u w:val="single"/>
                <w:lang w:eastAsia="en-US"/>
              </w:rPr>
            </w:pPr>
            <w:r>
              <w:rPr>
                <w:rFonts w:asciiTheme="minorHAnsi" w:hAnsiTheme="minorHAnsi"/>
                <w:sz w:val="20"/>
                <w:u w:val="single"/>
              </w:rPr>
              <w:t xml:space="preserve">Uzasadnienie wyboru celu polityki 2 </w:t>
            </w:r>
          </w:p>
          <w:p w14:paraId="19057958" w14:textId="77777777" w:rsidR="008F6BAB" w:rsidRPr="00FF52E9" w:rsidRDefault="008F6BAB"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zobacz wyżej</w:t>
            </w:r>
          </w:p>
          <w:p w14:paraId="020CF3A6" w14:textId="77777777" w:rsidR="008F6BAB" w:rsidRPr="00275810" w:rsidRDefault="008F6BAB" w:rsidP="00D80606">
            <w:pPr>
              <w:ind w:left="0" w:right="0"/>
              <w:jc w:val="left"/>
              <w:rPr>
                <w:rFonts w:asciiTheme="minorHAnsi" w:eastAsia="Times New Roman" w:hAnsiTheme="minorHAnsi" w:cs="Times New Roman"/>
                <w:b/>
                <w:bCs/>
                <w:iCs/>
                <w:color w:val="5D6867" w:themeColor="accent1" w:themeShade="BF"/>
                <w:sz w:val="20"/>
                <w:szCs w:val="20"/>
                <w:u w:val="single"/>
                <w:lang w:eastAsia="en-US"/>
              </w:rPr>
            </w:pPr>
            <w:r>
              <w:rPr>
                <w:rFonts w:asciiTheme="minorHAnsi" w:hAnsiTheme="minorHAnsi"/>
                <w:sz w:val="20"/>
                <w:u w:val="single"/>
              </w:rPr>
              <w:t>Uzasadnienie wyboru celu szczegółowego EFRR (iv)</w:t>
            </w:r>
          </w:p>
          <w:p w14:paraId="45EBD024" w14:textId="77777777" w:rsidR="008F6BAB" w:rsidRPr="001D1D29" w:rsidRDefault="008F6BAB"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 xml:space="preserve">Zmiany klimatyczne mają poważny wpływ na Europę Środkową. </w:t>
            </w:r>
            <w:r>
              <w:rPr>
                <w:rFonts w:asciiTheme="minorHAnsi" w:hAnsiTheme="minorHAnsi"/>
                <w:b/>
                <w:sz w:val="20"/>
              </w:rPr>
              <w:t>Ekstremalne zjawiska pogodowe</w:t>
            </w:r>
            <w:r>
              <w:rPr>
                <w:rFonts w:asciiTheme="minorHAnsi" w:hAnsiTheme="minorHAnsi"/>
                <w:sz w:val="20"/>
              </w:rPr>
              <w:t>, takie jak fale upałów czy ulewne deszcze, znacznie nasiliły się w ostatnich latach. Spodziewane są jeszcze częstsze i bardziej dotkliwe powodzie, susze itp. Zmieniający się klimat ma wpływ na wiele sektorów gospodarki i działalności człowieka, a także na jego zdrowie i dobrobyt. Dotyczy to m.in. wyzwań związanych z upałami na obszarach miejskich, które stanowią szczególne zagrożenie dla bardziej narażonych grup społecznych.</w:t>
            </w:r>
          </w:p>
          <w:p w14:paraId="029CCEB3" w14:textId="77777777" w:rsidR="008F6BAB" w:rsidRPr="001D1D29" w:rsidRDefault="008F6BAB"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 xml:space="preserve">W celu zwiększenia </w:t>
            </w:r>
            <w:r>
              <w:rPr>
                <w:rFonts w:asciiTheme="minorHAnsi" w:hAnsiTheme="minorHAnsi"/>
                <w:b/>
                <w:sz w:val="20"/>
              </w:rPr>
              <w:t>odporności</w:t>
            </w:r>
            <w:r>
              <w:rPr>
                <w:rFonts w:asciiTheme="minorHAnsi" w:hAnsiTheme="minorHAnsi"/>
                <w:sz w:val="20"/>
              </w:rPr>
              <w:t xml:space="preserve"> terytoriów na </w:t>
            </w:r>
            <w:r>
              <w:rPr>
                <w:rFonts w:asciiTheme="minorHAnsi" w:hAnsiTheme="minorHAnsi"/>
                <w:b/>
                <w:sz w:val="20"/>
              </w:rPr>
              <w:t>zmiany klimatu</w:t>
            </w:r>
            <w:r>
              <w:rPr>
                <w:rFonts w:asciiTheme="minorHAnsi" w:hAnsiTheme="minorHAnsi"/>
                <w:sz w:val="20"/>
              </w:rPr>
              <w:t xml:space="preserve"> istnieje wyraźna potrzeba podjęcia </w:t>
            </w:r>
            <w:r>
              <w:rPr>
                <w:rFonts w:asciiTheme="minorHAnsi" w:hAnsiTheme="minorHAnsi"/>
                <w:b/>
                <w:sz w:val="20"/>
              </w:rPr>
              <w:t>dostosowanych do</w:t>
            </w:r>
            <w:r>
              <w:rPr>
                <w:rFonts w:asciiTheme="minorHAnsi" w:hAnsiTheme="minorHAnsi"/>
                <w:sz w:val="20"/>
              </w:rPr>
              <w:t xml:space="preserve"> potrzeb </w:t>
            </w:r>
            <w:r>
              <w:rPr>
                <w:rFonts w:asciiTheme="minorHAnsi" w:hAnsiTheme="minorHAnsi"/>
                <w:b/>
                <w:sz w:val="20"/>
              </w:rPr>
              <w:t>działań adaptacyjnych</w:t>
            </w:r>
            <w:r>
              <w:rPr>
                <w:rFonts w:asciiTheme="minorHAnsi" w:hAnsiTheme="minorHAnsi"/>
                <w:sz w:val="20"/>
              </w:rPr>
              <w:t xml:space="preserve"> oraz lepszego </w:t>
            </w:r>
            <w:r>
              <w:rPr>
                <w:rFonts w:asciiTheme="minorHAnsi" w:hAnsiTheme="minorHAnsi"/>
                <w:b/>
                <w:sz w:val="20"/>
              </w:rPr>
              <w:t>przygotowania na ryzyko i zarządzania nim</w:t>
            </w:r>
            <w:r>
              <w:rPr>
                <w:rFonts w:asciiTheme="minorHAnsi" w:hAnsiTheme="minorHAnsi"/>
                <w:sz w:val="20"/>
              </w:rPr>
              <w:t>.</w:t>
            </w:r>
          </w:p>
          <w:p w14:paraId="54B2566F" w14:textId="77777777" w:rsidR="008F6BAB" w:rsidRDefault="008F6BAB"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 xml:space="preserve">Współpraca transnarodowa oferuje wyraźną wartość dodaną między innymi w zakresie zaspokajania </w:t>
            </w:r>
            <w:r>
              <w:rPr>
                <w:rFonts w:asciiTheme="minorHAnsi" w:hAnsiTheme="minorHAnsi"/>
                <w:sz w:val="20"/>
              </w:rPr>
              <w:lastRenderedPageBreak/>
              <w:t>następujących szczególnych potrzeb (rodzaje i przykłady działań znajdują się w sekcji 2):</w:t>
            </w:r>
          </w:p>
          <w:p w14:paraId="58AABD03" w14:textId="77777777" w:rsidR="008F6BAB" w:rsidRPr="00984724" w:rsidRDefault="008F6BAB"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 xml:space="preserve">Zwiększanie odporności terytoriów na zmiany klimatyczne </w:t>
            </w:r>
          </w:p>
          <w:p w14:paraId="29220105" w14:textId="77777777" w:rsidR="008F6BAB" w:rsidRDefault="008F6BAB"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Wspieranie zintegrowanej polityki adaptacji do zmian klimatu na poziomie lokalnym i regionalnym</w:t>
            </w:r>
          </w:p>
          <w:p w14:paraId="188DE9FF" w14:textId="77777777" w:rsidR="008F6BAB" w:rsidRDefault="008F6BAB"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Wzmocnienie wdrażania dostosowanych do potrzeb środków adaptacyjnych do zmian klimatycznych we wszystkich sektorach</w:t>
            </w:r>
          </w:p>
          <w:p w14:paraId="17569290" w14:textId="77777777" w:rsidR="008F6BAB" w:rsidRDefault="008F6BAB"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Zwiększanie świadomości ryzyka, gotowości i metod prognozowania</w:t>
            </w:r>
          </w:p>
          <w:p w14:paraId="6F415741" w14:textId="77777777" w:rsidR="008F6BAB" w:rsidRDefault="008F6BAB"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Poprawa koordynacji i współpracy w zakresie zarządzania ryzykiem między terytoriami i ponad granicami</w:t>
            </w:r>
          </w:p>
          <w:p w14:paraId="38BD5A9D" w14:textId="77777777" w:rsidR="008F6BAB" w:rsidRPr="00136D67" w:rsidRDefault="008F6BAB" w:rsidP="00D80606">
            <w:pPr>
              <w:ind w:left="0" w:right="0"/>
              <w:jc w:val="left"/>
              <w:rPr>
                <w:rFonts w:asciiTheme="minorHAnsi" w:eastAsia="Times New Roman" w:hAnsiTheme="minorHAnsi" w:cs="Times New Roman"/>
                <w:b/>
                <w:bCs/>
                <w:iCs/>
                <w:color w:val="5D6867" w:themeColor="accent1" w:themeShade="BF"/>
                <w:sz w:val="20"/>
                <w:szCs w:val="20"/>
                <w:highlight w:val="yellow"/>
                <w:lang w:eastAsia="en-US"/>
              </w:rPr>
            </w:pPr>
            <w:r>
              <w:rPr>
                <w:rFonts w:asciiTheme="minorHAnsi" w:hAnsiTheme="minorHAnsi"/>
                <w:sz w:val="20"/>
              </w:rPr>
              <w:t xml:space="preserve">Forma wsparcia: dotacje </w:t>
            </w:r>
          </w:p>
        </w:tc>
      </w:tr>
      <w:tr w:rsidR="008F6BAB" w:rsidRPr="005F09AF" w14:paraId="375AEA0C" w14:textId="77777777" w:rsidTr="00D806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696" w:type="dxa"/>
            <w:tcBorders>
              <w:top w:val="single" w:sz="4" w:space="0" w:color="auto"/>
              <w:left w:val="single" w:sz="4" w:space="0" w:color="auto"/>
              <w:bottom w:val="single" w:sz="4" w:space="0" w:color="auto"/>
              <w:right w:val="single" w:sz="4" w:space="0" w:color="auto"/>
            </w:tcBorders>
          </w:tcPr>
          <w:p w14:paraId="5C9D6337" w14:textId="77777777" w:rsidR="008F6BAB" w:rsidRPr="00A92CF6" w:rsidRDefault="008F6BAB" w:rsidP="00BD74C0">
            <w:pPr>
              <w:ind w:left="0" w:right="0"/>
              <w:jc w:val="left"/>
              <w:rPr>
                <w:rFonts w:asciiTheme="minorHAnsi" w:eastAsia="Times New Roman" w:hAnsiTheme="minorHAnsi" w:cs="Times New Roman"/>
                <w:b/>
                <w:sz w:val="20"/>
                <w:szCs w:val="20"/>
              </w:rPr>
            </w:pPr>
            <w:r>
              <w:rPr>
                <w:rFonts w:asciiTheme="minorHAnsi" w:hAnsiTheme="minorHAnsi"/>
                <w:b/>
                <w:sz w:val="20"/>
              </w:rPr>
              <w:lastRenderedPageBreak/>
              <w:t xml:space="preserve">PO2 – </w:t>
            </w:r>
          </w:p>
          <w:p w14:paraId="1CF42E71" w14:textId="77777777" w:rsidR="008F6BAB" w:rsidRDefault="008F6BAB" w:rsidP="00BD74C0">
            <w:pPr>
              <w:ind w:left="0" w:right="0"/>
              <w:jc w:val="left"/>
              <w:rPr>
                <w:rFonts w:asciiTheme="minorHAnsi" w:eastAsia="Times New Roman" w:hAnsiTheme="minorHAnsi" w:cs="Times New Roman"/>
                <w:b/>
                <w:sz w:val="20"/>
                <w:szCs w:val="20"/>
              </w:rPr>
            </w:pPr>
            <w:r>
              <w:rPr>
                <w:rFonts w:asciiTheme="minorHAnsi" w:hAnsiTheme="minorHAnsi"/>
                <w:b/>
                <w:sz w:val="20"/>
              </w:rPr>
              <w:t>Bardziej ekologiczna, niskoemisyjna Europa przez promowanie ekologicznej i sprawiedliwej transformacji energetycznej, zielonych i niebieskich inwestycji, gospodarki o obiegu zamkniętym, dostosowania do zmian klimatu i przeciwdziałania i zarządzania ryzykiem</w:t>
            </w:r>
          </w:p>
          <w:p w14:paraId="5EA66962" w14:textId="77777777" w:rsidR="008F6BAB" w:rsidRPr="00671B38" w:rsidRDefault="008F6BAB" w:rsidP="00BD74C0">
            <w:pPr>
              <w:ind w:left="0" w:right="0"/>
              <w:jc w:val="center"/>
              <w:rPr>
                <w:rFonts w:asciiTheme="minorHAnsi" w:eastAsia="Times New Roman" w:hAnsiTheme="minorHAnsi"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14:paraId="3125C79E" w14:textId="77777777" w:rsidR="008F6BAB" w:rsidRPr="00A662AE" w:rsidRDefault="008F6BAB" w:rsidP="00BD74C0">
            <w:pPr>
              <w:ind w:left="0" w:right="0"/>
              <w:jc w:val="left"/>
              <w:rPr>
                <w:rFonts w:asciiTheme="minorHAnsi" w:eastAsia="Times New Roman" w:hAnsiTheme="minorHAnsi" w:cs="Times New Roman"/>
                <w:sz w:val="20"/>
                <w:szCs w:val="20"/>
                <w:highlight w:val="yellow"/>
              </w:rPr>
            </w:pPr>
            <w:r>
              <w:rPr>
                <w:rFonts w:asciiTheme="minorHAnsi" w:hAnsiTheme="minorHAnsi"/>
                <w:sz w:val="20"/>
              </w:rPr>
              <w:t>(vi) Promowanie przejścia do gospodarki o obiegu zamkniętym, o efektywnym wykorzystaniu zasobów</w:t>
            </w:r>
          </w:p>
        </w:tc>
        <w:tc>
          <w:tcPr>
            <w:tcW w:w="1559" w:type="dxa"/>
            <w:tcBorders>
              <w:top w:val="single" w:sz="4" w:space="0" w:color="auto"/>
              <w:left w:val="single" w:sz="4" w:space="0" w:color="auto"/>
              <w:bottom w:val="single" w:sz="4" w:space="0" w:color="auto"/>
              <w:right w:val="single" w:sz="4" w:space="0" w:color="auto"/>
            </w:tcBorders>
          </w:tcPr>
          <w:p w14:paraId="1167CB46" w14:textId="77777777" w:rsidR="008F6BAB" w:rsidRPr="00136D67" w:rsidRDefault="008F6BAB" w:rsidP="00BD74C0">
            <w:pPr>
              <w:ind w:left="0" w:right="0"/>
              <w:jc w:val="left"/>
              <w:rPr>
                <w:rFonts w:asciiTheme="minorHAnsi" w:eastAsia="Times New Roman" w:hAnsiTheme="minorHAnsi" w:cs="Times New Roman"/>
                <w:i/>
                <w:sz w:val="20"/>
                <w:szCs w:val="20"/>
                <w:highlight w:val="yellow"/>
              </w:rPr>
            </w:pPr>
            <w:r>
              <w:rPr>
                <w:rFonts w:asciiTheme="minorHAnsi" w:hAnsiTheme="minorHAnsi"/>
                <w:b/>
              </w:rPr>
              <w:t xml:space="preserve">Priorytet 2 – </w:t>
            </w:r>
            <w:r w:rsidRPr="00013AEE">
              <w:rPr>
                <w:rFonts w:asciiTheme="minorHAnsi" w:hAnsiTheme="minorHAnsi"/>
              </w:rPr>
              <w:t>Współpraca na rzecz bardziej zielonej Europy Środkowej</w:t>
            </w:r>
            <w:r>
              <w:rPr>
                <w:rFonts w:asciiTheme="minorHAnsi" w:hAnsiTheme="minorHAnsi"/>
                <w:i/>
              </w:rPr>
              <w:t xml:space="preserve"> </w:t>
            </w:r>
          </w:p>
        </w:tc>
        <w:tc>
          <w:tcPr>
            <w:tcW w:w="5246" w:type="dxa"/>
            <w:tcBorders>
              <w:top w:val="single" w:sz="4" w:space="0" w:color="auto"/>
              <w:left w:val="single" w:sz="4" w:space="0" w:color="auto"/>
              <w:bottom w:val="single" w:sz="4" w:space="0" w:color="auto"/>
              <w:right w:val="single" w:sz="4" w:space="0" w:color="auto"/>
            </w:tcBorders>
          </w:tcPr>
          <w:p w14:paraId="55EDEBDC" w14:textId="77777777" w:rsidR="008F6BAB" w:rsidRDefault="008F6BAB" w:rsidP="00D80606">
            <w:pPr>
              <w:ind w:left="0" w:right="0"/>
              <w:jc w:val="left"/>
              <w:rPr>
                <w:rFonts w:asciiTheme="minorHAnsi" w:eastAsia="Times New Roman" w:hAnsiTheme="minorHAnsi" w:cs="Times New Roman"/>
                <w:b/>
                <w:bCs/>
                <w:iCs/>
                <w:color w:val="5D6867" w:themeColor="accent1" w:themeShade="BF"/>
                <w:sz w:val="20"/>
                <w:szCs w:val="20"/>
                <w:u w:val="single"/>
                <w:lang w:eastAsia="en-US"/>
              </w:rPr>
            </w:pPr>
            <w:r>
              <w:rPr>
                <w:rFonts w:asciiTheme="minorHAnsi" w:hAnsiTheme="minorHAnsi"/>
                <w:sz w:val="20"/>
                <w:u w:val="single"/>
              </w:rPr>
              <w:t xml:space="preserve">Uzasadnienie wyboru celu polityki 2 </w:t>
            </w:r>
          </w:p>
          <w:p w14:paraId="237E2FF0" w14:textId="77777777" w:rsidR="008F6BAB" w:rsidRPr="00FF52E9" w:rsidRDefault="008F6BAB"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zobacz wyżej</w:t>
            </w:r>
          </w:p>
          <w:p w14:paraId="3B01DBEF" w14:textId="77777777" w:rsidR="008F6BAB" w:rsidRPr="00275810" w:rsidRDefault="008F6BAB" w:rsidP="00D80606">
            <w:pPr>
              <w:ind w:left="0" w:right="0"/>
              <w:jc w:val="left"/>
              <w:rPr>
                <w:rFonts w:asciiTheme="minorHAnsi" w:eastAsia="Times New Roman" w:hAnsiTheme="minorHAnsi" w:cs="Times New Roman"/>
                <w:b/>
                <w:bCs/>
                <w:iCs/>
                <w:color w:val="5D6867" w:themeColor="accent1" w:themeShade="BF"/>
                <w:sz w:val="20"/>
                <w:szCs w:val="20"/>
                <w:u w:val="single"/>
                <w:lang w:eastAsia="en-US"/>
              </w:rPr>
            </w:pPr>
            <w:r>
              <w:rPr>
                <w:rFonts w:asciiTheme="minorHAnsi" w:hAnsiTheme="minorHAnsi"/>
                <w:sz w:val="20"/>
                <w:u w:val="single"/>
              </w:rPr>
              <w:t>Uzasadnienie wyboru celu szczegółowego EFRR (vi)</w:t>
            </w:r>
          </w:p>
          <w:p w14:paraId="515F402E" w14:textId="77777777" w:rsidR="008F6BAB" w:rsidRPr="001D1D29" w:rsidRDefault="008F6BAB"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b/>
                <w:sz w:val="20"/>
              </w:rPr>
              <w:t>Zwiększanie efektywności wykorzystania zasobów, zapobieganie powstawaniu odpadów</w:t>
            </w:r>
            <w:r>
              <w:rPr>
                <w:rFonts w:asciiTheme="minorHAnsi" w:hAnsiTheme="minorHAnsi"/>
                <w:sz w:val="20"/>
              </w:rPr>
              <w:t xml:space="preserve"> oraz wykorzystywanie </w:t>
            </w:r>
            <w:r>
              <w:rPr>
                <w:rFonts w:asciiTheme="minorHAnsi" w:hAnsiTheme="minorHAnsi"/>
                <w:b/>
                <w:sz w:val="20"/>
              </w:rPr>
              <w:t>odpadów jako zasobów</w:t>
            </w:r>
            <w:r>
              <w:rPr>
                <w:rFonts w:asciiTheme="minorHAnsi" w:hAnsiTheme="minorHAnsi"/>
                <w:sz w:val="20"/>
              </w:rPr>
              <w:t xml:space="preserve"> ma kluczowe znaczenie dla przejścia do gospodarki o obiegu zamkniętym. Jest to kluczowe wyzwanie dla Europy Środkowej. Będzie to miało pozytywny wpływ nie tylko na zrównoważenie środowiskowe i neutralność pod względem emisji dwutlenku węgla, ale jest to również czynnik decydujący o konkurencyjności gospodarek krajowych i regionalnych. </w:t>
            </w:r>
          </w:p>
          <w:p w14:paraId="4E2E152E" w14:textId="77777777" w:rsidR="008F6BAB" w:rsidRPr="001D1D29" w:rsidRDefault="008F6BAB"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 xml:space="preserve">Mimo że gospodarka o obiegu zamkniętym w Europie Środkowej się rozwija, ogólnie rzecz biorąc, jest ona nadal raczej na </w:t>
            </w:r>
            <w:r>
              <w:rPr>
                <w:rFonts w:asciiTheme="minorHAnsi" w:hAnsiTheme="minorHAnsi"/>
                <w:b/>
                <w:sz w:val="20"/>
              </w:rPr>
              <w:t>początkowym etapie rozwoju</w:t>
            </w:r>
            <w:r>
              <w:rPr>
                <w:rFonts w:asciiTheme="minorHAnsi" w:hAnsiTheme="minorHAnsi"/>
                <w:sz w:val="20"/>
              </w:rPr>
              <w:t xml:space="preserve">. Na przykład, istnieją duże różnice pomiędzy krajami w zużyciu materiałów i wskaźnikach recyklingu odpadów komunalnych. Wskazuje to na wyraźną konieczność podjęcia dalszych wysiłków w celu osiągnięcia odpowiednich celów europejskich (np. 65% poziom recyklingu do 2035 r.). </w:t>
            </w:r>
          </w:p>
          <w:p w14:paraId="58EF51D6" w14:textId="77777777" w:rsidR="008F6BAB" w:rsidRDefault="008F6BAB"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Współpraca transnarodowa oferuje wyraźną wartość dodaną między innymi w zakresie zaspokajania następujących szczególnych potrzeb (rodzaje i przykłady działań znajdują się w sekcji 2):</w:t>
            </w:r>
          </w:p>
          <w:p w14:paraId="70236D8F" w14:textId="77777777" w:rsidR="008F6BAB" w:rsidRPr="00736F9F" w:rsidRDefault="008F6BAB"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lastRenderedPageBreak/>
              <w:t>Promowanie polityki w zakresie gospodarki o obiegu zamkniętym na wszystkich szczeblach terytorialnych</w:t>
            </w:r>
          </w:p>
          <w:p w14:paraId="1A2EF998" w14:textId="77777777" w:rsidR="008F6BAB" w:rsidRDefault="008F6BAB"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Zwiększanie efektywności wykorzystania zasobów i recyklingu odpadów we wszystkich sektorach</w:t>
            </w:r>
          </w:p>
          <w:p w14:paraId="1729EC40" w14:textId="77777777" w:rsidR="008F6BAB" w:rsidRDefault="008F6BAB"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Wzmacnianie okrężnych łańcuchów wartości dodanej oraz wdrażanie rozwiązań i technologii efektywnych pod względem zasobów</w:t>
            </w:r>
          </w:p>
          <w:p w14:paraId="3E591749" w14:textId="77777777" w:rsidR="008F6BAB" w:rsidRDefault="008F6BAB"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Powodowanie zmian zachowań i stymulowanie powstawania nowych modeli biznesowych</w:t>
            </w:r>
          </w:p>
          <w:p w14:paraId="7ADF22A8" w14:textId="77777777" w:rsidR="008F6BAB" w:rsidRDefault="008F6BAB"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Wzmacnianie umiejętności w zakresie gospodarki o obiegu zamkniętym w sektorze prywatnym i publicznym</w:t>
            </w:r>
          </w:p>
          <w:p w14:paraId="5D4190BF" w14:textId="77777777" w:rsidR="008F6BAB" w:rsidRPr="005D473B" w:rsidRDefault="008F6BAB" w:rsidP="00D80606">
            <w:pPr>
              <w:ind w:left="0" w:right="0"/>
              <w:jc w:val="left"/>
              <w:rPr>
                <w:rFonts w:asciiTheme="minorHAnsi" w:eastAsia="Times New Roman" w:hAnsiTheme="minorHAnsi" w:cs="Times New Roman"/>
                <w:b/>
                <w:bCs/>
                <w:iCs/>
                <w:color w:val="5D6867" w:themeColor="accent1" w:themeShade="BF"/>
                <w:sz w:val="24"/>
                <w:szCs w:val="24"/>
                <w:highlight w:val="yellow"/>
                <w:lang w:eastAsia="en-US"/>
              </w:rPr>
            </w:pPr>
            <w:r>
              <w:rPr>
                <w:rFonts w:asciiTheme="minorHAnsi" w:hAnsiTheme="minorHAnsi"/>
                <w:sz w:val="20"/>
              </w:rPr>
              <w:t xml:space="preserve">Forma wsparcia: dotacje </w:t>
            </w:r>
          </w:p>
        </w:tc>
      </w:tr>
      <w:tr w:rsidR="008F6BAB" w:rsidRPr="005F09AF" w14:paraId="1D5FF2D2" w14:textId="77777777" w:rsidTr="00D806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260"/>
        </w:trPr>
        <w:tc>
          <w:tcPr>
            <w:tcW w:w="1696" w:type="dxa"/>
            <w:tcBorders>
              <w:top w:val="single" w:sz="4" w:space="0" w:color="auto"/>
              <w:left w:val="single" w:sz="4" w:space="0" w:color="auto"/>
              <w:bottom w:val="single" w:sz="4" w:space="0" w:color="auto"/>
              <w:right w:val="single" w:sz="4" w:space="0" w:color="auto"/>
            </w:tcBorders>
          </w:tcPr>
          <w:p w14:paraId="35D18F19" w14:textId="77777777" w:rsidR="008F6BAB" w:rsidRPr="00A92CF6" w:rsidRDefault="008F6BAB"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b/>
                <w:sz w:val="20"/>
              </w:rPr>
              <w:lastRenderedPageBreak/>
              <w:t xml:space="preserve">PO2 – </w:t>
            </w:r>
          </w:p>
          <w:p w14:paraId="436B8986" w14:textId="77777777" w:rsidR="008F6BAB" w:rsidRDefault="008F6BAB"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b/>
                <w:sz w:val="20"/>
              </w:rPr>
              <w:t>Bardziej ekologiczna, niskoemisyjna Europa przez promowanie ekologicznej i sprawiedliwej transformacji energetycznej, zielonych i niebieskich inwestycji, gospodarki o obiegu zamkniętym, dostosowania do zmian klimatu i przeciwdziałania i zarządzania ryzykiem</w:t>
            </w:r>
          </w:p>
          <w:p w14:paraId="0F87B28C" w14:textId="77777777" w:rsidR="008F6BAB" w:rsidRPr="00671B38" w:rsidRDefault="008F6BAB" w:rsidP="00BD74C0">
            <w:pPr>
              <w:ind w:left="0" w:right="0"/>
              <w:jc w:val="center"/>
              <w:rPr>
                <w:rFonts w:asciiTheme="minorHAnsi" w:eastAsia="Times New Roman" w:hAnsiTheme="minorHAnsi" w:cs="Times New Roman"/>
                <w:b/>
                <w:sz w:val="20"/>
                <w:szCs w:val="20"/>
              </w:rPr>
            </w:pPr>
          </w:p>
        </w:tc>
        <w:tc>
          <w:tcPr>
            <w:tcW w:w="1560" w:type="dxa"/>
            <w:tcBorders>
              <w:top w:val="single" w:sz="4" w:space="0" w:color="auto"/>
              <w:left w:val="single" w:sz="4" w:space="0" w:color="auto"/>
              <w:bottom w:val="single" w:sz="4" w:space="0" w:color="auto"/>
              <w:right w:val="single" w:sz="4" w:space="0" w:color="auto"/>
            </w:tcBorders>
          </w:tcPr>
          <w:p w14:paraId="63D968AB" w14:textId="77777777" w:rsidR="008F6BAB" w:rsidRPr="00A662AE" w:rsidRDefault="008F6BAB" w:rsidP="00BD74C0">
            <w:pPr>
              <w:ind w:left="0" w:right="0"/>
              <w:jc w:val="left"/>
              <w:rPr>
                <w:rFonts w:asciiTheme="minorHAnsi" w:eastAsia="Times New Roman" w:hAnsiTheme="minorHAnsi" w:cs="Times New Roman"/>
                <w:sz w:val="20"/>
                <w:szCs w:val="20"/>
                <w:highlight w:val="yellow"/>
              </w:rPr>
            </w:pPr>
            <w:r>
              <w:rPr>
                <w:rFonts w:asciiTheme="minorHAnsi" w:hAnsiTheme="minorHAnsi"/>
                <w:sz w:val="20"/>
              </w:rPr>
              <w:t xml:space="preserve">(vii) Wzmacnianie </w:t>
            </w:r>
            <w:r>
              <w:t xml:space="preserve"> </w:t>
            </w:r>
            <w:r>
              <w:rPr>
                <w:rFonts w:asciiTheme="minorHAnsi" w:hAnsiTheme="minorHAnsi"/>
                <w:sz w:val="20"/>
              </w:rPr>
              <w:t>ochrony i zachowania przyrody, różnorodności biologicznej i zielonej infrastruktury, w tym na obszarach miejskich, oraz ograniczenie wszelkich form zanieczyszczeń</w:t>
            </w:r>
          </w:p>
        </w:tc>
        <w:tc>
          <w:tcPr>
            <w:tcW w:w="1559" w:type="dxa"/>
            <w:tcBorders>
              <w:top w:val="single" w:sz="4" w:space="0" w:color="auto"/>
              <w:left w:val="single" w:sz="4" w:space="0" w:color="auto"/>
              <w:bottom w:val="single" w:sz="4" w:space="0" w:color="auto"/>
              <w:right w:val="single" w:sz="4" w:space="0" w:color="auto"/>
            </w:tcBorders>
          </w:tcPr>
          <w:p w14:paraId="269150B9" w14:textId="77777777" w:rsidR="008F6BAB" w:rsidRPr="003A1AF9" w:rsidRDefault="008F6BAB" w:rsidP="00D80606">
            <w:pPr>
              <w:ind w:left="0" w:right="0"/>
              <w:jc w:val="left"/>
              <w:rPr>
                <w:rFonts w:asciiTheme="minorHAnsi" w:eastAsia="Times New Roman" w:hAnsiTheme="minorHAnsi" w:cs="Times New Roman"/>
                <w:b/>
                <w:bCs/>
                <w:i/>
                <w:iCs/>
                <w:color w:val="5D6867" w:themeColor="accent1" w:themeShade="BF"/>
                <w:sz w:val="20"/>
                <w:szCs w:val="20"/>
                <w:highlight w:val="yellow"/>
                <w:lang w:eastAsia="en-US"/>
              </w:rPr>
            </w:pPr>
            <w:r>
              <w:rPr>
                <w:rFonts w:asciiTheme="minorHAnsi" w:hAnsiTheme="minorHAnsi"/>
                <w:b/>
              </w:rPr>
              <w:t xml:space="preserve">Priorytet 2 – </w:t>
            </w:r>
            <w:r w:rsidRPr="00013AEE">
              <w:rPr>
                <w:rFonts w:asciiTheme="minorHAnsi" w:hAnsiTheme="minorHAnsi"/>
              </w:rPr>
              <w:t>Współpraca na rzecz bardziej zielonej Europy Środkowej</w:t>
            </w:r>
            <w:r>
              <w:rPr>
                <w:rFonts w:asciiTheme="minorHAnsi" w:hAnsiTheme="minorHAnsi"/>
                <w:i/>
              </w:rPr>
              <w:t xml:space="preserve"> </w:t>
            </w:r>
          </w:p>
        </w:tc>
        <w:tc>
          <w:tcPr>
            <w:tcW w:w="5246" w:type="dxa"/>
            <w:tcBorders>
              <w:top w:val="single" w:sz="4" w:space="0" w:color="auto"/>
              <w:left w:val="single" w:sz="4" w:space="0" w:color="auto"/>
              <w:bottom w:val="single" w:sz="4" w:space="0" w:color="auto"/>
              <w:right w:val="single" w:sz="4" w:space="0" w:color="auto"/>
            </w:tcBorders>
          </w:tcPr>
          <w:p w14:paraId="2FD29290" w14:textId="77777777" w:rsidR="008F6BAB" w:rsidRDefault="008F6BAB" w:rsidP="00D80606">
            <w:pPr>
              <w:ind w:left="0" w:right="0"/>
              <w:jc w:val="left"/>
              <w:rPr>
                <w:rFonts w:asciiTheme="minorHAnsi" w:eastAsia="Times New Roman" w:hAnsiTheme="minorHAnsi" w:cs="Times New Roman"/>
                <w:b/>
                <w:bCs/>
                <w:iCs/>
                <w:color w:val="5D6867" w:themeColor="accent1" w:themeShade="BF"/>
                <w:sz w:val="20"/>
                <w:szCs w:val="20"/>
                <w:u w:val="single"/>
                <w:lang w:eastAsia="en-US"/>
              </w:rPr>
            </w:pPr>
            <w:r>
              <w:rPr>
                <w:rFonts w:asciiTheme="minorHAnsi" w:hAnsiTheme="minorHAnsi"/>
                <w:sz w:val="20"/>
                <w:u w:val="single"/>
              </w:rPr>
              <w:t xml:space="preserve">Uzasadnienie wyboru celu polityki 2 </w:t>
            </w:r>
          </w:p>
          <w:p w14:paraId="3C4D717C" w14:textId="77777777" w:rsidR="008F6BAB" w:rsidRPr="00FF52E9" w:rsidRDefault="008F6BAB"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zobacz wyżej</w:t>
            </w:r>
          </w:p>
          <w:p w14:paraId="02076D5B" w14:textId="77777777" w:rsidR="008F6BAB" w:rsidRPr="00275810" w:rsidRDefault="008F6BAB" w:rsidP="00D80606">
            <w:pPr>
              <w:ind w:left="0" w:right="0"/>
              <w:jc w:val="left"/>
              <w:rPr>
                <w:rFonts w:asciiTheme="minorHAnsi" w:eastAsia="Times New Roman" w:hAnsiTheme="minorHAnsi" w:cs="Times New Roman"/>
                <w:b/>
                <w:bCs/>
                <w:iCs/>
                <w:color w:val="5D6867" w:themeColor="accent1" w:themeShade="BF"/>
                <w:sz w:val="20"/>
                <w:szCs w:val="20"/>
                <w:u w:val="single"/>
                <w:lang w:eastAsia="en-US"/>
              </w:rPr>
            </w:pPr>
            <w:r>
              <w:rPr>
                <w:rFonts w:asciiTheme="minorHAnsi" w:hAnsiTheme="minorHAnsi"/>
                <w:sz w:val="20"/>
                <w:u w:val="single"/>
              </w:rPr>
              <w:t>Uzasadnienie wyboru celu szczegółowego EFRR (vii)</w:t>
            </w:r>
          </w:p>
          <w:p w14:paraId="71FADE39" w14:textId="77777777" w:rsidR="008F6BAB" w:rsidRPr="001D1D29" w:rsidRDefault="008F6BAB"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 xml:space="preserve">Dziewicza przyroda i bogate dziedzictwo naturalne oraz różnorodność biologiczna w Europie Środkowej stanowią ważne zasoby i czynniki lokalizacji. Bogactwo to wynika również z </w:t>
            </w:r>
            <w:r>
              <w:rPr>
                <w:rFonts w:asciiTheme="minorHAnsi" w:hAnsiTheme="minorHAnsi"/>
                <w:b/>
                <w:sz w:val="20"/>
              </w:rPr>
              <w:t>dużej różnorodności regionów biogeograficznych, krajobrazów i ekosystemów</w:t>
            </w:r>
            <w:r>
              <w:rPr>
                <w:rFonts w:asciiTheme="minorHAnsi" w:hAnsiTheme="minorHAnsi"/>
                <w:sz w:val="20"/>
              </w:rPr>
              <w:t>, które można znaleźć w Europie Środkowej, począwszy od dużych obszarów leśnych i rolnych, poprzez obszary górskie, cieki wodne, wybrzeża, morze, równiny, jeziora, aż po obszary zurbanizowane. Obszar Europy Środkowej obejmuje ważne ekosystemy i korytarze ekologiczne, które rozciągają się ponad granicami (np. Zielony Pas).</w:t>
            </w:r>
          </w:p>
          <w:p w14:paraId="402C2A51" w14:textId="77777777" w:rsidR="008F6BAB" w:rsidRPr="001D1D29" w:rsidRDefault="008F6BAB"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 xml:space="preserve">Mimo to w Europie Środkowej obserwuje się ciągłą </w:t>
            </w:r>
            <w:r>
              <w:rPr>
                <w:rFonts w:asciiTheme="minorHAnsi" w:hAnsiTheme="minorHAnsi"/>
                <w:b/>
                <w:sz w:val="20"/>
              </w:rPr>
              <w:t>utratę różnorodności biologicznej</w:t>
            </w:r>
            <w:r>
              <w:rPr>
                <w:rFonts w:asciiTheme="minorHAnsi" w:hAnsiTheme="minorHAnsi"/>
                <w:sz w:val="20"/>
              </w:rPr>
              <w:t xml:space="preserve"> spowodowaną zmianami w użytkowaniu gruntów, wydobyciem zasobów naturalnych, zmianami klimatu i inwazyjnymi gatunkami obcymi. </w:t>
            </w:r>
            <w:r>
              <w:rPr>
                <w:rFonts w:asciiTheme="minorHAnsi" w:hAnsiTheme="minorHAnsi"/>
                <w:b/>
                <w:sz w:val="20"/>
              </w:rPr>
              <w:t>Niezrównoważona działalność gospodarcza</w:t>
            </w:r>
            <w:r>
              <w:rPr>
                <w:rFonts w:asciiTheme="minorHAnsi" w:hAnsiTheme="minorHAnsi"/>
                <w:sz w:val="20"/>
              </w:rPr>
              <w:t xml:space="preserve"> prowadzi do zanieczyszczenia powietrza, wody i gleby, które jest szczególnie wysokie na obszarach przemysłowych Europy Środkowej. Prowadzi to do dalszego pogorszenia warunków w ekosystemach, co jeszcze bardziej ograniczy ich zdolność do świadczenia </w:t>
            </w:r>
            <w:r>
              <w:rPr>
                <w:rFonts w:asciiTheme="minorHAnsi" w:hAnsiTheme="minorHAnsi"/>
                <w:b/>
                <w:sz w:val="20"/>
              </w:rPr>
              <w:t xml:space="preserve">podstawowych usług </w:t>
            </w:r>
            <w:r>
              <w:rPr>
                <w:rFonts w:asciiTheme="minorHAnsi" w:hAnsiTheme="minorHAnsi"/>
                <w:sz w:val="20"/>
              </w:rPr>
              <w:t xml:space="preserve">ekosystemowych. </w:t>
            </w:r>
          </w:p>
          <w:p w14:paraId="79604EB2" w14:textId="77777777" w:rsidR="008F6BAB" w:rsidRDefault="008F6BAB"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 xml:space="preserve">Współpraca transnarodowa oferuje wyraźną wartość </w:t>
            </w:r>
            <w:r>
              <w:rPr>
                <w:rFonts w:asciiTheme="minorHAnsi" w:hAnsiTheme="minorHAnsi"/>
                <w:sz w:val="20"/>
              </w:rPr>
              <w:lastRenderedPageBreak/>
              <w:t>dodaną między innymi w zakresie zaspokajania następujących szczególnych potrzeb (rodzaje i przykłady działań znajdują się w sekcji 2):</w:t>
            </w:r>
          </w:p>
          <w:p w14:paraId="7EB80ABB" w14:textId="77777777" w:rsidR="008F6BAB" w:rsidRPr="00984724" w:rsidRDefault="008F6BAB"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Zapobieganie utracie różnorodności biologicznej i zapewnienie łączności ekologicznej</w:t>
            </w:r>
          </w:p>
          <w:p w14:paraId="7580A2BD" w14:textId="77777777" w:rsidR="008F6BAB" w:rsidRPr="00984724" w:rsidRDefault="008F6BAB"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Zachowanie i wzmocnienie usług ekosystemów z korzyścią dla ludności</w:t>
            </w:r>
          </w:p>
          <w:p w14:paraId="62F021C5" w14:textId="77777777" w:rsidR="008F6BAB" w:rsidRPr="00984724" w:rsidRDefault="008F6BAB"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Ochrona zasobów naturalnych i wspieranie ich zrównoważonego wykorzystania</w:t>
            </w:r>
          </w:p>
          <w:p w14:paraId="314C7F2C" w14:textId="77777777" w:rsidR="008F6BAB" w:rsidRPr="00984724" w:rsidRDefault="008F6BAB"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Zmniejszenie zanieczyszczenia powietrza, wody i gleby</w:t>
            </w:r>
          </w:p>
          <w:p w14:paraId="5EB79772" w14:textId="77777777" w:rsidR="008F6BAB" w:rsidRDefault="008F6BAB"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 xml:space="preserve">Rozbudowa zielonej infrastruktury łączącej siedliska i zapewniającej ich potencjał rekreacyjny </w:t>
            </w:r>
          </w:p>
          <w:p w14:paraId="4439CFCC" w14:textId="77777777" w:rsidR="008F6BAB" w:rsidRDefault="008F6BAB" w:rsidP="00D80606">
            <w:pPr>
              <w:ind w:left="0" w:right="0"/>
              <w:jc w:val="left"/>
              <w:rPr>
                <w:rFonts w:asciiTheme="minorHAnsi" w:eastAsia="Times New Roman" w:hAnsiTheme="minorHAnsi" w:cs="Times New Roman"/>
                <w:b/>
                <w:bCs/>
                <w:iCs/>
                <w:color w:val="5D6867" w:themeColor="accent1" w:themeShade="BF"/>
                <w:sz w:val="20"/>
                <w:szCs w:val="24"/>
                <w:lang w:eastAsia="en-US"/>
              </w:rPr>
            </w:pPr>
            <w:r>
              <w:rPr>
                <w:rFonts w:asciiTheme="minorHAnsi" w:hAnsiTheme="minorHAnsi"/>
                <w:sz w:val="20"/>
              </w:rPr>
              <w:t xml:space="preserve">Forma wsparcia: dotacje </w:t>
            </w:r>
          </w:p>
          <w:p w14:paraId="78E5A7B6" w14:textId="77777777" w:rsidR="008F6BAB" w:rsidRPr="00A25A13" w:rsidRDefault="008F6BAB" w:rsidP="00D80606">
            <w:pPr>
              <w:ind w:left="0" w:right="0"/>
              <w:jc w:val="left"/>
              <w:rPr>
                <w:rFonts w:asciiTheme="minorHAnsi" w:eastAsia="Times New Roman" w:hAnsiTheme="minorHAnsi" w:cs="Times New Roman"/>
                <w:sz w:val="20"/>
                <w:szCs w:val="20"/>
                <w:highlight w:val="yellow"/>
                <w:lang w:eastAsia="en-US"/>
              </w:rPr>
            </w:pPr>
          </w:p>
        </w:tc>
      </w:tr>
      <w:tr w:rsidR="005207DD" w:rsidRPr="005F09AF" w14:paraId="24AAE676" w14:textId="77777777" w:rsidTr="00D806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408"/>
        </w:trPr>
        <w:tc>
          <w:tcPr>
            <w:tcW w:w="1696" w:type="dxa"/>
            <w:tcBorders>
              <w:top w:val="single" w:sz="4" w:space="0" w:color="auto"/>
              <w:left w:val="single" w:sz="4" w:space="0" w:color="auto"/>
              <w:bottom w:val="single" w:sz="4" w:space="0" w:color="auto"/>
              <w:right w:val="single" w:sz="4" w:space="0" w:color="auto"/>
            </w:tcBorders>
          </w:tcPr>
          <w:p w14:paraId="7652B4F4" w14:textId="77777777" w:rsidR="005207DD" w:rsidRDefault="005207DD" w:rsidP="00DC6043">
            <w:pPr>
              <w:ind w:left="0" w:right="0"/>
              <w:jc w:val="left"/>
              <w:rPr>
                <w:rFonts w:asciiTheme="minorHAnsi" w:eastAsia="Times New Roman" w:hAnsiTheme="minorHAnsi" w:cs="Times New Roman"/>
                <w:b/>
                <w:szCs w:val="20"/>
              </w:rPr>
            </w:pPr>
            <w:r>
              <w:rPr>
                <w:rFonts w:asciiTheme="minorHAnsi" w:hAnsiTheme="minorHAnsi"/>
                <w:b/>
              </w:rPr>
              <w:lastRenderedPageBreak/>
              <w:t xml:space="preserve">PO2 – </w:t>
            </w:r>
          </w:p>
          <w:p w14:paraId="5DF4F9DD" w14:textId="77777777" w:rsidR="005207DD" w:rsidRPr="00A26027" w:rsidRDefault="005207DD" w:rsidP="00D80606">
            <w:pPr>
              <w:ind w:left="0" w:right="0"/>
              <w:jc w:val="left"/>
              <w:rPr>
                <w:rFonts w:asciiTheme="minorHAnsi" w:eastAsia="Times New Roman" w:hAnsiTheme="minorHAnsi" w:cs="Times New Roman"/>
                <w:b/>
                <w:bCs/>
                <w:iCs/>
                <w:color w:val="5D6867" w:themeColor="accent1" w:themeShade="BF"/>
                <w:sz w:val="24"/>
                <w:szCs w:val="24"/>
                <w:lang w:eastAsia="en-US"/>
              </w:rPr>
            </w:pPr>
            <w:r>
              <w:rPr>
                <w:rFonts w:asciiTheme="minorHAnsi" w:hAnsiTheme="minorHAnsi"/>
                <w:b/>
              </w:rPr>
              <w:t>Bardziej ekologiczna, niskoemisyjna Europa przez promowanie ekologicznej i sprawiedliwej transformacji energetycznej, zielonych i niebieskich inwestycji, gospodarki o obiegu zamkniętym, dostosowania do zmian klimatu i przeciwdziałania i zarządzania ryzykiem</w:t>
            </w:r>
          </w:p>
        </w:tc>
        <w:tc>
          <w:tcPr>
            <w:tcW w:w="1560" w:type="dxa"/>
            <w:tcBorders>
              <w:top w:val="single" w:sz="4" w:space="0" w:color="auto"/>
              <w:left w:val="single" w:sz="4" w:space="0" w:color="auto"/>
              <w:bottom w:val="single" w:sz="4" w:space="0" w:color="auto"/>
              <w:right w:val="single" w:sz="4" w:space="0" w:color="auto"/>
            </w:tcBorders>
          </w:tcPr>
          <w:p w14:paraId="1A226B7A" w14:textId="77777777" w:rsidR="005207DD" w:rsidRDefault="005207DD" w:rsidP="00BD74C0">
            <w:pPr>
              <w:ind w:left="0" w:right="0"/>
              <w:jc w:val="left"/>
              <w:rPr>
                <w:rFonts w:asciiTheme="minorHAnsi" w:hAnsiTheme="minorHAnsi"/>
              </w:rPr>
            </w:pPr>
            <w:r>
              <w:rPr>
                <w:rFonts w:asciiTheme="minorHAnsi" w:hAnsiTheme="minorHAnsi"/>
                <w:sz w:val="20"/>
              </w:rPr>
              <w:t>(viii) Promowanie zrównoważonej multimodalnej mobilności miejskiej jako elementu przejścia w kierunku gospodarki o zerowej emisji dwutlenku węgla netto</w:t>
            </w:r>
          </w:p>
        </w:tc>
        <w:tc>
          <w:tcPr>
            <w:tcW w:w="1559" w:type="dxa"/>
            <w:tcBorders>
              <w:top w:val="single" w:sz="4" w:space="0" w:color="auto"/>
              <w:left w:val="single" w:sz="4" w:space="0" w:color="auto"/>
              <w:bottom w:val="single" w:sz="4" w:space="0" w:color="auto"/>
              <w:right w:val="single" w:sz="4" w:space="0" w:color="auto"/>
            </w:tcBorders>
          </w:tcPr>
          <w:p w14:paraId="3581F925" w14:textId="77777777" w:rsidR="005207DD" w:rsidRPr="00A26027" w:rsidRDefault="005207DD" w:rsidP="00D80606">
            <w:pPr>
              <w:ind w:left="0" w:right="0"/>
              <w:jc w:val="left"/>
              <w:rPr>
                <w:rFonts w:asciiTheme="minorHAnsi" w:eastAsia="Times New Roman" w:hAnsiTheme="minorHAnsi" w:cs="Times New Roman"/>
                <w:b/>
                <w:bCs/>
                <w:iCs/>
                <w:color w:val="5D6867" w:themeColor="accent1" w:themeShade="BF"/>
                <w:sz w:val="24"/>
                <w:szCs w:val="24"/>
                <w:lang w:eastAsia="en-US"/>
              </w:rPr>
            </w:pPr>
            <w:r>
              <w:rPr>
                <w:rFonts w:asciiTheme="minorHAnsi" w:hAnsiTheme="minorHAnsi"/>
                <w:b/>
              </w:rPr>
              <w:t xml:space="preserve">Priorytet 2 – </w:t>
            </w:r>
            <w:r w:rsidRPr="00D80606">
              <w:rPr>
                <w:rFonts w:asciiTheme="minorHAnsi" w:hAnsiTheme="minorHAnsi"/>
              </w:rPr>
              <w:t>Współpraca na rzecz bardziej zielonej Europy Środkowej</w:t>
            </w:r>
            <w:r>
              <w:rPr>
                <w:rFonts w:asciiTheme="minorHAnsi" w:hAnsiTheme="minorHAnsi"/>
                <w:i/>
              </w:rPr>
              <w:t xml:space="preserve"> </w:t>
            </w:r>
          </w:p>
        </w:tc>
        <w:tc>
          <w:tcPr>
            <w:tcW w:w="5246" w:type="dxa"/>
            <w:tcBorders>
              <w:top w:val="single" w:sz="4" w:space="0" w:color="auto"/>
              <w:left w:val="single" w:sz="4" w:space="0" w:color="auto"/>
              <w:bottom w:val="single" w:sz="4" w:space="0" w:color="auto"/>
              <w:right w:val="single" w:sz="4" w:space="0" w:color="auto"/>
            </w:tcBorders>
          </w:tcPr>
          <w:p w14:paraId="563FC167" w14:textId="77777777" w:rsidR="005207DD" w:rsidRDefault="005207DD" w:rsidP="00D80606">
            <w:pPr>
              <w:ind w:left="0" w:right="0"/>
              <w:jc w:val="left"/>
              <w:rPr>
                <w:rFonts w:asciiTheme="minorHAnsi" w:eastAsia="Times New Roman" w:hAnsiTheme="minorHAnsi" w:cs="Times New Roman"/>
                <w:b/>
                <w:bCs/>
                <w:iCs/>
                <w:color w:val="5D6867" w:themeColor="accent1" w:themeShade="BF"/>
                <w:sz w:val="20"/>
                <w:szCs w:val="20"/>
                <w:u w:val="single"/>
                <w:lang w:eastAsia="en-US"/>
              </w:rPr>
            </w:pPr>
            <w:r>
              <w:rPr>
                <w:rFonts w:asciiTheme="minorHAnsi" w:hAnsiTheme="minorHAnsi"/>
                <w:sz w:val="20"/>
                <w:u w:val="single"/>
              </w:rPr>
              <w:t xml:space="preserve">Uzasadnienie wyboru celu polityki 2 </w:t>
            </w:r>
          </w:p>
          <w:p w14:paraId="66EB78C3" w14:textId="77777777" w:rsidR="005207DD" w:rsidRPr="00FF52E9" w:rsidRDefault="005207DD"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zobacz wyżej</w:t>
            </w:r>
          </w:p>
          <w:p w14:paraId="7284C3B4" w14:textId="77777777" w:rsidR="005207DD" w:rsidRDefault="005207DD" w:rsidP="00D80606">
            <w:pPr>
              <w:ind w:left="0" w:right="0"/>
              <w:jc w:val="left"/>
              <w:rPr>
                <w:rFonts w:asciiTheme="minorHAnsi" w:eastAsia="Times New Roman" w:hAnsiTheme="minorHAnsi" w:cs="Times New Roman"/>
                <w:b/>
                <w:bCs/>
                <w:iCs/>
                <w:color w:val="5D6867" w:themeColor="accent1" w:themeShade="BF"/>
                <w:sz w:val="20"/>
                <w:szCs w:val="24"/>
                <w:lang w:eastAsia="en-US"/>
              </w:rPr>
            </w:pPr>
            <w:r>
              <w:rPr>
                <w:rFonts w:asciiTheme="minorHAnsi" w:hAnsiTheme="minorHAnsi"/>
                <w:sz w:val="20"/>
                <w:u w:val="single"/>
              </w:rPr>
              <w:t>Uzasadnienie wyboru celu szczegółowego EFRR (viii)</w:t>
            </w:r>
          </w:p>
          <w:p w14:paraId="6A54BBB0" w14:textId="77777777" w:rsidR="005207DD" w:rsidRDefault="005207DD" w:rsidP="00D80606">
            <w:pPr>
              <w:ind w:left="0" w:right="0"/>
              <w:jc w:val="left"/>
              <w:rPr>
                <w:rFonts w:asciiTheme="minorHAnsi" w:eastAsia="Times New Roman" w:hAnsiTheme="minorHAnsi" w:cs="Times New Roman"/>
                <w:b/>
                <w:bCs/>
                <w:iCs/>
                <w:color w:val="5D6867" w:themeColor="accent1" w:themeShade="BF"/>
                <w:sz w:val="20"/>
                <w:szCs w:val="24"/>
                <w:lang w:eastAsia="en-US"/>
              </w:rPr>
            </w:pPr>
            <w:r>
              <w:rPr>
                <w:rFonts w:asciiTheme="minorHAnsi" w:hAnsiTheme="minorHAnsi"/>
                <w:sz w:val="20"/>
              </w:rPr>
              <w:t xml:space="preserve">Promowanie i zapewnienie bardziej wydajnej i zrównoważonej mobilności miejskiej jest dla Europy Środkowej kluczowym wyzwaniem. W rzeczywistości jedna trzecia ludności Europy Środkowej mieszka w większych miastach, a kolejne 37% w regionach pośrednich. Wzorce dojazdów wymagają rozważenia przepływów mobilności na poziomie miejskich obszarów funkcjonalnych, a więc z uwzględnieniem zarówno rdzeni miast, jak i ich zaplecza. W związku z tym poprawa mobilności w mieście i jednoczesne ograniczenie negatywnych efektów zewnętrznych transportu ma ogromny wpływ na bardzo dużą część populacji Europy Środkowej (np. zdrowie, jakość życia) i jej gospodarkę (np. tłok na drogach). </w:t>
            </w:r>
          </w:p>
          <w:p w14:paraId="4FB12CF9" w14:textId="77777777" w:rsidR="005207DD" w:rsidRPr="001D1D29" w:rsidRDefault="005207DD"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 xml:space="preserve">„Zazielenienie” mobilności miejskiej znacząco przyczynia się do </w:t>
            </w:r>
            <w:r>
              <w:rPr>
                <w:rFonts w:asciiTheme="minorHAnsi" w:hAnsiTheme="minorHAnsi"/>
                <w:b/>
                <w:sz w:val="20"/>
              </w:rPr>
              <w:t>poprawy jakości powietrza</w:t>
            </w:r>
            <w:r>
              <w:rPr>
                <w:rFonts w:asciiTheme="minorHAnsi" w:hAnsiTheme="minorHAnsi"/>
                <w:sz w:val="20"/>
              </w:rPr>
              <w:t xml:space="preserve">, która w miastach Europy Środkowej często jest niska. Ponadto, zrównoważona mobilność miejska ma zasadnicze znaczenie dla skutecznego </w:t>
            </w:r>
            <w:r>
              <w:rPr>
                <w:rFonts w:asciiTheme="minorHAnsi" w:hAnsiTheme="minorHAnsi"/>
                <w:b/>
                <w:sz w:val="20"/>
              </w:rPr>
              <w:t xml:space="preserve">ograniczenia emisji gazów cieplarnianych </w:t>
            </w:r>
            <w:r>
              <w:rPr>
                <w:rFonts w:asciiTheme="minorHAnsi" w:hAnsiTheme="minorHAnsi"/>
                <w:sz w:val="20"/>
              </w:rPr>
              <w:t xml:space="preserve">na terytoriach Europy Środkowej. </w:t>
            </w:r>
          </w:p>
          <w:p w14:paraId="5B1724B9" w14:textId="77777777" w:rsidR="005207DD" w:rsidRPr="001D1D29" w:rsidRDefault="005207DD"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 xml:space="preserve">Współpraca transnarodowa oferuje wyraźną wartość dodaną między innymi w zakresie zaspokajania następujących szczególnych potrzeb (rodzaje i </w:t>
            </w:r>
            <w:r>
              <w:rPr>
                <w:rFonts w:asciiTheme="minorHAnsi" w:hAnsiTheme="minorHAnsi"/>
                <w:sz w:val="20"/>
              </w:rPr>
              <w:lastRenderedPageBreak/>
              <w:t>przykłady działań znajdują się w sekcji 2):</w:t>
            </w:r>
          </w:p>
          <w:p w14:paraId="21E8A600" w14:textId="77777777" w:rsidR="005207DD" w:rsidRDefault="005207DD"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Promowanie zrównoważonych i inteligentnych rozwiązań w zakresie mobilności miejskiej</w:t>
            </w:r>
          </w:p>
          <w:p w14:paraId="75350AD7" w14:textId="77777777" w:rsidR="005207DD" w:rsidRDefault="005207DD"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Promowanie multimodalnych podejść do mobilności miejskiej</w:t>
            </w:r>
          </w:p>
          <w:p w14:paraId="0EEDC6D4" w14:textId="77777777" w:rsidR="005207DD" w:rsidRDefault="005207DD"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Poprawa planowania zrównoważonej mobilności na poziomie miejskiego obszaru funkcjonalnego</w:t>
            </w:r>
          </w:p>
          <w:p w14:paraId="52F17C12" w14:textId="77777777" w:rsidR="005207DD" w:rsidRDefault="005207DD"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Zmniejszenie efektów zewnętrznych związanych z transportem na obszarach miejskich oraz emisji gazów cieplarnianych</w:t>
            </w:r>
          </w:p>
          <w:p w14:paraId="15319C34" w14:textId="77777777" w:rsidR="005207DD" w:rsidRDefault="005207DD"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Poprawa jakości powietrza w miastach Europy Środkowej</w:t>
            </w:r>
          </w:p>
          <w:p w14:paraId="2B422C51" w14:textId="77777777" w:rsidR="005207DD" w:rsidRDefault="005207DD" w:rsidP="00D80606">
            <w:pPr>
              <w:ind w:left="0" w:right="0"/>
              <w:jc w:val="left"/>
              <w:rPr>
                <w:rFonts w:asciiTheme="minorHAnsi" w:eastAsia="Times New Roman" w:hAnsiTheme="minorHAnsi" w:cs="Times New Roman"/>
                <w:b/>
                <w:bCs/>
                <w:iCs/>
                <w:color w:val="5D6867" w:themeColor="accent1" w:themeShade="BF"/>
                <w:sz w:val="24"/>
                <w:szCs w:val="24"/>
                <w:lang w:eastAsia="en-US"/>
              </w:rPr>
            </w:pPr>
            <w:r>
              <w:rPr>
                <w:rFonts w:asciiTheme="minorHAnsi" w:hAnsiTheme="minorHAnsi"/>
                <w:sz w:val="20"/>
              </w:rPr>
              <w:t>Forma wsparcia: dotacje</w:t>
            </w:r>
          </w:p>
        </w:tc>
      </w:tr>
      <w:tr w:rsidR="005207DD" w:rsidRPr="001D1D29" w14:paraId="0B915388" w14:textId="77777777" w:rsidTr="00D806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0"/>
        </w:trPr>
        <w:tc>
          <w:tcPr>
            <w:tcW w:w="1696" w:type="dxa"/>
            <w:tcBorders>
              <w:top w:val="single" w:sz="4" w:space="0" w:color="auto"/>
              <w:left w:val="single" w:sz="4" w:space="0" w:color="auto"/>
              <w:bottom w:val="single" w:sz="4" w:space="0" w:color="auto"/>
              <w:right w:val="single" w:sz="4" w:space="0" w:color="auto"/>
            </w:tcBorders>
          </w:tcPr>
          <w:p w14:paraId="4B57F7D6" w14:textId="77777777" w:rsidR="005207DD" w:rsidRDefault="005207DD" w:rsidP="00D80606">
            <w:pPr>
              <w:ind w:left="0" w:right="0"/>
              <w:jc w:val="left"/>
              <w:rPr>
                <w:rFonts w:asciiTheme="minorHAnsi" w:eastAsia="Times New Roman" w:hAnsiTheme="minorHAnsi" w:cs="Times New Roman"/>
                <w:b/>
                <w:bCs/>
                <w:iCs/>
                <w:color w:val="5D6867" w:themeColor="accent1" w:themeShade="BF"/>
                <w:sz w:val="24"/>
                <w:szCs w:val="20"/>
                <w:lang w:eastAsia="en-US"/>
              </w:rPr>
            </w:pPr>
            <w:r>
              <w:rPr>
                <w:rFonts w:asciiTheme="minorHAnsi" w:hAnsiTheme="minorHAnsi"/>
                <w:b/>
              </w:rPr>
              <w:lastRenderedPageBreak/>
              <w:t xml:space="preserve">PO3 – </w:t>
            </w:r>
          </w:p>
          <w:p w14:paraId="08CBA4B6" w14:textId="77777777" w:rsidR="005207DD" w:rsidRPr="00A26027" w:rsidRDefault="005207DD" w:rsidP="00D80606">
            <w:pPr>
              <w:ind w:left="0" w:right="0"/>
              <w:jc w:val="left"/>
              <w:rPr>
                <w:rFonts w:asciiTheme="minorHAnsi" w:eastAsia="Times New Roman" w:hAnsiTheme="minorHAnsi" w:cs="Times New Roman"/>
                <w:b/>
                <w:bCs/>
                <w:iCs/>
                <w:color w:val="5D6867" w:themeColor="accent1" w:themeShade="BF"/>
                <w:sz w:val="24"/>
                <w:szCs w:val="24"/>
                <w:lang w:eastAsia="en-US"/>
              </w:rPr>
            </w:pPr>
            <w:r>
              <w:rPr>
                <w:rFonts w:asciiTheme="minorHAnsi" w:hAnsiTheme="minorHAnsi"/>
                <w:b/>
              </w:rPr>
              <w:t>Mocniej powiązana Europa przez zwiększanie mobilności i regionalnych połączeń TIK</w:t>
            </w:r>
          </w:p>
        </w:tc>
        <w:tc>
          <w:tcPr>
            <w:tcW w:w="1560" w:type="dxa"/>
            <w:tcBorders>
              <w:top w:val="single" w:sz="4" w:space="0" w:color="auto"/>
              <w:left w:val="single" w:sz="4" w:space="0" w:color="auto"/>
              <w:bottom w:val="single" w:sz="4" w:space="0" w:color="auto"/>
              <w:right w:val="single" w:sz="4" w:space="0" w:color="auto"/>
            </w:tcBorders>
          </w:tcPr>
          <w:p w14:paraId="077A970A" w14:textId="77777777" w:rsidR="005207DD" w:rsidRDefault="005207DD" w:rsidP="00BD74C0">
            <w:pPr>
              <w:ind w:left="0" w:right="0"/>
              <w:jc w:val="left"/>
              <w:rPr>
                <w:rFonts w:asciiTheme="minorHAnsi" w:eastAsia="Times New Roman" w:hAnsiTheme="minorHAnsi" w:cs="Times New Roman"/>
                <w:sz w:val="20"/>
                <w:szCs w:val="20"/>
              </w:rPr>
            </w:pPr>
            <w:r>
              <w:rPr>
                <w:rFonts w:asciiTheme="minorHAnsi" w:hAnsiTheme="minorHAnsi"/>
                <w:sz w:val="20"/>
              </w:rPr>
              <w:t>(ii)  Rozwój zrównoważonej, odpornej na zmiany klimatu, inteligentnej i intermodalnej mobilności na poziomie krajowym, regionalnym i lokalnym, w tym poprawa dostępności sieci TEN-T i mobilności transgranicznej</w:t>
            </w:r>
          </w:p>
          <w:p w14:paraId="05010199" w14:textId="77777777" w:rsidR="005207DD" w:rsidRPr="00566894" w:rsidRDefault="005207DD" w:rsidP="00BD74C0">
            <w:pPr>
              <w:ind w:left="0" w:right="0"/>
              <w:rPr>
                <w:rFonts w:asciiTheme="minorHAnsi" w:hAnsiTheme="minorHAnsi"/>
              </w:rPr>
            </w:pPr>
          </w:p>
        </w:tc>
        <w:tc>
          <w:tcPr>
            <w:tcW w:w="1559" w:type="dxa"/>
            <w:tcBorders>
              <w:top w:val="single" w:sz="4" w:space="0" w:color="auto"/>
              <w:left w:val="single" w:sz="4" w:space="0" w:color="auto"/>
              <w:bottom w:val="single" w:sz="4" w:space="0" w:color="auto"/>
              <w:right w:val="single" w:sz="4" w:space="0" w:color="auto"/>
            </w:tcBorders>
          </w:tcPr>
          <w:p w14:paraId="12A70F72" w14:textId="77777777" w:rsidR="005207DD" w:rsidRPr="00A26027" w:rsidRDefault="005207DD" w:rsidP="00D80606">
            <w:pPr>
              <w:ind w:left="0" w:right="0"/>
              <w:jc w:val="left"/>
              <w:rPr>
                <w:rFonts w:asciiTheme="minorHAnsi" w:eastAsia="Times New Roman" w:hAnsiTheme="minorHAnsi" w:cs="Times New Roman"/>
                <w:b/>
                <w:bCs/>
                <w:iCs/>
                <w:color w:val="5D6867" w:themeColor="accent1" w:themeShade="BF"/>
                <w:sz w:val="24"/>
                <w:szCs w:val="24"/>
                <w:lang w:eastAsia="en-US"/>
              </w:rPr>
            </w:pPr>
            <w:r>
              <w:rPr>
                <w:rFonts w:asciiTheme="minorHAnsi" w:hAnsiTheme="minorHAnsi"/>
                <w:b/>
              </w:rPr>
              <w:t xml:space="preserve">Priorytet 3 – </w:t>
            </w:r>
            <w:r w:rsidRPr="00D80606">
              <w:rPr>
                <w:rFonts w:asciiTheme="minorHAnsi" w:hAnsiTheme="minorHAnsi"/>
              </w:rPr>
              <w:t>Współpraca na rzecz lepiej połączonej Europy Środkowej</w:t>
            </w:r>
            <w:r>
              <w:rPr>
                <w:rFonts w:asciiTheme="minorHAnsi" w:hAnsiTheme="minorHAnsi"/>
                <w:i/>
              </w:rPr>
              <w:t xml:space="preserve"> </w:t>
            </w:r>
          </w:p>
        </w:tc>
        <w:tc>
          <w:tcPr>
            <w:tcW w:w="5246" w:type="dxa"/>
            <w:tcBorders>
              <w:top w:val="single" w:sz="4" w:space="0" w:color="auto"/>
              <w:left w:val="single" w:sz="4" w:space="0" w:color="auto"/>
              <w:bottom w:val="single" w:sz="4" w:space="0" w:color="auto"/>
              <w:right w:val="single" w:sz="4" w:space="0" w:color="auto"/>
            </w:tcBorders>
          </w:tcPr>
          <w:p w14:paraId="2E08391E" w14:textId="77777777" w:rsidR="005207DD" w:rsidRDefault="005207DD" w:rsidP="00D80606">
            <w:pPr>
              <w:ind w:left="0" w:right="0"/>
              <w:jc w:val="left"/>
              <w:rPr>
                <w:rFonts w:asciiTheme="minorHAnsi" w:eastAsia="Times New Roman" w:hAnsiTheme="minorHAnsi" w:cs="Times New Roman"/>
                <w:b/>
                <w:bCs/>
                <w:iCs/>
                <w:color w:val="5D6867" w:themeColor="accent1" w:themeShade="BF"/>
                <w:sz w:val="20"/>
                <w:szCs w:val="20"/>
                <w:u w:val="single"/>
                <w:lang w:eastAsia="en-US"/>
              </w:rPr>
            </w:pPr>
            <w:r>
              <w:rPr>
                <w:rFonts w:asciiTheme="minorHAnsi" w:hAnsiTheme="minorHAnsi"/>
                <w:sz w:val="20"/>
                <w:u w:val="single"/>
              </w:rPr>
              <w:t xml:space="preserve">Uzasadnienie wyboru celu polityki 3 </w:t>
            </w:r>
          </w:p>
          <w:p w14:paraId="0C84104A" w14:textId="435277AE" w:rsidR="005207DD" w:rsidRPr="001D1D29" w:rsidRDefault="005207DD"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 xml:space="preserve">Europa Środkowa jest ważnym </w:t>
            </w:r>
            <w:r>
              <w:rPr>
                <w:rFonts w:asciiTheme="minorHAnsi" w:hAnsiTheme="minorHAnsi"/>
                <w:b/>
                <w:sz w:val="20"/>
              </w:rPr>
              <w:t>węzłem komunikacyjnym dla europejskich połączeń północ-południe i wschód-zachód,</w:t>
            </w:r>
            <w:r>
              <w:rPr>
                <w:rFonts w:asciiTheme="minorHAnsi" w:hAnsiTheme="minorHAnsi"/>
                <w:sz w:val="20"/>
              </w:rPr>
              <w:t xml:space="preserve"> wykraczających poza jej własne granice. Od wieków przez ten obszar przebiegają liczne szlaki handlowe i transportowe na ponadnarodowych rzekach, drogach i liniach kolejowych. Czyni to Europę Środkową centrum europejskich kluczowych korytarzy, z którymi wiele regionów jest połączonych – fizycznie lub pod względami społeczno-gospodarczymi. </w:t>
            </w:r>
            <w:r>
              <w:rPr>
                <w:rFonts w:asciiTheme="minorHAnsi" w:hAnsiTheme="minorHAnsi"/>
                <w:b/>
                <w:sz w:val="20"/>
              </w:rPr>
              <w:t xml:space="preserve"> Łączność</w:t>
            </w:r>
            <w:r w:rsidR="00CC06BB">
              <w:rPr>
                <w:rFonts w:asciiTheme="minorHAnsi" w:hAnsiTheme="minorHAnsi"/>
                <w:b/>
                <w:sz w:val="20"/>
              </w:rPr>
              <w:t xml:space="preserve"> </w:t>
            </w:r>
            <w:r>
              <w:rPr>
                <w:rFonts w:asciiTheme="minorHAnsi" w:hAnsiTheme="minorHAnsi"/>
                <w:b/>
                <w:sz w:val="20"/>
              </w:rPr>
              <w:t>między regionami i wewnątrz regionów</w:t>
            </w:r>
            <w:r>
              <w:rPr>
                <w:rFonts w:asciiTheme="minorHAnsi" w:hAnsiTheme="minorHAnsi"/>
                <w:sz w:val="20"/>
              </w:rPr>
              <w:t xml:space="preserve"> jest</w:t>
            </w:r>
            <w:r w:rsidR="00CC06BB">
              <w:rPr>
                <w:rFonts w:asciiTheme="minorHAnsi" w:hAnsiTheme="minorHAnsi"/>
                <w:sz w:val="20"/>
              </w:rPr>
              <w:t xml:space="preserve"> </w:t>
            </w:r>
            <w:r>
              <w:rPr>
                <w:rFonts w:asciiTheme="minorHAnsi" w:hAnsiTheme="minorHAnsi"/>
                <w:sz w:val="20"/>
              </w:rPr>
              <w:t>ważnym czynnikiem lokalizacyjnym</w:t>
            </w:r>
            <w:r>
              <w:rPr>
                <w:rFonts w:asciiTheme="minorHAnsi" w:eastAsia="Times New Roman" w:hAnsiTheme="minorHAnsi" w:cs="Times New Roman"/>
                <w:sz w:val="20"/>
                <w:szCs w:val="20"/>
              </w:rPr>
              <w:t xml:space="preserve"> </w:t>
            </w:r>
            <w:r>
              <w:rPr>
                <w:rFonts w:asciiTheme="minorHAnsi" w:hAnsiTheme="minorHAnsi"/>
                <w:sz w:val="20"/>
              </w:rPr>
              <w:t xml:space="preserve"> zapewniającym dobrobyt gospodarczy i spójność Europy Środkowej. Zgodnie z „Zielonym Ładem” istnieje wyraźne zapotrzebowanie na zrównoważone rozwiązania transportowe. Program dla Europy Środkowej nie będzie finansował infrastruktury transportowej, ale może znacząco przyczynić się do realizacji tych celów poprzez tworzenie synergii z innymi (większymi) funduszami i odgrywanie roli katalizatora w przygotowaniu większych inwestycji.</w:t>
            </w:r>
          </w:p>
          <w:p w14:paraId="417198EF" w14:textId="77777777" w:rsidR="005207DD" w:rsidRPr="00275810" w:rsidRDefault="005207DD" w:rsidP="00D80606">
            <w:pPr>
              <w:ind w:left="0" w:right="0"/>
              <w:jc w:val="left"/>
              <w:rPr>
                <w:rFonts w:asciiTheme="minorHAnsi" w:eastAsia="Times New Roman" w:hAnsiTheme="minorHAnsi" w:cs="Times New Roman"/>
                <w:sz w:val="20"/>
                <w:szCs w:val="20"/>
                <w:u w:val="single"/>
                <w:lang w:eastAsia="en-US"/>
              </w:rPr>
            </w:pPr>
            <w:r>
              <w:rPr>
                <w:rFonts w:asciiTheme="minorHAnsi" w:hAnsiTheme="minorHAnsi"/>
                <w:sz w:val="20"/>
                <w:u w:val="single"/>
              </w:rPr>
              <w:t>Uzasadnienie wyboru celu szczegółowego EFRR (ii)</w:t>
            </w:r>
          </w:p>
          <w:p w14:paraId="3E04EF8D" w14:textId="77777777" w:rsidR="005207DD" w:rsidRPr="001D1D29" w:rsidRDefault="005207DD" w:rsidP="00D80606">
            <w:pPr>
              <w:ind w:left="0" w:right="0"/>
              <w:jc w:val="left"/>
              <w:rPr>
                <w:rFonts w:asciiTheme="minorHAnsi" w:eastAsia="Times New Roman" w:hAnsiTheme="minorHAnsi" w:cs="Times New Roman"/>
                <w:sz w:val="20"/>
                <w:szCs w:val="20"/>
                <w:lang w:eastAsia="en-US"/>
              </w:rPr>
            </w:pPr>
            <w:r>
              <w:rPr>
                <w:rFonts w:asciiTheme="minorHAnsi" w:hAnsiTheme="minorHAnsi"/>
                <w:sz w:val="20"/>
              </w:rPr>
              <w:t xml:space="preserve">Głównym wyzwaniem dla Europy Środkowej jest zapewnienie </w:t>
            </w:r>
            <w:r>
              <w:rPr>
                <w:rFonts w:asciiTheme="minorHAnsi" w:hAnsiTheme="minorHAnsi"/>
                <w:b/>
                <w:sz w:val="20"/>
              </w:rPr>
              <w:t>lepszej dostępności i łączności jej obszarów peryferyjnych i transgranicznych</w:t>
            </w:r>
            <w:r>
              <w:rPr>
                <w:rFonts w:asciiTheme="minorHAnsi" w:hAnsiTheme="minorHAnsi"/>
                <w:sz w:val="20"/>
              </w:rPr>
              <w:t xml:space="preserve">. Istnieje wyraźna potrzeba lepszego połączenia ich z węzłami korytarzy sieci bazowej TEN-T, </w:t>
            </w:r>
            <w:r>
              <w:rPr>
                <w:rFonts w:asciiTheme="minorHAnsi" w:hAnsiTheme="minorHAnsi"/>
                <w:b/>
                <w:sz w:val="20"/>
              </w:rPr>
              <w:t>usunięcia tzw. wąskich gardeł</w:t>
            </w:r>
            <w:r>
              <w:rPr>
                <w:rFonts w:asciiTheme="minorHAnsi" w:hAnsiTheme="minorHAnsi"/>
                <w:sz w:val="20"/>
              </w:rPr>
              <w:t xml:space="preserve"> i </w:t>
            </w:r>
            <w:r>
              <w:rPr>
                <w:rFonts w:asciiTheme="minorHAnsi" w:hAnsiTheme="minorHAnsi"/>
                <w:b/>
                <w:sz w:val="20"/>
              </w:rPr>
              <w:t xml:space="preserve">uzupełnienia brakujących połączeń </w:t>
            </w:r>
            <w:r>
              <w:rPr>
                <w:rFonts w:asciiTheme="minorHAnsi" w:hAnsiTheme="minorHAnsi"/>
                <w:b/>
                <w:sz w:val="20"/>
              </w:rPr>
              <w:lastRenderedPageBreak/>
              <w:t>transportowych</w:t>
            </w:r>
            <w:r>
              <w:rPr>
                <w:rFonts w:asciiTheme="minorHAnsi" w:hAnsiTheme="minorHAnsi"/>
                <w:sz w:val="20"/>
              </w:rPr>
              <w:t>. Jest to zgodne z celami Agendy Terytorialnej 2030 „Sprawiedliwa i Zielona Europa” w zakresie zrównoważonego rozwoju terytorialnego i zrównoważonych połączeń.</w:t>
            </w:r>
          </w:p>
          <w:p w14:paraId="5E66CF2F" w14:textId="77777777" w:rsidR="005207DD" w:rsidRDefault="005207DD" w:rsidP="00D80606">
            <w:pPr>
              <w:ind w:left="0" w:right="0"/>
              <w:jc w:val="left"/>
              <w:rPr>
                <w:rFonts w:asciiTheme="minorHAnsi" w:eastAsia="Times New Roman" w:hAnsiTheme="minorHAnsi" w:cs="Times New Roman"/>
                <w:sz w:val="20"/>
                <w:szCs w:val="20"/>
                <w:lang w:eastAsia="en-US"/>
              </w:rPr>
            </w:pPr>
            <w:r>
              <w:rPr>
                <w:rFonts w:asciiTheme="minorHAnsi" w:hAnsiTheme="minorHAnsi"/>
                <w:sz w:val="20"/>
              </w:rPr>
              <w:t xml:space="preserve">Współpraca transnarodowa oferuje wyraźną wartość dodaną między innymi w zakresie zaspokajania następujących szczególnych potrzeb (rodzaje i przykłady działań znajdują się w sekcji 2): </w:t>
            </w:r>
          </w:p>
          <w:p w14:paraId="29272B8C" w14:textId="77777777" w:rsidR="005207DD" w:rsidRPr="00984724" w:rsidRDefault="005207DD" w:rsidP="00D80606">
            <w:pPr>
              <w:pStyle w:val="Akapitzlist"/>
              <w:numPr>
                <w:ilvl w:val="0"/>
                <w:numId w:val="34"/>
              </w:numPr>
              <w:ind w:left="319" w:right="0" w:hanging="283"/>
              <w:jc w:val="left"/>
              <w:rPr>
                <w:rFonts w:asciiTheme="minorHAnsi" w:eastAsia="Times New Roman" w:hAnsiTheme="minorHAnsi" w:cs="Times New Roman"/>
                <w:sz w:val="20"/>
                <w:szCs w:val="20"/>
                <w:lang w:eastAsia="en-US"/>
              </w:rPr>
            </w:pPr>
            <w:r>
              <w:rPr>
                <w:rFonts w:asciiTheme="minorHAnsi" w:hAnsiTheme="minorHAnsi"/>
                <w:sz w:val="20"/>
              </w:rPr>
              <w:t>Wspieranie lepszych połączeń obszarów wiejskich i peryferyjnych z głównymi korytarzami i węzłami transportowymi, ze szczególnym uwzględnieniem transportu publicznego</w:t>
            </w:r>
          </w:p>
          <w:p w14:paraId="5EBE5BCB" w14:textId="77777777" w:rsidR="005207DD" w:rsidRPr="00984724" w:rsidRDefault="005207DD" w:rsidP="00D80606">
            <w:pPr>
              <w:pStyle w:val="Akapitzlist"/>
              <w:numPr>
                <w:ilvl w:val="0"/>
                <w:numId w:val="34"/>
              </w:numPr>
              <w:ind w:left="319" w:right="0" w:hanging="283"/>
              <w:jc w:val="left"/>
              <w:rPr>
                <w:rFonts w:asciiTheme="minorHAnsi" w:eastAsia="Times New Roman" w:hAnsiTheme="minorHAnsi" w:cs="Times New Roman"/>
                <w:sz w:val="20"/>
                <w:szCs w:val="20"/>
                <w:lang w:eastAsia="en-US"/>
              </w:rPr>
            </w:pPr>
            <w:r>
              <w:rPr>
                <w:rFonts w:asciiTheme="minorHAnsi" w:hAnsiTheme="minorHAnsi"/>
                <w:sz w:val="20"/>
              </w:rPr>
              <w:t>Poprawa transportu transgranicznego oraz zmniejszenie barier i tzw. wąskich gardeł, zwłaszcza na obszarach peryferyjnych</w:t>
            </w:r>
          </w:p>
          <w:p w14:paraId="47D474F4" w14:textId="77777777" w:rsidR="005207DD" w:rsidRPr="00984724" w:rsidRDefault="005207DD" w:rsidP="00D80606">
            <w:pPr>
              <w:pStyle w:val="Akapitzlist"/>
              <w:numPr>
                <w:ilvl w:val="0"/>
                <w:numId w:val="34"/>
              </w:numPr>
              <w:ind w:left="319" w:right="0" w:hanging="283"/>
              <w:jc w:val="left"/>
              <w:rPr>
                <w:rFonts w:asciiTheme="minorHAnsi" w:eastAsia="Times New Roman" w:hAnsiTheme="minorHAnsi" w:cs="Times New Roman"/>
                <w:sz w:val="20"/>
                <w:szCs w:val="20"/>
                <w:lang w:eastAsia="en-US"/>
              </w:rPr>
            </w:pPr>
            <w:r>
              <w:rPr>
                <w:rFonts w:asciiTheme="minorHAnsi" w:hAnsiTheme="minorHAnsi"/>
                <w:sz w:val="20"/>
              </w:rPr>
              <w:t>Promowanie zmiany transportu w kierunku bardziej ekologicznych rozwiązań</w:t>
            </w:r>
          </w:p>
          <w:p w14:paraId="3C97984C" w14:textId="77777777" w:rsidR="005207DD" w:rsidRPr="00984724" w:rsidRDefault="005207DD" w:rsidP="00D80606">
            <w:pPr>
              <w:pStyle w:val="Akapitzlist"/>
              <w:numPr>
                <w:ilvl w:val="0"/>
                <w:numId w:val="34"/>
              </w:numPr>
              <w:ind w:left="319" w:right="0" w:hanging="283"/>
              <w:jc w:val="left"/>
              <w:rPr>
                <w:rFonts w:asciiTheme="minorHAnsi" w:eastAsia="Times New Roman" w:hAnsiTheme="minorHAnsi" w:cs="Times New Roman"/>
                <w:sz w:val="20"/>
                <w:szCs w:val="20"/>
                <w:lang w:eastAsia="en-US"/>
              </w:rPr>
            </w:pPr>
            <w:r>
              <w:rPr>
                <w:rFonts w:asciiTheme="minorHAnsi" w:hAnsiTheme="minorHAnsi"/>
                <w:sz w:val="20"/>
              </w:rPr>
              <w:t>Wzmocnienie łańcuchów logistycznych na obszarach wiejskich i peryferyjnych</w:t>
            </w:r>
          </w:p>
          <w:p w14:paraId="1EBA656B" w14:textId="77777777" w:rsidR="005207DD" w:rsidRPr="00984724" w:rsidRDefault="005207DD" w:rsidP="00D80606">
            <w:pPr>
              <w:pStyle w:val="Akapitzlist"/>
              <w:numPr>
                <w:ilvl w:val="0"/>
                <w:numId w:val="34"/>
              </w:numPr>
              <w:ind w:left="319" w:right="0" w:hanging="283"/>
              <w:jc w:val="left"/>
              <w:rPr>
                <w:rFonts w:asciiTheme="minorHAnsi" w:eastAsia="Times New Roman" w:hAnsiTheme="minorHAnsi" w:cs="Times New Roman"/>
                <w:sz w:val="20"/>
                <w:szCs w:val="20"/>
                <w:lang w:eastAsia="en-US"/>
              </w:rPr>
            </w:pPr>
            <w:r>
              <w:rPr>
                <w:rFonts w:asciiTheme="minorHAnsi" w:hAnsiTheme="minorHAnsi"/>
                <w:sz w:val="20"/>
              </w:rPr>
              <w:t xml:space="preserve">Poprawa dostępności i mobilności na obszarach wiejskich i peryferyjnych w celu wspierania spójności terytorialnej i włączenia społecznego </w:t>
            </w:r>
          </w:p>
          <w:p w14:paraId="6FD16A1F" w14:textId="77777777" w:rsidR="005207DD" w:rsidRDefault="005207DD" w:rsidP="00D80606">
            <w:pPr>
              <w:ind w:left="0" w:right="0"/>
              <w:jc w:val="left"/>
              <w:rPr>
                <w:rFonts w:asciiTheme="minorHAnsi" w:eastAsia="Times New Roman" w:hAnsiTheme="minorHAnsi" w:cs="Times New Roman"/>
                <w:sz w:val="20"/>
                <w:szCs w:val="20"/>
                <w:lang w:eastAsia="en-US"/>
              </w:rPr>
            </w:pPr>
            <w:r>
              <w:rPr>
                <w:rFonts w:asciiTheme="minorHAnsi" w:hAnsiTheme="minorHAnsi"/>
                <w:sz w:val="20"/>
              </w:rPr>
              <w:t xml:space="preserve">Forma wsparcia: dotacje </w:t>
            </w:r>
          </w:p>
          <w:p w14:paraId="4FE12690" w14:textId="77777777" w:rsidR="005207DD" w:rsidRDefault="005207DD" w:rsidP="00D80606">
            <w:pPr>
              <w:ind w:left="0" w:right="0"/>
              <w:jc w:val="left"/>
              <w:rPr>
                <w:rFonts w:asciiTheme="minorHAnsi" w:eastAsia="Times New Roman" w:hAnsiTheme="minorHAnsi" w:cs="Times New Roman"/>
                <w:sz w:val="20"/>
                <w:szCs w:val="20"/>
                <w:lang w:eastAsia="en-US"/>
              </w:rPr>
            </w:pPr>
          </w:p>
        </w:tc>
      </w:tr>
      <w:tr w:rsidR="00B845C2" w:rsidRPr="005F09AF" w14:paraId="1877E8FC" w14:textId="77777777" w:rsidTr="00D806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696" w:type="dxa"/>
            <w:tcBorders>
              <w:top w:val="single" w:sz="4" w:space="0" w:color="auto"/>
              <w:left w:val="single" w:sz="4" w:space="0" w:color="auto"/>
              <w:bottom w:val="single" w:sz="4" w:space="0" w:color="auto"/>
              <w:right w:val="single" w:sz="4" w:space="0" w:color="auto"/>
            </w:tcBorders>
          </w:tcPr>
          <w:p w14:paraId="6698CCF8" w14:textId="77777777" w:rsidR="00B845C2" w:rsidRDefault="00B845C2" w:rsidP="00D80606">
            <w:pPr>
              <w:ind w:left="0" w:right="0"/>
              <w:jc w:val="left"/>
              <w:rPr>
                <w:rFonts w:asciiTheme="minorHAnsi" w:eastAsia="Times New Roman" w:hAnsiTheme="minorHAnsi" w:cs="Times New Roman"/>
                <w:b/>
                <w:bCs/>
                <w:iCs/>
                <w:color w:val="5D6867" w:themeColor="accent1" w:themeShade="BF"/>
                <w:sz w:val="24"/>
                <w:szCs w:val="20"/>
                <w:lang w:eastAsia="en-US"/>
              </w:rPr>
            </w:pPr>
            <w:r>
              <w:rPr>
                <w:rFonts w:asciiTheme="minorHAnsi" w:hAnsiTheme="minorHAnsi"/>
                <w:b/>
              </w:rPr>
              <w:lastRenderedPageBreak/>
              <w:t>ISO 1: Lepsze zarządzanie</w:t>
            </w:r>
          </w:p>
          <w:p w14:paraId="0EFC31D8" w14:textId="77777777" w:rsidR="00B845C2" w:rsidRPr="0000689F" w:rsidRDefault="00B845C2" w:rsidP="00BD74C0">
            <w:pPr>
              <w:ind w:left="0" w:right="0"/>
              <w:jc w:val="center"/>
              <w:rPr>
                <w:rFonts w:asciiTheme="minorHAnsi" w:eastAsia="Times New Roman" w:hAnsiTheme="minorHAnsi" w:cs="Times New Roman"/>
                <w:b/>
                <w:szCs w:val="20"/>
              </w:rPr>
            </w:pPr>
          </w:p>
        </w:tc>
        <w:tc>
          <w:tcPr>
            <w:tcW w:w="1560" w:type="dxa"/>
            <w:tcBorders>
              <w:top w:val="single" w:sz="4" w:space="0" w:color="auto"/>
              <w:left w:val="single" w:sz="4" w:space="0" w:color="auto"/>
              <w:bottom w:val="single" w:sz="4" w:space="0" w:color="auto"/>
              <w:right w:val="single" w:sz="4" w:space="0" w:color="auto"/>
            </w:tcBorders>
          </w:tcPr>
          <w:p w14:paraId="7C10E695" w14:textId="77777777" w:rsidR="00B845C2" w:rsidRDefault="00B845C2" w:rsidP="00BD74C0">
            <w:pPr>
              <w:ind w:left="0" w:right="0"/>
              <w:jc w:val="left"/>
              <w:rPr>
                <w:rFonts w:asciiTheme="minorHAnsi" w:eastAsia="Times New Roman" w:hAnsiTheme="minorHAnsi" w:cs="Times New Roman"/>
                <w:sz w:val="20"/>
                <w:szCs w:val="20"/>
              </w:rPr>
            </w:pPr>
            <w:r>
              <w:rPr>
                <w:rFonts w:asciiTheme="minorHAnsi" w:hAnsiTheme="minorHAnsi"/>
                <w:sz w:val="20"/>
              </w:rPr>
              <w:t>6. Inne działania mające na celu wspieranie lepszego zarządzania współpracą</w:t>
            </w:r>
          </w:p>
          <w:p w14:paraId="2F6AEE65" w14:textId="77777777" w:rsidR="00B845C2" w:rsidRDefault="00B845C2" w:rsidP="00BD74C0">
            <w:pPr>
              <w:ind w:left="0" w:right="0"/>
              <w:jc w:val="left"/>
              <w:rPr>
                <w:rFonts w:asciiTheme="minorHAnsi" w:eastAsia="Times New Roman" w:hAnsiTheme="minorHAnsi" w:cs="Times New Roman"/>
                <w:sz w:val="20"/>
                <w:szCs w:val="20"/>
                <w:highlight w:val="yellow"/>
              </w:rPr>
            </w:pPr>
          </w:p>
          <w:p w14:paraId="344873BB" w14:textId="77777777" w:rsidR="00B845C2" w:rsidRPr="005400CC" w:rsidRDefault="00B845C2" w:rsidP="00BD74C0">
            <w:pPr>
              <w:ind w:left="0" w:right="0"/>
              <w:jc w:val="left"/>
              <w:rPr>
                <w:rFonts w:asciiTheme="minorHAnsi" w:eastAsia="Times New Roman" w:hAnsiTheme="minorHAnsi" w:cs="Times New Roman"/>
                <w:sz w:val="20"/>
                <w:szCs w:val="20"/>
                <w:highlight w:val="yellow"/>
              </w:rPr>
            </w:pPr>
          </w:p>
        </w:tc>
        <w:tc>
          <w:tcPr>
            <w:tcW w:w="1559" w:type="dxa"/>
            <w:tcBorders>
              <w:top w:val="single" w:sz="4" w:space="0" w:color="auto"/>
              <w:left w:val="single" w:sz="4" w:space="0" w:color="auto"/>
              <w:bottom w:val="single" w:sz="4" w:space="0" w:color="auto"/>
              <w:right w:val="single" w:sz="4" w:space="0" w:color="auto"/>
            </w:tcBorders>
          </w:tcPr>
          <w:p w14:paraId="5A8C9B02" w14:textId="3CD0F65C" w:rsidR="00B845C2" w:rsidRPr="00136D67" w:rsidRDefault="00B845C2" w:rsidP="00D80606">
            <w:pPr>
              <w:ind w:left="0" w:right="0"/>
              <w:jc w:val="left"/>
              <w:rPr>
                <w:rFonts w:asciiTheme="minorHAnsi" w:eastAsia="Times New Roman" w:hAnsiTheme="minorHAnsi" w:cs="Times New Roman"/>
                <w:b/>
                <w:bCs/>
                <w:i/>
                <w:iCs/>
                <w:color w:val="5D6867" w:themeColor="accent1" w:themeShade="BF"/>
                <w:sz w:val="20"/>
                <w:szCs w:val="20"/>
                <w:highlight w:val="yellow"/>
                <w:lang w:eastAsia="en-US"/>
              </w:rPr>
            </w:pPr>
            <w:r>
              <w:rPr>
                <w:rFonts w:asciiTheme="minorHAnsi" w:hAnsiTheme="minorHAnsi"/>
                <w:b/>
              </w:rPr>
              <w:t xml:space="preserve">Priorytet 4  </w:t>
            </w:r>
            <w:r w:rsidR="007A5BF6" w:rsidRPr="007A5BF6">
              <w:rPr>
                <w:rFonts w:asciiTheme="minorHAnsi" w:hAnsiTheme="minorHAnsi"/>
              </w:rPr>
              <w:t>Poprawa systemu zarządzania współpracą w Europie Środkowej</w:t>
            </w:r>
          </w:p>
        </w:tc>
        <w:tc>
          <w:tcPr>
            <w:tcW w:w="5246" w:type="dxa"/>
            <w:tcBorders>
              <w:top w:val="single" w:sz="4" w:space="0" w:color="auto"/>
              <w:left w:val="single" w:sz="4" w:space="0" w:color="auto"/>
              <w:bottom w:val="single" w:sz="4" w:space="0" w:color="auto"/>
              <w:right w:val="single" w:sz="4" w:space="0" w:color="auto"/>
            </w:tcBorders>
          </w:tcPr>
          <w:p w14:paraId="5F237FE7" w14:textId="77777777" w:rsidR="00B845C2" w:rsidRDefault="00B845C2" w:rsidP="00D80606">
            <w:pPr>
              <w:ind w:left="0" w:right="0"/>
              <w:jc w:val="left"/>
              <w:rPr>
                <w:rFonts w:asciiTheme="minorHAnsi" w:eastAsia="Times New Roman" w:hAnsiTheme="minorHAnsi" w:cs="Times New Roman"/>
                <w:b/>
                <w:bCs/>
                <w:iCs/>
                <w:color w:val="5D6867" w:themeColor="accent1" w:themeShade="BF"/>
                <w:sz w:val="20"/>
                <w:szCs w:val="20"/>
                <w:u w:val="single"/>
                <w:lang w:eastAsia="en-US"/>
              </w:rPr>
            </w:pPr>
            <w:r>
              <w:rPr>
                <w:rFonts w:asciiTheme="minorHAnsi" w:hAnsiTheme="minorHAnsi"/>
                <w:sz w:val="20"/>
                <w:u w:val="single"/>
              </w:rPr>
              <w:t xml:space="preserve">Uzasadnienie wyboru ISO1 </w:t>
            </w:r>
          </w:p>
          <w:p w14:paraId="6FEEBB80" w14:textId="77777777" w:rsidR="00B845C2" w:rsidRPr="00984724" w:rsidRDefault="00B845C2"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 xml:space="preserve">Europa Środkowa ma </w:t>
            </w:r>
            <w:r>
              <w:rPr>
                <w:rFonts w:asciiTheme="minorHAnsi" w:hAnsiTheme="minorHAnsi"/>
                <w:b/>
                <w:sz w:val="20"/>
              </w:rPr>
              <w:t>wspólną tożsamość</w:t>
            </w:r>
            <w:r>
              <w:rPr>
                <w:rFonts w:asciiTheme="minorHAnsi" w:hAnsiTheme="minorHAnsi"/>
                <w:sz w:val="20"/>
              </w:rPr>
              <w:t xml:space="preserve">, która jest zakorzeniona w długotrwałych </w:t>
            </w:r>
            <w:r>
              <w:rPr>
                <w:rFonts w:asciiTheme="minorHAnsi" w:hAnsiTheme="minorHAnsi"/>
                <w:b/>
                <w:sz w:val="20"/>
              </w:rPr>
              <w:t>więzach kulturowych i historycznych</w:t>
            </w:r>
            <w:r>
              <w:rPr>
                <w:rFonts w:asciiTheme="minorHAnsi" w:hAnsiTheme="minorHAnsi"/>
                <w:sz w:val="20"/>
              </w:rPr>
              <w:t xml:space="preserve"> pomiędzy jej miastami i regionami. Jest to nieuchwytny, ale kluczowy atut umożliwiający podejmowanie wyzwań w ramach podejścia opartego na współpracy.</w:t>
            </w:r>
          </w:p>
          <w:p w14:paraId="349BFDA2" w14:textId="031690EB" w:rsidR="00B845C2" w:rsidRPr="00984724" w:rsidRDefault="00B845C2"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Europa Środkowa, pomimo wielu powiązań funkcjonalnych, jest raczej zróżnicowana pod względem społeczno-gospodarczym i terytorialnym. Obszar ten stoi przed licznymi wyzwaniami i barierami dla rozwoju regionalnego, które nie kończą się na granicach</w:t>
            </w:r>
            <w:r w:rsidR="00A82960">
              <w:rPr>
                <w:rFonts w:asciiTheme="minorHAnsi" w:hAnsiTheme="minorHAnsi"/>
                <w:sz w:val="20"/>
              </w:rPr>
              <w:t>,</w:t>
            </w:r>
            <w:r>
              <w:rPr>
                <w:rFonts w:asciiTheme="minorHAnsi" w:hAnsiTheme="minorHAnsi"/>
                <w:sz w:val="20"/>
              </w:rPr>
              <w:t xml:space="preserve"> czy jednostkach administracyjnych. </w:t>
            </w:r>
          </w:p>
          <w:p w14:paraId="5F5E0B7D" w14:textId="77777777" w:rsidR="00B845C2" w:rsidRDefault="00B845C2" w:rsidP="00D80606">
            <w:pPr>
              <w:ind w:left="0" w:right="0"/>
              <w:jc w:val="left"/>
              <w:rPr>
                <w:rFonts w:asciiTheme="minorHAnsi" w:eastAsia="Times New Roman" w:hAnsiTheme="minorHAnsi" w:cs="Times New Roman"/>
                <w:b/>
                <w:bCs/>
                <w:iCs/>
                <w:color w:val="5D6867" w:themeColor="accent1" w:themeShade="BF"/>
                <w:sz w:val="20"/>
                <w:szCs w:val="24"/>
                <w:lang w:eastAsia="en-US"/>
              </w:rPr>
            </w:pPr>
            <w:r>
              <w:rPr>
                <w:rFonts w:asciiTheme="minorHAnsi" w:hAnsiTheme="minorHAnsi"/>
                <w:sz w:val="20"/>
                <w:u w:val="single"/>
              </w:rPr>
              <w:t>Uzasadnienie wyboru celu 6 „innych działań wspierających lepsze zarządzanie współpracą”</w:t>
            </w:r>
          </w:p>
          <w:p w14:paraId="35EB99DF" w14:textId="77777777" w:rsidR="00B845C2" w:rsidRPr="00D80606" w:rsidRDefault="00B845C2" w:rsidP="00D80606">
            <w:pPr>
              <w:ind w:left="0" w:right="0"/>
              <w:jc w:val="left"/>
              <w:rPr>
                <w:rFonts w:asciiTheme="minorHAnsi" w:eastAsia="Times New Roman" w:hAnsiTheme="minorHAnsi" w:cs="Times New Roman"/>
                <w:b/>
                <w:bCs/>
                <w:iCs/>
                <w:color w:val="5D6867" w:themeColor="accent1" w:themeShade="BF"/>
                <w:sz w:val="20"/>
                <w:szCs w:val="20"/>
                <w:lang w:eastAsia="en-US"/>
              </w:rPr>
            </w:pPr>
            <w:r w:rsidRPr="00D80606">
              <w:rPr>
                <w:rFonts w:asciiTheme="minorHAnsi" w:hAnsiTheme="minorHAnsi"/>
              </w:rPr>
              <w:t xml:space="preserve">Program będzie dotyczył kilku celów </w:t>
            </w:r>
            <w:r w:rsidRPr="00D80606">
              <w:rPr>
                <w:rFonts w:asciiTheme="minorHAnsi" w:hAnsiTheme="minorHAnsi"/>
              </w:rPr>
              <w:lastRenderedPageBreak/>
              <w:t>szczegółowych ISO1, dlatego wybrano cel (6).</w:t>
            </w:r>
          </w:p>
          <w:p w14:paraId="2A7AC339" w14:textId="77777777" w:rsidR="00B845C2" w:rsidRDefault="00B845C2"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 xml:space="preserve">Zgodnie z Agendą Terytorialną 2030 i Nową Kartą Lipską, </w:t>
            </w:r>
            <w:r>
              <w:rPr>
                <w:rFonts w:asciiTheme="minorHAnsi" w:hAnsiTheme="minorHAnsi"/>
                <w:b/>
                <w:sz w:val="20"/>
              </w:rPr>
              <w:t>zintegrowane polityki i procesy wielopoziomowego sprawowania rządów</w:t>
            </w:r>
            <w:r>
              <w:rPr>
                <w:rFonts w:asciiTheme="minorHAnsi" w:hAnsiTheme="minorHAnsi"/>
                <w:sz w:val="20"/>
              </w:rPr>
              <w:t xml:space="preserve"> mają kluczowe znaczenie dla wzmocnienia rozwoju regionalnego i spójności ponad granicami. Dotyczy to w szczególności </w:t>
            </w:r>
            <w:r>
              <w:rPr>
                <w:rFonts w:asciiTheme="minorHAnsi" w:hAnsiTheme="minorHAnsi"/>
                <w:b/>
                <w:sz w:val="20"/>
              </w:rPr>
              <w:t>złożonych wyzwań terytorialnych</w:t>
            </w:r>
            <w:r>
              <w:rPr>
                <w:rFonts w:asciiTheme="minorHAnsi" w:hAnsiTheme="minorHAnsi"/>
                <w:sz w:val="20"/>
              </w:rPr>
              <w:t xml:space="preserve">, takich jak zmiany demograficzne, cyfryzacja, zdrowie lub powszechne sytuacje kryzysowe, które w podobny sposób wpływają na regiony Europy Środkowej. Najlepiej można sobie z nimi poradzić stosując </w:t>
            </w:r>
            <w:r>
              <w:rPr>
                <w:rFonts w:asciiTheme="minorHAnsi" w:hAnsiTheme="minorHAnsi"/>
                <w:b/>
                <w:sz w:val="20"/>
              </w:rPr>
              <w:t>zintegrowane i międzysektorowe podejście</w:t>
            </w:r>
            <w:r>
              <w:rPr>
                <w:rFonts w:asciiTheme="minorHAnsi" w:hAnsiTheme="minorHAnsi"/>
                <w:sz w:val="20"/>
              </w:rPr>
              <w:t xml:space="preserve">, co wymaga zapewnienia i równego dostępu do </w:t>
            </w:r>
            <w:r>
              <w:rPr>
                <w:rFonts w:asciiTheme="minorHAnsi" w:hAnsiTheme="minorHAnsi"/>
                <w:b/>
                <w:sz w:val="20"/>
              </w:rPr>
              <w:t>usług publicznych</w:t>
            </w:r>
            <w:r>
              <w:rPr>
                <w:rFonts w:asciiTheme="minorHAnsi" w:hAnsiTheme="minorHAnsi"/>
                <w:sz w:val="20"/>
              </w:rPr>
              <w:t xml:space="preserve">. </w:t>
            </w:r>
          </w:p>
          <w:p w14:paraId="42A038EC" w14:textId="77777777" w:rsidR="00B845C2" w:rsidRDefault="00B845C2" w:rsidP="00D80606">
            <w:pPr>
              <w:ind w:left="0" w:right="0"/>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Współpraca transnarodowa oferuje wyraźną wartość dodaną między innymi w zakresie zaspokajania następujących szczególnych potrzeb (rodzaje i przykłady działań znajdują się w sekcji 2):</w:t>
            </w:r>
          </w:p>
          <w:p w14:paraId="17B4A00F" w14:textId="77777777" w:rsidR="00B845C2" w:rsidRPr="00984724" w:rsidRDefault="00B845C2"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Wspieranie zintegrowanej polityki ukierunkowanej terytorialnie, podejmującej złożone wyzwania społeczne</w:t>
            </w:r>
          </w:p>
          <w:p w14:paraId="076D2FA0" w14:textId="77777777" w:rsidR="00B845C2" w:rsidRPr="00984724" w:rsidRDefault="00B845C2"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 xml:space="preserve">Wzmocnienie terytoriów o powiązaniach funkcjonalnych lub historycznych </w:t>
            </w:r>
          </w:p>
          <w:p w14:paraId="02C8CE3E" w14:textId="77777777" w:rsidR="00B845C2" w:rsidRPr="00984724" w:rsidRDefault="00B845C2"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Zmniejszanie barier administracyjnych i prawnych utrudniających współpracę ponad granicami administracyjnymi</w:t>
            </w:r>
          </w:p>
          <w:p w14:paraId="6C9CCE14" w14:textId="77777777" w:rsidR="00B845C2" w:rsidRPr="00984724" w:rsidRDefault="00B845C2"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 xml:space="preserve">Wzmocnienie wielopoziomowego sprawowania rządów oraz zwiększenie zaangażowania obywateli i interesariuszy </w:t>
            </w:r>
          </w:p>
          <w:p w14:paraId="569ABFE4" w14:textId="77777777" w:rsidR="00B845C2" w:rsidRPr="00984724" w:rsidRDefault="00B845C2"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Wspieranie wysokiej jakości usług publicznych świadczonych w interesie ogólnym, w równym stopniu dla wszystkich obywateli</w:t>
            </w:r>
          </w:p>
          <w:p w14:paraId="09C06A85" w14:textId="77777777" w:rsidR="00B845C2" w:rsidRDefault="00B845C2" w:rsidP="00D80606">
            <w:pPr>
              <w:pStyle w:val="Akapitzlist"/>
              <w:numPr>
                <w:ilvl w:val="0"/>
                <w:numId w:val="34"/>
              </w:numPr>
              <w:ind w:left="319" w:right="0" w:hanging="283"/>
              <w:jc w:val="left"/>
              <w:rPr>
                <w:rFonts w:asciiTheme="minorHAnsi" w:eastAsia="Times New Roman" w:hAnsiTheme="minorHAnsi" w:cs="Times New Roman"/>
                <w:b/>
                <w:bCs/>
                <w:iCs/>
                <w:color w:val="5D6867" w:themeColor="accent1" w:themeShade="BF"/>
                <w:sz w:val="20"/>
                <w:szCs w:val="20"/>
                <w:lang w:eastAsia="en-US"/>
              </w:rPr>
            </w:pPr>
            <w:r>
              <w:rPr>
                <w:rFonts w:asciiTheme="minorHAnsi" w:hAnsiTheme="minorHAnsi"/>
                <w:sz w:val="20"/>
              </w:rPr>
              <w:t>Wspieranie zarządzania cyfrowego i lepszych cyfrowych usług publicznych</w:t>
            </w:r>
          </w:p>
          <w:p w14:paraId="35C317E1" w14:textId="77777777" w:rsidR="00B845C2" w:rsidRPr="00137C89" w:rsidRDefault="00B845C2" w:rsidP="00D80606">
            <w:pPr>
              <w:ind w:left="0" w:right="0"/>
              <w:jc w:val="left"/>
              <w:rPr>
                <w:rFonts w:asciiTheme="minorHAnsi" w:eastAsia="Times New Roman" w:hAnsiTheme="minorHAnsi" w:cs="Times New Roman"/>
                <w:b/>
                <w:bCs/>
                <w:iCs/>
                <w:color w:val="5D6867" w:themeColor="accent1" w:themeShade="BF"/>
                <w:sz w:val="24"/>
                <w:szCs w:val="24"/>
                <w:lang w:eastAsia="en-US"/>
              </w:rPr>
            </w:pPr>
            <w:r>
              <w:rPr>
                <w:rFonts w:asciiTheme="minorHAnsi" w:hAnsiTheme="minorHAnsi"/>
                <w:sz w:val="20"/>
              </w:rPr>
              <w:t>Forma wsparcia: dotacje</w:t>
            </w:r>
          </w:p>
        </w:tc>
      </w:tr>
    </w:tbl>
    <w:p w14:paraId="257211F3" w14:textId="77777777" w:rsidR="006F0B76" w:rsidRPr="00EB29EC" w:rsidRDefault="006F0B76" w:rsidP="006F0B76">
      <w:pPr>
        <w:spacing w:before="240" w:after="240" w:line="240" w:lineRule="auto"/>
        <w:ind w:left="0" w:right="0"/>
        <w:rPr>
          <w:rFonts w:asciiTheme="minorHAnsi" w:hAnsiTheme="minorHAnsi"/>
          <w:b/>
          <w:color w:val="000000"/>
          <w:sz w:val="28"/>
          <w:szCs w:val="24"/>
        </w:rPr>
      </w:pPr>
      <w:r>
        <w:lastRenderedPageBreak/>
        <w:br w:type="page"/>
      </w:r>
    </w:p>
    <w:p w14:paraId="242753AC" w14:textId="77777777" w:rsidR="008727F2" w:rsidRPr="00EB444C" w:rsidRDefault="008727F2" w:rsidP="005A23E6">
      <w:pPr>
        <w:pStyle w:val="CE-Headline1"/>
      </w:pPr>
      <w:bookmarkStart w:id="88" w:name="_Toc71036599"/>
      <w:r>
        <w:lastRenderedPageBreak/>
        <w:t>Priorytety</w:t>
      </w:r>
      <w:bookmarkEnd w:id="88"/>
      <w:r>
        <w:t xml:space="preserve"> </w:t>
      </w:r>
    </w:p>
    <w:p w14:paraId="13C1B066" w14:textId="77777777" w:rsidR="008727F2" w:rsidRPr="00D80606" w:rsidRDefault="008727F2" w:rsidP="008B7D72">
      <w:pPr>
        <w:pBdr>
          <w:top w:val="nil"/>
          <w:left w:val="nil"/>
          <w:bottom w:val="nil"/>
          <w:right w:val="nil"/>
          <w:between w:val="nil"/>
        </w:pBdr>
        <w:ind w:left="360" w:hanging="360"/>
        <w:rPr>
          <w:rFonts w:asciiTheme="minorHAnsi" w:hAnsiTheme="minorHAnsi"/>
          <w:color w:val="000000"/>
          <w:szCs w:val="24"/>
        </w:rPr>
      </w:pPr>
      <w:r w:rsidRPr="00D80606">
        <w:rPr>
          <w:rFonts w:asciiTheme="minorHAnsi" w:hAnsiTheme="minorHAnsi"/>
          <w:color w:val="000000"/>
        </w:rPr>
        <w:t>Podstawa: Art. 17 ust. 4 lit. d i e</w:t>
      </w:r>
    </w:p>
    <w:p w14:paraId="0898F467" w14:textId="77777777" w:rsidR="008727F2" w:rsidRPr="00173920" w:rsidRDefault="008727F2" w:rsidP="00173920">
      <w:pPr>
        <w:pStyle w:val="CE-Headline2"/>
      </w:pPr>
      <w:bookmarkStart w:id="89" w:name="_Toc61245867"/>
      <w:bookmarkStart w:id="90" w:name="_Toc61246206"/>
      <w:bookmarkStart w:id="91" w:name="_Toc63770037"/>
      <w:bookmarkStart w:id="92" w:name="_Toc71036600"/>
      <w:r w:rsidRPr="00173920">
        <w:t>Tytuł priorytetu (dla każdego priorytetu)</w:t>
      </w:r>
      <w:bookmarkEnd w:id="89"/>
      <w:bookmarkEnd w:id="90"/>
      <w:bookmarkEnd w:id="91"/>
      <w:bookmarkEnd w:id="92"/>
    </w:p>
    <w:p w14:paraId="6EE4C17F" w14:textId="77777777" w:rsidR="008727F2" w:rsidRPr="00D80606" w:rsidRDefault="008727F2" w:rsidP="008B7D72">
      <w:pPr>
        <w:ind w:left="0"/>
        <w:rPr>
          <w:rFonts w:asciiTheme="minorHAnsi" w:hAnsiTheme="minorHAnsi"/>
          <w:color w:val="000000"/>
          <w:szCs w:val="24"/>
        </w:rPr>
      </w:pPr>
      <w:r w:rsidRPr="00D80606">
        <w:rPr>
          <w:rFonts w:asciiTheme="minorHAnsi" w:hAnsiTheme="minorHAnsi"/>
          <w:color w:val="000000"/>
        </w:rPr>
        <w:t>Podstawa: art. 17 ust. 4 lit. d</w:t>
      </w:r>
    </w:p>
    <w:p w14:paraId="58E01A2C" w14:textId="77777777" w:rsidR="008727F2" w:rsidRPr="00D80606" w:rsidRDefault="008727F2" w:rsidP="008B7D72">
      <w:pPr>
        <w:ind w:left="0"/>
        <w:rPr>
          <w:rFonts w:asciiTheme="minorHAnsi" w:hAnsiTheme="minorHAnsi"/>
        </w:rPr>
      </w:pPr>
      <w:r w:rsidRPr="00D80606">
        <w:rPr>
          <w:rFonts w:asciiTheme="minorHAnsi" w:hAnsiTheme="minorHAnsi"/>
        </w:rPr>
        <w:t>Pole tekstowe: [300]</w:t>
      </w:r>
    </w:p>
    <w:tbl>
      <w:tblPr>
        <w:tblStyle w:val="Tabela-Siatka"/>
        <w:tblW w:w="0" w:type="auto"/>
        <w:tblLook w:val="04A0" w:firstRow="1" w:lastRow="0" w:firstColumn="1" w:lastColumn="0" w:noHBand="0" w:noVBand="1"/>
      </w:tblPr>
      <w:tblGrid>
        <w:gridCol w:w="9060"/>
      </w:tblGrid>
      <w:tr w:rsidR="00EB444C" w:rsidRPr="00A557D8" w14:paraId="79563736" w14:textId="77777777" w:rsidTr="008727F2">
        <w:tc>
          <w:tcPr>
            <w:tcW w:w="9060" w:type="dxa"/>
          </w:tcPr>
          <w:p w14:paraId="2858FFB3" w14:textId="613D88E2" w:rsidR="00AD0BA9" w:rsidRPr="00173920" w:rsidRDefault="00EB1C9F" w:rsidP="00173920">
            <w:pPr>
              <w:pStyle w:val="CE-Headline3"/>
            </w:pPr>
            <w:bookmarkStart w:id="93" w:name="_Toc71036601"/>
            <w:r w:rsidRPr="00173920">
              <w:t>Priorytet 1: Współpraca na rzecz inteligentnej Europy Środkowej</w:t>
            </w:r>
            <w:bookmarkEnd w:id="93"/>
            <w:r w:rsidRPr="00173920">
              <w:t xml:space="preserve"> </w:t>
            </w:r>
          </w:p>
        </w:tc>
      </w:tr>
    </w:tbl>
    <w:p w14:paraId="7B9113DD" w14:textId="3F3EC592" w:rsidR="008727F2" w:rsidRPr="00680741" w:rsidRDefault="008727F2" w:rsidP="00D4210A">
      <w:pPr>
        <w:ind w:left="0"/>
        <w:rPr>
          <w:rFonts w:asciiTheme="minorHAnsi" w:hAnsiTheme="minorHAnsi"/>
          <w:i/>
        </w:rPr>
      </w:pPr>
    </w:p>
    <w:p w14:paraId="0E42564E" w14:textId="77777777" w:rsidR="008727F2" w:rsidRPr="008727F2" w:rsidRDefault="008727F2" w:rsidP="008727F2">
      <w:pPr>
        <w:spacing w:before="240" w:after="240" w:line="240" w:lineRule="auto"/>
        <w:ind w:left="709" w:hanging="709"/>
        <w:rPr>
          <w:rFonts w:asciiTheme="minorHAnsi" w:hAnsiTheme="minorHAnsi"/>
          <w:sz w:val="24"/>
          <w:szCs w:val="24"/>
        </w:rPr>
      </w:pPr>
      <w:r>
        <w:rPr>
          <w:rFonts w:asciiTheme="minorHAnsi" w:hAnsiTheme="minorHAnsi"/>
          <w:b/>
          <w:sz w:val="24"/>
        </w:rPr>
        <w:t>2.1.1.</w:t>
      </w:r>
      <w:r>
        <w:rPr>
          <w:rFonts w:asciiTheme="minorHAnsi" w:hAnsiTheme="minorHAnsi"/>
          <w:b/>
          <w:sz w:val="24"/>
        </w:rPr>
        <w:tab/>
        <w:t xml:space="preserve">Cel szczegółowy </w:t>
      </w:r>
      <w:r>
        <w:rPr>
          <w:rFonts w:asciiTheme="minorHAnsi" w:hAnsiTheme="minorHAnsi"/>
          <w:sz w:val="24"/>
        </w:rPr>
        <w:t xml:space="preserve"> (dla każdego wybranego celu szczegółowego, priorytetów, z wyłączeniem pomocy technicznej)</w:t>
      </w:r>
    </w:p>
    <w:p w14:paraId="21F5AB68" w14:textId="77777777" w:rsidR="008727F2" w:rsidRPr="00D80606" w:rsidRDefault="008727F2" w:rsidP="008B7D72">
      <w:pPr>
        <w:ind w:left="0"/>
        <w:rPr>
          <w:rFonts w:asciiTheme="minorHAnsi" w:hAnsiTheme="minorHAnsi"/>
          <w:color w:val="000000"/>
        </w:rPr>
      </w:pPr>
      <w:r w:rsidRPr="00D80606">
        <w:rPr>
          <w:rFonts w:asciiTheme="minorHAnsi" w:hAnsiTheme="minorHAnsi"/>
          <w:color w:val="000000"/>
        </w:rPr>
        <w:t>Podstawa: art. 17 ust. 4 lit. e</w:t>
      </w:r>
    </w:p>
    <w:p w14:paraId="68BD69AE" w14:textId="2557985D" w:rsidR="00F7031D" w:rsidRPr="00D80606" w:rsidRDefault="00EC3C87" w:rsidP="00173920">
      <w:pPr>
        <w:pStyle w:val="CE-Headline4"/>
      </w:pPr>
      <w:bookmarkStart w:id="94" w:name="_Toc61245869"/>
      <w:bookmarkStart w:id="95" w:name="_Toc71036602"/>
      <w:r w:rsidRPr="00D80606">
        <w:t>PO1 –</w:t>
      </w:r>
      <w:r w:rsidRPr="00D80606">
        <w:tab/>
        <w:t>(i) Wzmacnianie zdolności badawczo-innowacyjnych i wykorzystanie zaawansowanych technologii</w:t>
      </w:r>
      <w:bookmarkEnd w:id="94"/>
      <w:bookmarkEnd w:id="95"/>
      <w:r w:rsidRPr="00D80606">
        <w:t xml:space="preserve"> </w:t>
      </w:r>
    </w:p>
    <w:p w14:paraId="458C1B31" w14:textId="5F114FCA" w:rsidR="008727F2" w:rsidRPr="00173920" w:rsidRDefault="008727F2" w:rsidP="008727F2">
      <w:pPr>
        <w:spacing w:before="240" w:after="240" w:line="240" w:lineRule="auto"/>
        <w:ind w:left="709" w:hanging="709"/>
        <w:rPr>
          <w:rFonts w:asciiTheme="minorHAnsi" w:hAnsiTheme="minorHAnsi"/>
          <w:b/>
          <w:sz w:val="24"/>
          <w:szCs w:val="24"/>
        </w:rPr>
      </w:pPr>
      <w:r>
        <w:rPr>
          <w:rFonts w:asciiTheme="minorHAnsi" w:hAnsiTheme="minorHAnsi"/>
          <w:b/>
          <w:sz w:val="24"/>
        </w:rPr>
        <w:t>2.1.1.1 Powiązane rodzaje działań i ich planowany wkład w osiągnięcie odpowiednio celów szczegółowych i strategii makroregionalnych i strategii dotyczących basenów morskich</w:t>
      </w:r>
    </w:p>
    <w:p w14:paraId="2AFBFE9E" w14:textId="77777777" w:rsidR="008727F2" w:rsidRPr="00D80606" w:rsidRDefault="008727F2" w:rsidP="00CF7575">
      <w:pPr>
        <w:ind w:left="0"/>
        <w:rPr>
          <w:rFonts w:asciiTheme="minorHAnsi" w:hAnsiTheme="minorHAnsi"/>
          <w:color w:val="000000"/>
        </w:rPr>
      </w:pPr>
      <w:r w:rsidRPr="00D80606">
        <w:rPr>
          <w:rFonts w:asciiTheme="minorHAnsi" w:hAnsiTheme="minorHAnsi"/>
          <w:color w:val="000000"/>
        </w:rPr>
        <w:t>Podstawa: art. 17 ust. 4 lit. e pkt i, artykuł 17 ust. 9 lit. c pkt ii</w:t>
      </w:r>
    </w:p>
    <w:p w14:paraId="2063C8BE" w14:textId="77777777" w:rsidR="008727F2" w:rsidRPr="00D80606" w:rsidRDefault="008727F2" w:rsidP="00CF7575">
      <w:pPr>
        <w:ind w:left="0"/>
        <w:rPr>
          <w:rFonts w:asciiTheme="minorHAnsi" w:hAnsiTheme="minorHAnsi"/>
        </w:rPr>
      </w:pPr>
      <w:r w:rsidRPr="00D80606">
        <w:rPr>
          <w:rFonts w:asciiTheme="minorHAnsi" w:hAnsiTheme="minorHAnsi"/>
        </w:rPr>
        <w:t>Pole tekstowe [7000]</w:t>
      </w:r>
    </w:p>
    <w:tbl>
      <w:tblPr>
        <w:tblStyle w:val="Tabela-Siatka"/>
        <w:tblW w:w="0" w:type="auto"/>
        <w:tblLook w:val="04A0" w:firstRow="1" w:lastRow="0" w:firstColumn="1" w:lastColumn="0" w:noHBand="0" w:noVBand="1"/>
      </w:tblPr>
      <w:tblGrid>
        <w:gridCol w:w="9060"/>
      </w:tblGrid>
      <w:tr w:rsidR="008727F2" w:rsidRPr="00A557D8" w14:paraId="45E19BF8" w14:textId="77777777" w:rsidTr="008727F2">
        <w:tc>
          <w:tcPr>
            <w:tcW w:w="9060" w:type="dxa"/>
          </w:tcPr>
          <w:p w14:paraId="2F18F698" w14:textId="77777777" w:rsidR="008727F2" w:rsidRPr="00D80606" w:rsidRDefault="00EB1C9F" w:rsidP="00D4210A">
            <w:pPr>
              <w:ind w:left="0"/>
              <w:rPr>
                <w:rFonts w:asciiTheme="minorHAnsi" w:hAnsiTheme="minorHAnsi"/>
                <w:b/>
                <w:color w:val="000000"/>
                <w:sz w:val="26"/>
                <w:szCs w:val="26"/>
              </w:rPr>
            </w:pPr>
            <w:r w:rsidRPr="00D80606">
              <w:rPr>
                <w:rFonts w:asciiTheme="minorHAnsi" w:hAnsiTheme="minorHAnsi"/>
                <w:b/>
                <w:color w:val="000000"/>
                <w:sz w:val="26"/>
                <w:szCs w:val="26"/>
              </w:rPr>
              <w:t>Cel szczegółowy 1.1: Wzmacnianie zdolności innowacyjnych</w:t>
            </w:r>
          </w:p>
          <w:p w14:paraId="6BB8E954" w14:textId="77777777" w:rsidR="00EB1C9F" w:rsidRPr="00D80606" w:rsidRDefault="00EB1C9F" w:rsidP="00EB1C9F">
            <w:pPr>
              <w:ind w:left="0" w:right="25"/>
              <w:rPr>
                <w:rFonts w:asciiTheme="minorHAnsi" w:hAnsiTheme="minorHAnsi"/>
                <w:b/>
                <w:sz w:val="24"/>
                <w:szCs w:val="24"/>
              </w:rPr>
            </w:pPr>
            <w:r w:rsidRPr="00D80606">
              <w:rPr>
                <w:rFonts w:asciiTheme="minorHAnsi" w:hAnsiTheme="minorHAnsi"/>
                <w:b/>
                <w:sz w:val="24"/>
                <w:szCs w:val="24"/>
              </w:rPr>
              <w:t>Potrzeby terytorialne Europy Środkowej</w:t>
            </w:r>
          </w:p>
          <w:p w14:paraId="2FDC19A0" w14:textId="44F4AE28" w:rsidR="00293CC2" w:rsidRPr="00D80606" w:rsidRDefault="00E82D27" w:rsidP="00D80606">
            <w:pPr>
              <w:ind w:left="0" w:right="25"/>
              <w:jc w:val="left"/>
              <w:rPr>
                <w:rFonts w:asciiTheme="minorHAnsi" w:hAnsiTheme="minorHAnsi"/>
                <w:sz w:val="24"/>
                <w:szCs w:val="24"/>
              </w:rPr>
            </w:pPr>
            <w:r w:rsidRPr="00D80606">
              <w:rPr>
                <w:rFonts w:asciiTheme="minorHAnsi" w:hAnsiTheme="minorHAnsi"/>
                <w:sz w:val="24"/>
                <w:szCs w:val="24"/>
              </w:rPr>
              <w:t>Zdolności innowacyjne mają duże znaczenie dla przyszłego rozwoju gospodarczego Europy Środkowej i jej odporności gospodarczej. Transformacja gospodarcza stanowi wyzwanie dla silnej pozycji regionów Europy Środkowej w sektorze produkcyjnym, który obejmuje np. przemysł motoryzacyjny, tekstylny i spożywczy. Lepsze zdolności innowacyjne będą miały zasadnicze znaczenie dla dostosowania regionów do rosnącego znaczenia trzeciego sektora skupiającego usługi, który obejmuje np. przemysł</w:t>
            </w:r>
            <w:r w:rsidR="00B64344">
              <w:rPr>
                <w:rFonts w:asciiTheme="minorHAnsi" w:hAnsiTheme="minorHAnsi"/>
                <w:sz w:val="24"/>
                <w:szCs w:val="24"/>
              </w:rPr>
              <w:t>y</w:t>
            </w:r>
            <w:r w:rsidRPr="00D80606">
              <w:rPr>
                <w:rFonts w:asciiTheme="minorHAnsi" w:hAnsiTheme="minorHAnsi"/>
                <w:sz w:val="24"/>
                <w:szCs w:val="24"/>
              </w:rPr>
              <w:t xml:space="preserve"> kultur</w:t>
            </w:r>
            <w:r w:rsidR="00B64344">
              <w:rPr>
                <w:rFonts w:asciiTheme="minorHAnsi" w:hAnsiTheme="minorHAnsi"/>
                <w:sz w:val="24"/>
                <w:szCs w:val="24"/>
              </w:rPr>
              <w:t>y</w:t>
            </w:r>
            <w:r w:rsidRPr="00D80606">
              <w:rPr>
                <w:rFonts w:asciiTheme="minorHAnsi" w:hAnsiTheme="minorHAnsi"/>
                <w:sz w:val="24"/>
                <w:szCs w:val="24"/>
              </w:rPr>
              <w:t xml:space="preserve"> i </w:t>
            </w:r>
            <w:r w:rsidR="00B64344">
              <w:rPr>
                <w:rFonts w:asciiTheme="minorHAnsi" w:hAnsiTheme="minorHAnsi"/>
                <w:sz w:val="24"/>
                <w:szCs w:val="24"/>
              </w:rPr>
              <w:t>kreatywne</w:t>
            </w:r>
            <w:r w:rsidRPr="00D80606">
              <w:rPr>
                <w:rFonts w:asciiTheme="minorHAnsi" w:hAnsiTheme="minorHAnsi"/>
                <w:sz w:val="24"/>
                <w:szCs w:val="24"/>
              </w:rPr>
              <w:t>, zdrowie i turystykę. Zgodnie z Zielonym Ładem i Agendą Terytorialną 2030, ważne jest, aby we wszystkich działaniach wspierających równoważyć aspekty gospodarcze, społeczne i ekologiczne.</w:t>
            </w:r>
          </w:p>
          <w:p w14:paraId="3C09672D" w14:textId="7BFAFB6A" w:rsidR="00C7755C" w:rsidRPr="00D80606" w:rsidRDefault="00293CC2" w:rsidP="00D80606">
            <w:pPr>
              <w:ind w:left="0" w:right="25"/>
              <w:jc w:val="left"/>
              <w:rPr>
                <w:rFonts w:asciiTheme="minorHAnsi" w:hAnsiTheme="minorHAnsi"/>
                <w:sz w:val="24"/>
                <w:szCs w:val="24"/>
              </w:rPr>
            </w:pPr>
            <w:r w:rsidRPr="00D80606">
              <w:rPr>
                <w:rFonts w:asciiTheme="minorHAnsi" w:hAnsiTheme="minorHAnsi"/>
                <w:sz w:val="24"/>
                <w:szCs w:val="24"/>
              </w:rPr>
              <w:t xml:space="preserve">W chwili obecnej regiony w Europie Środkowej nie korzystają w równym stopniu z badań i innowacji (R&amp;I). Transfer wiedzy i technologii pozostaje zatem krytyczną potrzebą, zwłaszcza dla MŚP w ramach transnarodowych łańcuchów wartości. Te MŚP są często lokalnymi dostawcami, którzy nie działają na rynkach globalnych jak większe firmy. </w:t>
            </w:r>
          </w:p>
          <w:p w14:paraId="29CFEE5C" w14:textId="11D88F98" w:rsidR="00EB1C9F" w:rsidRPr="00D80606" w:rsidRDefault="00293CC2" w:rsidP="00D80606">
            <w:pPr>
              <w:ind w:left="0" w:right="25"/>
              <w:jc w:val="left"/>
              <w:rPr>
                <w:rFonts w:asciiTheme="minorHAnsi" w:hAnsiTheme="minorHAnsi"/>
                <w:sz w:val="24"/>
                <w:szCs w:val="24"/>
              </w:rPr>
            </w:pPr>
            <w:r w:rsidRPr="00D80606">
              <w:rPr>
                <w:rFonts w:asciiTheme="minorHAnsi" w:hAnsiTheme="minorHAnsi"/>
                <w:sz w:val="24"/>
                <w:szCs w:val="24"/>
              </w:rPr>
              <w:lastRenderedPageBreak/>
              <w:t>Stawienie czoła wyzwaniom związanym z innowacyjnością pomoże zmniejszyć różnice terytorialne między regionami, które w przeciwnym razie mogłyby prowadzić do nierównych szans i dezintegracji społecznej.</w:t>
            </w:r>
          </w:p>
          <w:p w14:paraId="6791B014" w14:textId="77777777" w:rsidR="001B2EF9" w:rsidRPr="00680741" w:rsidRDefault="001B2EF9" w:rsidP="00293CC2">
            <w:pPr>
              <w:ind w:left="0" w:right="25"/>
              <w:rPr>
                <w:rFonts w:asciiTheme="minorHAnsi" w:hAnsiTheme="minorHAnsi"/>
                <w:b/>
              </w:rPr>
            </w:pPr>
          </w:p>
          <w:p w14:paraId="28F81418" w14:textId="77777777" w:rsidR="00293CC2" w:rsidRPr="00D80606" w:rsidRDefault="00293CC2" w:rsidP="00D80606">
            <w:pPr>
              <w:ind w:left="0" w:right="25"/>
              <w:jc w:val="left"/>
              <w:rPr>
                <w:rFonts w:asciiTheme="minorHAnsi" w:hAnsiTheme="minorHAnsi"/>
                <w:b/>
                <w:sz w:val="24"/>
                <w:szCs w:val="24"/>
              </w:rPr>
            </w:pPr>
            <w:r w:rsidRPr="00D80606">
              <w:rPr>
                <w:rFonts w:asciiTheme="minorHAnsi" w:hAnsiTheme="minorHAnsi"/>
                <w:b/>
                <w:sz w:val="24"/>
                <w:szCs w:val="24"/>
              </w:rPr>
              <w:t xml:space="preserve">Działania w zakresie współpracy transnarodowej </w:t>
            </w:r>
          </w:p>
          <w:p w14:paraId="502799EF" w14:textId="0151B9C7" w:rsidR="00293CC2" w:rsidRPr="00D80606" w:rsidRDefault="003A3968" w:rsidP="00D80606">
            <w:pPr>
              <w:ind w:left="0" w:right="25"/>
              <w:jc w:val="left"/>
              <w:rPr>
                <w:rFonts w:asciiTheme="minorHAnsi" w:hAnsiTheme="minorHAnsi"/>
                <w:sz w:val="24"/>
                <w:szCs w:val="24"/>
              </w:rPr>
            </w:pPr>
            <w:r w:rsidRPr="00D80606">
              <w:rPr>
                <w:rFonts w:asciiTheme="minorHAnsi" w:hAnsiTheme="minorHAnsi"/>
                <w:sz w:val="24"/>
                <w:szCs w:val="24"/>
              </w:rPr>
              <w:t>W ramach tego celu szczegółowego program Interreg EUROPA ŚRODKOWA będzie wspierał współpracę transnarodową w celu poprawy konkurencyjności MŚP. Celem jest usprawnienie procesu uczenia się polityk, wzmocnienie potencjału interesariuszy zainteresowanych innowacjami oraz zwiększenie współpracy w ramach regionalnych systemów innowacji i pomiędzy nimi. W stosownych przypadkach wspierane działania</w:t>
            </w:r>
            <w:r w:rsidR="00760F64" w:rsidRPr="00D80606">
              <w:rPr>
                <w:rFonts w:asciiTheme="minorHAnsi" w:hAnsiTheme="minorHAnsi"/>
                <w:sz w:val="24"/>
                <w:szCs w:val="24"/>
              </w:rPr>
              <w:t xml:space="preserve"> powinny</w:t>
            </w:r>
            <w:r w:rsidR="00ED1803">
              <w:rPr>
                <w:rFonts w:asciiTheme="minorHAnsi" w:hAnsiTheme="minorHAnsi"/>
                <w:sz w:val="24"/>
                <w:szCs w:val="24"/>
              </w:rPr>
              <w:t xml:space="preserve"> </w:t>
            </w:r>
            <w:r w:rsidRPr="00D80606">
              <w:rPr>
                <w:rFonts w:asciiTheme="minorHAnsi" w:hAnsiTheme="minorHAnsi"/>
                <w:sz w:val="24"/>
                <w:szCs w:val="24"/>
              </w:rPr>
              <w:t>być</w:t>
            </w:r>
            <w:r w:rsidR="00760F64" w:rsidRPr="00D80606">
              <w:rPr>
                <w:rFonts w:asciiTheme="minorHAnsi" w:hAnsiTheme="minorHAnsi"/>
                <w:sz w:val="24"/>
                <w:szCs w:val="24"/>
              </w:rPr>
              <w:t xml:space="preserve"> spójne</w:t>
            </w:r>
            <w:r w:rsidR="00ED1803">
              <w:rPr>
                <w:rFonts w:asciiTheme="minorHAnsi" w:hAnsiTheme="minorHAnsi"/>
                <w:sz w:val="24"/>
                <w:szCs w:val="24"/>
              </w:rPr>
              <w:t xml:space="preserve"> </w:t>
            </w:r>
            <w:r w:rsidRPr="00D80606">
              <w:rPr>
                <w:rFonts w:asciiTheme="minorHAnsi" w:hAnsiTheme="minorHAnsi"/>
                <w:sz w:val="24"/>
                <w:szCs w:val="24"/>
              </w:rPr>
              <w:t>z odpowiedni</w:t>
            </w:r>
            <w:r w:rsidR="00760F64" w:rsidRPr="00D80606">
              <w:rPr>
                <w:rFonts w:asciiTheme="minorHAnsi" w:hAnsiTheme="minorHAnsi"/>
                <w:sz w:val="24"/>
                <w:szCs w:val="24"/>
              </w:rPr>
              <w:t>mi</w:t>
            </w:r>
            <w:r w:rsidRPr="00D80606">
              <w:rPr>
                <w:rFonts w:asciiTheme="minorHAnsi" w:hAnsiTheme="minorHAnsi"/>
                <w:sz w:val="24"/>
                <w:szCs w:val="24"/>
              </w:rPr>
              <w:t xml:space="preserve"> strategi</w:t>
            </w:r>
            <w:r w:rsidR="00760F64" w:rsidRPr="00D80606">
              <w:rPr>
                <w:rFonts w:asciiTheme="minorHAnsi" w:hAnsiTheme="minorHAnsi"/>
                <w:sz w:val="24"/>
                <w:szCs w:val="24"/>
              </w:rPr>
              <w:t>ami</w:t>
            </w:r>
            <w:r w:rsidRPr="00D80606">
              <w:rPr>
                <w:rFonts w:asciiTheme="minorHAnsi" w:hAnsiTheme="minorHAnsi"/>
                <w:sz w:val="24"/>
                <w:szCs w:val="24"/>
              </w:rPr>
              <w:t xml:space="preserve"> inteligentnej specjalizacji regionów uczestniczących. Możliwe działania w ramach współpracy obejmują opracowanie i wdrożenie strategii, planów działania, narzędzi, szkoleń, działań pilotażowych i powiązanych rozwiązań. Wszystkie działania powinny stawiać sobie za cel zwiększenie odporności gospodarczej regionów Europy Środkowej i uwzględniać aspekty ekologiczne i zrównoważonego rozwoju.</w:t>
            </w:r>
          </w:p>
          <w:p w14:paraId="1A494F07" w14:textId="30FCD384" w:rsidR="00293CC2" w:rsidRPr="00D80606" w:rsidRDefault="00293CC2" w:rsidP="00D80606">
            <w:pPr>
              <w:ind w:left="0" w:right="25"/>
              <w:jc w:val="left"/>
              <w:rPr>
                <w:rFonts w:asciiTheme="minorHAnsi" w:hAnsiTheme="minorHAnsi"/>
                <w:sz w:val="24"/>
                <w:szCs w:val="24"/>
              </w:rPr>
            </w:pPr>
            <w:r w:rsidRPr="00D80606">
              <w:rPr>
                <w:rFonts w:asciiTheme="minorHAnsi" w:hAnsiTheme="minorHAnsi"/>
                <w:sz w:val="24"/>
                <w:szCs w:val="24"/>
              </w:rPr>
              <w:t>Działania powinny sprzyjać wdrażaniu nowatorskich technologii i rozwiązań. Powinny one sprzyjać powiązaniom międzysektorowym poprzez poprawę współpracy między interesariuszami zainteresowanymi innowacją, stojącymi przed podobnymi wyzwaniami. W ramach działań należy ustanowić i wzmocnić regionalne i ponadnarodowe struktury środkowoeuropejskie (np. klastry, sieci innowacji) oraz łańcuchy wartości, co zmniejszy zależność od dostawców zagranicznych. Szczególnie zachęca się do współpracy przedsiębiorstwa w ramach partnerstw międzyregionalnych, jeśli są one częścią łańcuchów wartości związanych z</w:t>
            </w:r>
            <w:r w:rsidR="00760F64" w:rsidRPr="00D80606">
              <w:rPr>
                <w:rFonts w:asciiTheme="minorHAnsi" w:hAnsiTheme="minorHAnsi"/>
                <w:sz w:val="24"/>
                <w:szCs w:val="24"/>
              </w:rPr>
              <w:t xml:space="preserve">e </w:t>
            </w:r>
            <w:r w:rsidRPr="00D80606">
              <w:rPr>
                <w:rFonts w:asciiTheme="minorHAnsi" w:hAnsiTheme="minorHAnsi"/>
                <w:sz w:val="24"/>
                <w:szCs w:val="24"/>
              </w:rPr>
              <w:t>strategiami inteligentnej specjalizacji</w:t>
            </w:r>
            <w:r w:rsidR="00760F64" w:rsidRPr="00D80606">
              <w:rPr>
                <w:rFonts w:asciiTheme="minorHAnsi" w:hAnsiTheme="minorHAnsi"/>
                <w:sz w:val="24"/>
                <w:szCs w:val="24"/>
              </w:rPr>
              <w:t xml:space="preserve"> regionów uczestniczących</w:t>
            </w:r>
            <w:r w:rsidRPr="00D80606">
              <w:rPr>
                <w:rFonts w:asciiTheme="minorHAnsi" w:hAnsiTheme="minorHAnsi"/>
                <w:sz w:val="24"/>
                <w:szCs w:val="24"/>
              </w:rPr>
              <w:t>.</w:t>
            </w:r>
          </w:p>
          <w:p w14:paraId="096973EC" w14:textId="4D4DC86E" w:rsidR="00293CC2" w:rsidRPr="00D80606" w:rsidRDefault="009D404E" w:rsidP="00D80606">
            <w:pPr>
              <w:ind w:left="0" w:right="25"/>
              <w:jc w:val="left"/>
              <w:rPr>
                <w:rFonts w:asciiTheme="minorHAnsi" w:hAnsiTheme="minorHAnsi"/>
                <w:sz w:val="24"/>
                <w:szCs w:val="24"/>
              </w:rPr>
            </w:pPr>
            <w:r w:rsidRPr="009D404E">
              <w:rPr>
                <w:rFonts w:asciiTheme="minorHAnsi" w:hAnsiTheme="minorHAnsi"/>
                <w:sz w:val="24"/>
                <w:szCs w:val="24"/>
              </w:rPr>
              <w:t>Konkretyzując</w:t>
            </w:r>
            <w:r w:rsidR="00293CC2" w:rsidRPr="00D80606">
              <w:rPr>
                <w:rFonts w:asciiTheme="minorHAnsi" w:hAnsiTheme="minorHAnsi"/>
                <w:sz w:val="24"/>
                <w:szCs w:val="24"/>
              </w:rPr>
              <w:t>, program Interreg EUROPA ŚRODKOWA będzie finansował działania w następujących dziedzinach (prezentowana lista nie jest katalogiem zamkniętym):</w:t>
            </w:r>
          </w:p>
          <w:p w14:paraId="2D90D6F0" w14:textId="1565FE63" w:rsidR="00293CC2" w:rsidRPr="00B214F3" w:rsidRDefault="00293CC2" w:rsidP="00B214F3">
            <w:pPr>
              <w:pStyle w:val="Akapitzlist"/>
              <w:numPr>
                <w:ilvl w:val="1"/>
                <w:numId w:val="84"/>
              </w:numPr>
              <w:ind w:right="25"/>
              <w:jc w:val="left"/>
              <w:rPr>
                <w:rFonts w:asciiTheme="minorHAnsi" w:hAnsiTheme="minorHAnsi"/>
                <w:sz w:val="24"/>
                <w:szCs w:val="24"/>
              </w:rPr>
            </w:pPr>
            <w:r w:rsidRPr="00B214F3">
              <w:rPr>
                <w:rFonts w:asciiTheme="minorHAnsi" w:hAnsiTheme="minorHAnsi"/>
                <w:sz w:val="24"/>
                <w:szCs w:val="24"/>
              </w:rPr>
              <w:t>Zielona gospodarka, biogospodarka</w:t>
            </w:r>
          </w:p>
          <w:p w14:paraId="2892837D" w14:textId="2E83E1F2" w:rsidR="00293CC2" w:rsidRPr="00B214F3" w:rsidRDefault="00293CC2" w:rsidP="00B214F3">
            <w:pPr>
              <w:pStyle w:val="Akapitzlist"/>
              <w:numPr>
                <w:ilvl w:val="1"/>
                <w:numId w:val="84"/>
              </w:numPr>
              <w:ind w:right="25"/>
              <w:jc w:val="left"/>
              <w:rPr>
                <w:rFonts w:asciiTheme="minorHAnsi" w:hAnsiTheme="minorHAnsi"/>
                <w:sz w:val="24"/>
                <w:szCs w:val="24"/>
              </w:rPr>
            </w:pPr>
            <w:r w:rsidRPr="00B214F3">
              <w:rPr>
                <w:rFonts w:asciiTheme="minorHAnsi" w:hAnsiTheme="minorHAnsi"/>
                <w:sz w:val="24"/>
                <w:szCs w:val="24"/>
              </w:rPr>
              <w:t>Przemysł 4.0, robotyzacja, mechatronika, technologie cyfrowe, kluczowe technologie wspomagające</w:t>
            </w:r>
          </w:p>
          <w:p w14:paraId="675C5135" w14:textId="67EB7427" w:rsidR="00293CC2" w:rsidRPr="00B214F3" w:rsidRDefault="00293CC2" w:rsidP="00B214F3">
            <w:pPr>
              <w:pStyle w:val="Akapitzlist"/>
              <w:numPr>
                <w:ilvl w:val="1"/>
                <w:numId w:val="84"/>
              </w:numPr>
              <w:ind w:right="25"/>
              <w:jc w:val="left"/>
              <w:rPr>
                <w:rFonts w:asciiTheme="minorHAnsi" w:hAnsiTheme="minorHAnsi"/>
                <w:sz w:val="24"/>
                <w:szCs w:val="24"/>
              </w:rPr>
            </w:pPr>
            <w:r w:rsidRPr="00B214F3">
              <w:rPr>
                <w:rFonts w:asciiTheme="minorHAnsi" w:hAnsiTheme="minorHAnsi"/>
                <w:sz w:val="24"/>
                <w:szCs w:val="24"/>
              </w:rPr>
              <w:t>Przemysł</w:t>
            </w:r>
            <w:r w:rsidR="00B64344">
              <w:rPr>
                <w:rFonts w:asciiTheme="minorHAnsi" w:hAnsiTheme="minorHAnsi"/>
                <w:sz w:val="24"/>
                <w:szCs w:val="24"/>
              </w:rPr>
              <w:t>y</w:t>
            </w:r>
            <w:r w:rsidRPr="00B214F3">
              <w:rPr>
                <w:rFonts w:asciiTheme="minorHAnsi" w:hAnsiTheme="minorHAnsi"/>
                <w:sz w:val="24"/>
                <w:szCs w:val="24"/>
              </w:rPr>
              <w:t xml:space="preserve"> kultury i kreatywn</w:t>
            </w:r>
            <w:r w:rsidR="00B64344">
              <w:rPr>
                <w:rFonts w:asciiTheme="minorHAnsi" w:hAnsiTheme="minorHAnsi"/>
                <w:sz w:val="24"/>
                <w:szCs w:val="24"/>
              </w:rPr>
              <w:t>e</w:t>
            </w:r>
            <w:r w:rsidRPr="00B214F3">
              <w:rPr>
                <w:rFonts w:asciiTheme="minorHAnsi" w:hAnsiTheme="minorHAnsi"/>
                <w:sz w:val="24"/>
                <w:szCs w:val="24"/>
              </w:rPr>
              <w:t xml:space="preserve"> oraz turystyka</w:t>
            </w:r>
          </w:p>
          <w:p w14:paraId="5E203720" w14:textId="2B17A3F0" w:rsidR="00E30745" w:rsidRPr="00D80606" w:rsidRDefault="00E44520" w:rsidP="00B214F3">
            <w:pPr>
              <w:pStyle w:val="Akapitzlist"/>
              <w:numPr>
                <w:ilvl w:val="1"/>
                <w:numId w:val="84"/>
              </w:numPr>
              <w:ind w:right="25"/>
              <w:jc w:val="left"/>
              <w:rPr>
                <w:rFonts w:asciiTheme="minorHAnsi" w:hAnsiTheme="minorHAnsi"/>
                <w:sz w:val="24"/>
                <w:szCs w:val="24"/>
              </w:rPr>
            </w:pPr>
            <w:r w:rsidRPr="00D80606">
              <w:rPr>
                <w:rFonts w:asciiTheme="minorHAnsi" w:hAnsiTheme="minorHAnsi"/>
                <w:sz w:val="24"/>
                <w:szCs w:val="24"/>
              </w:rPr>
              <w:t>Innowacje w zakresie opieki zdrowotnej</w:t>
            </w:r>
          </w:p>
          <w:p w14:paraId="3967FEAD" w14:textId="736E08F5" w:rsidR="00047EAA" w:rsidRPr="00B214F3" w:rsidRDefault="00293CC2" w:rsidP="00B214F3">
            <w:pPr>
              <w:pStyle w:val="Akapitzlist"/>
              <w:numPr>
                <w:ilvl w:val="1"/>
                <w:numId w:val="84"/>
              </w:numPr>
              <w:ind w:right="25"/>
              <w:jc w:val="left"/>
              <w:rPr>
                <w:rFonts w:asciiTheme="minorHAnsi" w:hAnsiTheme="minorHAnsi"/>
                <w:sz w:val="24"/>
                <w:szCs w:val="24"/>
              </w:rPr>
            </w:pPr>
            <w:r w:rsidRPr="00B214F3">
              <w:rPr>
                <w:rFonts w:asciiTheme="minorHAnsi" w:hAnsiTheme="minorHAnsi"/>
                <w:sz w:val="24"/>
                <w:szCs w:val="24"/>
              </w:rPr>
              <w:t xml:space="preserve">Srebrna gospodarka </w:t>
            </w:r>
          </w:p>
          <w:p w14:paraId="5BA43F82" w14:textId="34856646" w:rsidR="00293CC2" w:rsidRPr="00D80606" w:rsidRDefault="00047EAA" w:rsidP="00B214F3">
            <w:pPr>
              <w:pStyle w:val="Akapitzlist"/>
              <w:numPr>
                <w:ilvl w:val="1"/>
                <w:numId w:val="84"/>
              </w:numPr>
              <w:ind w:right="25"/>
              <w:jc w:val="left"/>
              <w:rPr>
                <w:rFonts w:asciiTheme="minorHAnsi" w:hAnsiTheme="minorHAnsi"/>
                <w:sz w:val="24"/>
                <w:szCs w:val="24"/>
              </w:rPr>
            </w:pPr>
            <w:r w:rsidRPr="00D80606">
              <w:rPr>
                <w:rFonts w:asciiTheme="minorHAnsi" w:hAnsiTheme="minorHAnsi"/>
                <w:sz w:val="24"/>
                <w:szCs w:val="24"/>
              </w:rPr>
              <w:t xml:space="preserve">Innowacje społeczne </w:t>
            </w:r>
          </w:p>
          <w:p w14:paraId="47255596" w14:textId="7A03D0C1" w:rsidR="00293CC2" w:rsidRPr="00B214F3" w:rsidRDefault="00293CC2" w:rsidP="00B214F3">
            <w:pPr>
              <w:pStyle w:val="Akapitzlist"/>
              <w:numPr>
                <w:ilvl w:val="1"/>
                <w:numId w:val="84"/>
              </w:numPr>
              <w:ind w:right="25"/>
              <w:jc w:val="left"/>
              <w:rPr>
                <w:rFonts w:asciiTheme="minorHAnsi" w:hAnsiTheme="minorHAnsi"/>
                <w:sz w:val="24"/>
                <w:szCs w:val="24"/>
              </w:rPr>
            </w:pPr>
            <w:r w:rsidRPr="00B214F3">
              <w:rPr>
                <w:rFonts w:asciiTheme="minorHAnsi" w:hAnsiTheme="minorHAnsi"/>
                <w:sz w:val="24"/>
                <w:szCs w:val="24"/>
              </w:rPr>
              <w:t xml:space="preserve">Transfer technologii i innowacji </w:t>
            </w:r>
          </w:p>
          <w:p w14:paraId="0E801825" w14:textId="48A5BFD2" w:rsidR="00293CC2" w:rsidRPr="00B214F3" w:rsidRDefault="00293CC2" w:rsidP="00B214F3">
            <w:pPr>
              <w:pStyle w:val="Akapitzlist"/>
              <w:numPr>
                <w:ilvl w:val="1"/>
                <w:numId w:val="84"/>
              </w:numPr>
              <w:ind w:right="25"/>
              <w:jc w:val="left"/>
              <w:rPr>
                <w:rFonts w:asciiTheme="minorHAnsi" w:hAnsiTheme="minorHAnsi"/>
                <w:sz w:val="24"/>
                <w:szCs w:val="24"/>
              </w:rPr>
            </w:pPr>
            <w:r w:rsidRPr="00B214F3">
              <w:rPr>
                <w:rFonts w:asciiTheme="minorHAnsi" w:hAnsiTheme="minorHAnsi"/>
                <w:sz w:val="24"/>
                <w:szCs w:val="24"/>
              </w:rPr>
              <w:t>Partnerstwa międzyregionalne wzdłuż łańcuchów wartości</w:t>
            </w:r>
          </w:p>
          <w:p w14:paraId="5D94724B" w14:textId="70FE71BA" w:rsidR="00473FD8" w:rsidRPr="00D80606" w:rsidRDefault="00473FD8" w:rsidP="00B214F3">
            <w:pPr>
              <w:pStyle w:val="Akapitzlist"/>
              <w:numPr>
                <w:ilvl w:val="1"/>
                <w:numId w:val="84"/>
              </w:numPr>
              <w:ind w:right="25"/>
              <w:jc w:val="left"/>
              <w:rPr>
                <w:rFonts w:asciiTheme="minorHAnsi" w:hAnsiTheme="minorHAnsi"/>
                <w:sz w:val="24"/>
                <w:szCs w:val="24"/>
              </w:rPr>
            </w:pPr>
            <w:r w:rsidRPr="00D80606">
              <w:rPr>
                <w:rFonts w:asciiTheme="minorHAnsi" w:hAnsiTheme="minorHAnsi"/>
                <w:sz w:val="24"/>
                <w:szCs w:val="24"/>
              </w:rPr>
              <w:t>Innowacyjne systemy finansowania innowacji</w:t>
            </w:r>
          </w:p>
          <w:p w14:paraId="632B0BE5" w14:textId="77777777" w:rsidR="00293CC2" w:rsidRPr="00B214F3" w:rsidRDefault="00293CC2" w:rsidP="00B214F3">
            <w:pPr>
              <w:pStyle w:val="Akapitzlist"/>
              <w:ind w:left="1440" w:right="25"/>
              <w:jc w:val="left"/>
              <w:rPr>
                <w:rFonts w:asciiTheme="minorHAnsi" w:hAnsiTheme="minorHAnsi"/>
                <w:sz w:val="24"/>
                <w:szCs w:val="24"/>
              </w:rPr>
            </w:pPr>
          </w:p>
          <w:p w14:paraId="057442D6" w14:textId="77777777" w:rsidR="00293CC2" w:rsidRPr="00D80606" w:rsidRDefault="00293CC2" w:rsidP="00D80606">
            <w:pPr>
              <w:spacing w:before="80" w:after="80"/>
              <w:ind w:left="0" w:right="0"/>
              <w:jc w:val="left"/>
              <w:rPr>
                <w:rFonts w:ascii="Trebuchet MS" w:eastAsiaTheme="minorHAnsi" w:hAnsi="Trebuchet MS" w:cstheme="minorBidi"/>
                <w:b/>
                <w:sz w:val="24"/>
                <w:szCs w:val="24"/>
                <w:u w:val="single"/>
              </w:rPr>
            </w:pPr>
            <w:r w:rsidRPr="00D80606">
              <w:rPr>
                <w:rFonts w:ascii="Trebuchet MS" w:hAnsi="Trebuchet MS"/>
                <w:b/>
                <w:sz w:val="24"/>
                <w:szCs w:val="24"/>
                <w:u w:val="single"/>
              </w:rPr>
              <w:lastRenderedPageBreak/>
              <w:t>Przykłady wspieranych działań (prezentowana lista nie jest katalogiem zamkniętym):</w:t>
            </w:r>
          </w:p>
          <w:p w14:paraId="5834BBC5" w14:textId="6D51D20A" w:rsidR="00293CC2" w:rsidRPr="00B214F3" w:rsidRDefault="00293CC2" w:rsidP="00FA23B4">
            <w:pPr>
              <w:pStyle w:val="Akapitzlist"/>
              <w:numPr>
                <w:ilvl w:val="1"/>
                <w:numId w:val="34"/>
              </w:numPr>
              <w:spacing w:after="120"/>
              <w:ind w:left="425" w:right="23" w:hanging="357"/>
              <w:contextualSpacing w:val="0"/>
              <w:jc w:val="left"/>
              <w:rPr>
                <w:rFonts w:asciiTheme="minorHAnsi" w:hAnsiTheme="minorHAnsi"/>
                <w:sz w:val="24"/>
                <w:szCs w:val="24"/>
              </w:rPr>
            </w:pPr>
            <w:r w:rsidRPr="00B214F3">
              <w:rPr>
                <w:rFonts w:asciiTheme="minorHAnsi" w:hAnsiTheme="minorHAnsi"/>
                <w:sz w:val="24"/>
                <w:szCs w:val="24"/>
              </w:rPr>
              <w:t>Poprawa zdolności i współpracy wśród interesariuszy zainteresowanych innowacjami na różnych poziomach zarządzania (np. na szczeblu publicznym, prywatnym, krajowym, regionalnym), aby pomóc MŚP w lepszym włączeniu cyfryzacji do ich zrównoważonego przejścia do Przemysłu 4.0</w:t>
            </w:r>
          </w:p>
          <w:p w14:paraId="7A145EF6" w14:textId="74FFB0A5" w:rsidR="00293CC2" w:rsidRPr="00B214F3" w:rsidRDefault="00293CC2" w:rsidP="00FA23B4">
            <w:pPr>
              <w:pStyle w:val="Akapitzlist"/>
              <w:numPr>
                <w:ilvl w:val="1"/>
                <w:numId w:val="34"/>
              </w:numPr>
              <w:spacing w:after="120"/>
              <w:ind w:left="425" w:right="23" w:hanging="357"/>
              <w:contextualSpacing w:val="0"/>
              <w:jc w:val="left"/>
              <w:rPr>
                <w:rFonts w:asciiTheme="minorHAnsi" w:hAnsiTheme="minorHAnsi"/>
                <w:sz w:val="24"/>
                <w:szCs w:val="24"/>
              </w:rPr>
            </w:pPr>
            <w:r w:rsidRPr="00B214F3">
              <w:rPr>
                <w:rFonts w:asciiTheme="minorHAnsi" w:hAnsiTheme="minorHAnsi"/>
                <w:sz w:val="24"/>
                <w:szCs w:val="24"/>
              </w:rPr>
              <w:t xml:space="preserve">Wymiana dobrych praktyk w zakresie trendów i standardów gospodarki ekologicznej oraz realizacja działań pilotażowych w celu wsparcia MŚP w ich wdrażaniu </w:t>
            </w:r>
          </w:p>
          <w:p w14:paraId="7A8C00DE" w14:textId="22B5D7B9" w:rsidR="00293CC2" w:rsidRPr="00B214F3" w:rsidRDefault="00293CC2" w:rsidP="00FA23B4">
            <w:pPr>
              <w:pStyle w:val="Akapitzlist"/>
              <w:numPr>
                <w:ilvl w:val="1"/>
                <w:numId w:val="34"/>
              </w:numPr>
              <w:spacing w:after="120"/>
              <w:ind w:left="425" w:right="23" w:hanging="357"/>
              <w:contextualSpacing w:val="0"/>
              <w:jc w:val="left"/>
              <w:rPr>
                <w:rFonts w:asciiTheme="minorHAnsi" w:hAnsiTheme="minorHAnsi"/>
                <w:sz w:val="24"/>
                <w:szCs w:val="24"/>
              </w:rPr>
            </w:pPr>
            <w:r w:rsidRPr="00B214F3">
              <w:rPr>
                <w:rFonts w:asciiTheme="minorHAnsi" w:hAnsiTheme="minorHAnsi"/>
                <w:sz w:val="24"/>
                <w:szCs w:val="24"/>
              </w:rPr>
              <w:t xml:space="preserve">Wspieranie transferu technologii i innowacji z sektora badań do przedsiębiorstw oraz nowej współpracy wzdłuż łańcuchów wartości w celu wspierania wprowadzania innowacyjnych rozwiązań </w:t>
            </w:r>
          </w:p>
          <w:p w14:paraId="69A235A5" w14:textId="165EAC39" w:rsidR="009F2CC0" w:rsidRPr="00B214F3" w:rsidRDefault="00293CC2" w:rsidP="00FA23B4">
            <w:pPr>
              <w:pStyle w:val="Akapitzlist"/>
              <w:numPr>
                <w:ilvl w:val="1"/>
                <w:numId w:val="34"/>
              </w:numPr>
              <w:spacing w:after="120"/>
              <w:ind w:left="425" w:right="23" w:hanging="357"/>
              <w:contextualSpacing w:val="0"/>
              <w:jc w:val="left"/>
              <w:rPr>
                <w:rFonts w:asciiTheme="minorHAnsi" w:hAnsiTheme="minorHAnsi"/>
                <w:sz w:val="24"/>
                <w:szCs w:val="24"/>
              </w:rPr>
            </w:pPr>
            <w:r w:rsidRPr="00B214F3">
              <w:rPr>
                <w:rFonts w:asciiTheme="minorHAnsi" w:hAnsiTheme="minorHAnsi"/>
                <w:sz w:val="24"/>
                <w:szCs w:val="24"/>
              </w:rPr>
              <w:t>Wzmocnienie usług wsparcia dla MŚP i przedsiębiorców w celu poprawy dostępu do badań i innowacji technologicznych</w:t>
            </w:r>
          </w:p>
          <w:p w14:paraId="6E702063" w14:textId="3141D0D2" w:rsidR="00293CC2" w:rsidRPr="00B214F3" w:rsidRDefault="00293CC2" w:rsidP="00FA23B4">
            <w:pPr>
              <w:pStyle w:val="Akapitzlist"/>
              <w:numPr>
                <w:ilvl w:val="1"/>
                <w:numId w:val="34"/>
              </w:numPr>
              <w:spacing w:after="120"/>
              <w:ind w:left="425" w:right="23" w:hanging="357"/>
              <w:contextualSpacing w:val="0"/>
              <w:jc w:val="left"/>
              <w:rPr>
                <w:rFonts w:asciiTheme="minorHAnsi" w:hAnsiTheme="minorHAnsi"/>
                <w:sz w:val="24"/>
                <w:szCs w:val="24"/>
              </w:rPr>
            </w:pPr>
            <w:r w:rsidRPr="00B214F3">
              <w:rPr>
                <w:rFonts w:asciiTheme="minorHAnsi" w:hAnsiTheme="minorHAnsi"/>
                <w:sz w:val="24"/>
                <w:szCs w:val="24"/>
              </w:rPr>
              <w:t xml:space="preserve">Wzmacnianie ponadnarodowych sieci i klastrów innowacyjnych oraz zacieśnianie współpracy między ośrodkami innowacji na różnych terytoriach </w:t>
            </w:r>
          </w:p>
          <w:p w14:paraId="5E975FE9" w14:textId="4D964401" w:rsidR="00293CC2" w:rsidRPr="00B214F3" w:rsidRDefault="00293CC2" w:rsidP="00FA23B4">
            <w:pPr>
              <w:pStyle w:val="Akapitzlist"/>
              <w:numPr>
                <w:ilvl w:val="1"/>
                <w:numId w:val="34"/>
              </w:numPr>
              <w:spacing w:after="120"/>
              <w:ind w:left="425" w:right="23" w:hanging="357"/>
              <w:contextualSpacing w:val="0"/>
              <w:jc w:val="left"/>
              <w:rPr>
                <w:rFonts w:asciiTheme="minorHAnsi" w:hAnsiTheme="minorHAnsi"/>
                <w:sz w:val="24"/>
                <w:szCs w:val="24"/>
              </w:rPr>
            </w:pPr>
            <w:r w:rsidRPr="00B214F3">
              <w:rPr>
                <w:rFonts w:asciiTheme="minorHAnsi" w:hAnsiTheme="minorHAnsi"/>
                <w:sz w:val="24"/>
                <w:szCs w:val="24"/>
              </w:rPr>
              <w:t>Umożliwienie współpracy międzysektorowej, aby pomóc przedsiębiorstwom (np. z tradycyjnych sektorów gospodarki, branży kultury i branż kreatywnych, turystyki, opieki zdrowotnej lub srebrnej gospodarki) w zrównoważonym włączeniu technologii cyfrowych (np. sztucznej inteligencji, bezpieczeństwa cyfrowego, internetu rzeczy) do rozwoju produktów i usług</w:t>
            </w:r>
          </w:p>
          <w:p w14:paraId="15DECCCD" w14:textId="010885AF" w:rsidR="00512A65" w:rsidRPr="00B214F3" w:rsidRDefault="00293CC2" w:rsidP="00FA23B4">
            <w:pPr>
              <w:pStyle w:val="Akapitzlist"/>
              <w:numPr>
                <w:ilvl w:val="1"/>
                <w:numId w:val="34"/>
              </w:numPr>
              <w:spacing w:after="120"/>
              <w:ind w:left="425" w:right="23" w:hanging="357"/>
              <w:contextualSpacing w:val="0"/>
              <w:jc w:val="left"/>
              <w:rPr>
                <w:rFonts w:asciiTheme="minorHAnsi" w:hAnsiTheme="minorHAnsi"/>
                <w:sz w:val="24"/>
                <w:szCs w:val="24"/>
              </w:rPr>
            </w:pPr>
            <w:r w:rsidRPr="00B214F3">
              <w:rPr>
                <w:rFonts w:asciiTheme="minorHAnsi" w:hAnsiTheme="minorHAnsi"/>
                <w:sz w:val="24"/>
                <w:szCs w:val="24"/>
              </w:rPr>
              <w:t>Poprawa współpracy wzdłuż łańcuchów wartości zrównoważonych innowacyjnych produktów i usług</w:t>
            </w:r>
            <w:r w:rsidR="008B2D8D" w:rsidRPr="00B214F3">
              <w:rPr>
                <w:rFonts w:asciiTheme="minorHAnsi" w:hAnsiTheme="minorHAnsi"/>
                <w:sz w:val="24"/>
                <w:szCs w:val="24"/>
              </w:rPr>
              <w:t xml:space="preserve"> w spójności</w:t>
            </w:r>
            <w:r w:rsidR="00D04E8A" w:rsidRPr="00B214F3">
              <w:rPr>
                <w:rFonts w:asciiTheme="minorHAnsi" w:hAnsiTheme="minorHAnsi"/>
                <w:sz w:val="24"/>
                <w:szCs w:val="24"/>
              </w:rPr>
              <w:t xml:space="preserve"> </w:t>
            </w:r>
            <w:r w:rsidRPr="00B214F3">
              <w:rPr>
                <w:rFonts w:asciiTheme="minorHAnsi" w:hAnsiTheme="minorHAnsi"/>
                <w:sz w:val="24"/>
                <w:szCs w:val="24"/>
              </w:rPr>
              <w:t xml:space="preserve">ze strategiami inteligentnej specjalizacji </w:t>
            </w:r>
          </w:p>
          <w:p w14:paraId="41398DF9" w14:textId="72DD17C7" w:rsidR="00512A65" w:rsidRPr="00D80606" w:rsidRDefault="00512A65" w:rsidP="00FA23B4">
            <w:pPr>
              <w:pStyle w:val="Akapitzlist"/>
              <w:numPr>
                <w:ilvl w:val="1"/>
                <w:numId w:val="34"/>
              </w:numPr>
              <w:spacing w:after="120"/>
              <w:ind w:left="425" w:right="23" w:hanging="357"/>
              <w:contextualSpacing w:val="0"/>
              <w:jc w:val="left"/>
              <w:rPr>
                <w:rFonts w:asciiTheme="minorHAnsi" w:hAnsiTheme="minorHAnsi"/>
                <w:sz w:val="24"/>
                <w:szCs w:val="24"/>
              </w:rPr>
            </w:pPr>
            <w:r w:rsidRPr="00D80606">
              <w:rPr>
                <w:rFonts w:asciiTheme="minorHAnsi" w:hAnsiTheme="minorHAnsi"/>
                <w:sz w:val="24"/>
                <w:szCs w:val="24"/>
              </w:rPr>
              <w:t xml:space="preserve">Zwiększanie transferu i upowszechnianie sprawdzonych rozwiązań ekologicznych w celu stworzenia możliwości biznesowych </w:t>
            </w:r>
          </w:p>
          <w:p w14:paraId="7E67F9D9" w14:textId="69CC5652" w:rsidR="00293CC2" w:rsidRPr="00B214F3" w:rsidRDefault="00293CC2" w:rsidP="00FA23B4">
            <w:pPr>
              <w:pStyle w:val="Akapitzlist"/>
              <w:numPr>
                <w:ilvl w:val="1"/>
                <w:numId w:val="34"/>
              </w:numPr>
              <w:spacing w:after="120"/>
              <w:ind w:left="425" w:right="23" w:hanging="357"/>
              <w:contextualSpacing w:val="0"/>
              <w:jc w:val="left"/>
              <w:rPr>
                <w:rFonts w:asciiTheme="minorHAnsi" w:hAnsiTheme="minorHAnsi"/>
                <w:sz w:val="24"/>
                <w:szCs w:val="24"/>
              </w:rPr>
            </w:pPr>
            <w:r w:rsidRPr="00B214F3">
              <w:rPr>
                <w:rFonts w:asciiTheme="minorHAnsi" w:hAnsiTheme="minorHAnsi"/>
                <w:sz w:val="24"/>
                <w:szCs w:val="24"/>
              </w:rPr>
              <w:t>Rozwijanie i wdrażanie koncepcji transnarodowych łańcuchów wartości w oparciu o regionalne potencjały i zasoby. Koncepcje te powinny wzmacniać zrównoważony rozwój i zmniejszać zewnętrzną zależność wytwarzania wartości (np. poprzez wzmacnianie regionalnych kompetencji w zakresie tworzenia utraconej/nowej wartości lub wprowadzanie krótkich łańcuchów dostaw żywności). Powinny one również pomóc w zwiększeniu odporności regionu na skutki zewnętrzne, takie jak zerwanie łańcuchów dostaw</w:t>
            </w:r>
          </w:p>
          <w:p w14:paraId="5579A959" w14:textId="58D390C7" w:rsidR="00A17DD3" w:rsidRPr="00D80606" w:rsidRDefault="00E30745" w:rsidP="00FA23B4">
            <w:pPr>
              <w:pStyle w:val="Akapitzlist"/>
              <w:numPr>
                <w:ilvl w:val="1"/>
                <w:numId w:val="34"/>
              </w:numPr>
              <w:spacing w:after="120"/>
              <w:ind w:left="425" w:right="23" w:hanging="357"/>
              <w:contextualSpacing w:val="0"/>
              <w:jc w:val="left"/>
              <w:rPr>
                <w:rFonts w:asciiTheme="minorHAnsi" w:hAnsiTheme="minorHAnsi"/>
                <w:sz w:val="24"/>
                <w:szCs w:val="24"/>
              </w:rPr>
            </w:pPr>
            <w:r w:rsidRPr="00D80606">
              <w:rPr>
                <w:rFonts w:asciiTheme="minorHAnsi" w:hAnsiTheme="minorHAnsi"/>
                <w:sz w:val="24"/>
                <w:szCs w:val="24"/>
              </w:rPr>
              <w:t xml:space="preserve">Wspieranie </w:t>
            </w:r>
            <w:r w:rsidR="00E34DFE" w:rsidRPr="00D80606">
              <w:rPr>
                <w:rFonts w:asciiTheme="minorHAnsi" w:hAnsiTheme="minorHAnsi"/>
                <w:sz w:val="24"/>
                <w:szCs w:val="24"/>
              </w:rPr>
              <w:t xml:space="preserve">innowacyjnych </w:t>
            </w:r>
            <w:r w:rsidRPr="00D80606">
              <w:rPr>
                <w:rFonts w:asciiTheme="minorHAnsi" w:hAnsiTheme="minorHAnsi"/>
                <w:sz w:val="24"/>
                <w:szCs w:val="24"/>
              </w:rPr>
              <w:t>strategii w celu zmniejszenia śladu środowiskowego procesów produkcyjnych, np. poprzez ułatwianie wdrażania zdecentralizowanych systemów produkcyjnych reagujących na popyt</w:t>
            </w:r>
          </w:p>
          <w:p w14:paraId="75E8EA26" w14:textId="55D4DBA8" w:rsidR="00293CC2" w:rsidRPr="00B214F3" w:rsidRDefault="00293CC2" w:rsidP="00FA23B4">
            <w:pPr>
              <w:pStyle w:val="Akapitzlist"/>
              <w:numPr>
                <w:ilvl w:val="1"/>
                <w:numId w:val="34"/>
              </w:numPr>
              <w:spacing w:after="120"/>
              <w:ind w:left="425" w:right="23" w:hanging="357"/>
              <w:contextualSpacing w:val="0"/>
              <w:jc w:val="left"/>
              <w:rPr>
                <w:rFonts w:asciiTheme="minorHAnsi" w:hAnsiTheme="minorHAnsi"/>
                <w:sz w:val="24"/>
                <w:szCs w:val="24"/>
              </w:rPr>
            </w:pPr>
            <w:r w:rsidRPr="00B214F3">
              <w:rPr>
                <w:rFonts w:asciiTheme="minorHAnsi" w:hAnsiTheme="minorHAnsi"/>
                <w:sz w:val="24"/>
                <w:szCs w:val="24"/>
              </w:rPr>
              <w:t xml:space="preserve">Zmniejszanie luk innowacyjnych na obszarach pozamiejskich poprzez np. uczynienie obszarów wiejskich bardziej inteligentnymi i poprawę dostępu do </w:t>
            </w:r>
            <w:r w:rsidRPr="00B214F3">
              <w:rPr>
                <w:rFonts w:asciiTheme="minorHAnsi" w:hAnsiTheme="minorHAnsi"/>
                <w:sz w:val="24"/>
                <w:szCs w:val="24"/>
              </w:rPr>
              <w:lastRenderedPageBreak/>
              <w:t>usług wspierających innowacje dla przedsiębiorstw wiejskich skoncentrowanych na inteligentnej specjalizacji i priorytetowych obszarach technologicznych</w:t>
            </w:r>
          </w:p>
          <w:p w14:paraId="036B9870" w14:textId="1BC58089" w:rsidR="00293CC2" w:rsidRPr="00B214F3" w:rsidRDefault="00293CC2" w:rsidP="00FA23B4">
            <w:pPr>
              <w:pStyle w:val="Akapitzlist"/>
              <w:numPr>
                <w:ilvl w:val="1"/>
                <w:numId w:val="34"/>
              </w:numPr>
              <w:spacing w:after="120"/>
              <w:ind w:left="425" w:right="23" w:hanging="357"/>
              <w:contextualSpacing w:val="0"/>
              <w:jc w:val="left"/>
              <w:rPr>
                <w:rFonts w:asciiTheme="minorHAnsi" w:hAnsiTheme="minorHAnsi"/>
                <w:sz w:val="24"/>
                <w:szCs w:val="24"/>
              </w:rPr>
            </w:pPr>
            <w:r w:rsidRPr="00B214F3">
              <w:rPr>
                <w:rFonts w:asciiTheme="minorHAnsi" w:hAnsiTheme="minorHAnsi"/>
                <w:sz w:val="24"/>
                <w:szCs w:val="24"/>
              </w:rPr>
              <w:t>Wzmacnianie powiązań między sektorem publicznym i prywatnym a instytucjami finansowymi w celu zachęcania do projektowania i tworzenia struktur i usług ułatwiających dostęp do finansowania innowacji</w:t>
            </w:r>
          </w:p>
          <w:p w14:paraId="51C3B211" w14:textId="423F3827" w:rsidR="00293CC2" w:rsidRPr="00B214F3" w:rsidRDefault="00293CC2" w:rsidP="00FA23B4">
            <w:pPr>
              <w:pStyle w:val="Akapitzlist"/>
              <w:numPr>
                <w:ilvl w:val="1"/>
                <w:numId w:val="34"/>
              </w:numPr>
              <w:spacing w:after="120"/>
              <w:ind w:left="425" w:right="23" w:hanging="357"/>
              <w:contextualSpacing w:val="0"/>
              <w:jc w:val="left"/>
              <w:rPr>
                <w:rFonts w:asciiTheme="minorHAnsi" w:hAnsiTheme="minorHAnsi"/>
                <w:sz w:val="24"/>
                <w:szCs w:val="24"/>
              </w:rPr>
            </w:pPr>
            <w:r w:rsidRPr="00B214F3">
              <w:rPr>
                <w:rFonts w:asciiTheme="minorHAnsi" w:hAnsiTheme="minorHAnsi"/>
                <w:sz w:val="24"/>
                <w:szCs w:val="24"/>
              </w:rPr>
              <w:t>Promowanie innowacyjnych działań, które czynią gospodarkę bardziej sprawiedliwą i pomagają w integracji gospodarczej i społecznej grup ludności znajdujących się w niekorzystnej sytuacji (np. osób niepełnosprawnych, migrantów, osób starszych, młodzieży)</w:t>
            </w:r>
          </w:p>
          <w:p w14:paraId="791378F8" w14:textId="3CAE087A" w:rsidR="00943745" w:rsidRPr="00B214F3" w:rsidRDefault="00943745" w:rsidP="00FA23B4">
            <w:pPr>
              <w:pStyle w:val="Akapitzlist"/>
              <w:numPr>
                <w:ilvl w:val="1"/>
                <w:numId w:val="34"/>
              </w:numPr>
              <w:spacing w:after="120"/>
              <w:ind w:left="425" w:right="23" w:hanging="357"/>
              <w:contextualSpacing w:val="0"/>
              <w:jc w:val="left"/>
              <w:rPr>
                <w:rFonts w:asciiTheme="minorHAnsi" w:hAnsiTheme="minorHAnsi"/>
                <w:sz w:val="24"/>
                <w:szCs w:val="24"/>
              </w:rPr>
            </w:pPr>
            <w:r w:rsidRPr="00B214F3">
              <w:rPr>
                <w:rFonts w:asciiTheme="minorHAnsi" w:hAnsiTheme="minorHAnsi"/>
                <w:sz w:val="24"/>
                <w:szCs w:val="24"/>
              </w:rPr>
              <w:t>Wspieranie tworzenia laboratoriów innowacji (living lab), poligonów doświadczalnych i ekosystemów, które łączą stronę popytu i podaży w celu promowania rozwoju i faktycznego wykorzystania innowacyjnych rozwiązań na potrzeby sektora publicznego, w tym zamówień przedkomercyjnych (PCP) i zamówień publicznych na innowacyjne rozwiązania (PPI)</w:t>
            </w:r>
          </w:p>
          <w:p w14:paraId="663B7D14" w14:textId="2DAB0A29" w:rsidR="008B6378" w:rsidRPr="00D80606" w:rsidRDefault="00781AB0" w:rsidP="00D80606">
            <w:pPr>
              <w:ind w:left="0" w:right="25"/>
              <w:jc w:val="left"/>
              <w:rPr>
                <w:rFonts w:asciiTheme="minorHAnsi" w:hAnsiTheme="minorHAnsi"/>
                <w:sz w:val="24"/>
                <w:szCs w:val="24"/>
              </w:rPr>
            </w:pPr>
            <w:r w:rsidRPr="00D80606">
              <w:rPr>
                <w:rFonts w:asciiTheme="minorHAnsi" w:hAnsiTheme="minorHAnsi"/>
                <w:sz w:val="24"/>
                <w:szCs w:val="24"/>
              </w:rPr>
              <w:t>Działania, które mogą obejmować modyfikacje genetyczne, muszą być zgodne z dorobkiem prawnym Wspólnoty w zakresie inżynierii genetycznej, w tym z przepisami unijnej strategii ochrony różnorodności biologicznej 2030.</w:t>
            </w:r>
          </w:p>
          <w:p w14:paraId="5B3032C3" w14:textId="6B09E12A" w:rsidR="003074A3" w:rsidRPr="00D80606" w:rsidRDefault="00293CC2" w:rsidP="00D80606">
            <w:pPr>
              <w:ind w:left="0" w:right="25"/>
              <w:jc w:val="left"/>
              <w:rPr>
                <w:rFonts w:asciiTheme="minorHAnsi" w:hAnsiTheme="minorHAnsi"/>
                <w:sz w:val="24"/>
                <w:szCs w:val="24"/>
              </w:rPr>
            </w:pPr>
            <w:r w:rsidRPr="00D80606">
              <w:rPr>
                <w:rFonts w:asciiTheme="minorHAnsi" w:hAnsiTheme="minorHAnsi"/>
                <w:sz w:val="24"/>
                <w:szCs w:val="24"/>
              </w:rPr>
              <w:t xml:space="preserve">Dla działań korzystna może być koordynacja z innymi europejskimi instrumentami finansowania, w tym z programem „Horyzont Europa”, </w:t>
            </w:r>
            <w:r w:rsidRPr="00D80606">
              <w:rPr>
                <w:rFonts w:ascii="Trebuchet MS" w:hAnsi="Trebuchet MS"/>
                <w:sz w:val="24"/>
                <w:szCs w:val="24"/>
              </w:rPr>
              <w:t xml:space="preserve"> </w:t>
            </w:r>
            <w:r w:rsidRPr="00D80606">
              <w:rPr>
                <w:rFonts w:ascii="Trebuchet MS" w:hAnsi="Trebuchet MS"/>
                <w:color w:val="000000"/>
                <w:sz w:val="24"/>
                <w:szCs w:val="24"/>
                <w:shd w:val="clear" w:color="auto" w:fill="FFFFFF"/>
              </w:rPr>
              <w:t>inicjatywą Międzyregionalnych Inwestycji w Innowacje (I3)</w:t>
            </w:r>
            <w:r w:rsidRPr="00D80606">
              <w:rPr>
                <w:rFonts w:ascii="Trebuchet MS" w:hAnsi="Trebuchet MS"/>
                <w:sz w:val="24"/>
                <w:szCs w:val="24"/>
              </w:rPr>
              <w:t xml:space="preserve">, programami głównego nurtu polityki EFRR lub krajowymi funduszami na rzecz innowacji. Działania </w:t>
            </w:r>
            <w:r w:rsidRPr="00D80606">
              <w:rPr>
                <w:rFonts w:asciiTheme="minorHAnsi" w:hAnsiTheme="minorHAnsi"/>
                <w:sz w:val="24"/>
                <w:szCs w:val="24"/>
              </w:rPr>
              <w:t xml:space="preserve">powinny dążyć do osiągnięcia synergii w celu osiągnięcia większych i szerszych skutków terytorialnych w Europie Środkowej, np. poprzez wykorzystanie wyników badań i ich rozpowszechnianie w regionach, a także uwzględniać plany działania w ramach strategii makroregionalnych. Działania mogłyby być powiązane z InvestEU i nowym instrumentem na rzecz inwestycji strategicznych, których celem jest budowanie silniejszych europejskich łańcuchów wartości i odporności gospodarczej. Mogłoby to wspierać mobilizację przyszłych inwestycji w technologie nowej generacji (np. poprzez przygotowanie kolejnych projektów lub regionalną wymianę wiedzy na temat dobrych praktyk w zakresie stosowania tych instrumentów). </w:t>
            </w:r>
          </w:p>
          <w:p w14:paraId="6E05CABE" w14:textId="568B2E47" w:rsidR="00293CC2" w:rsidRPr="00D80606" w:rsidRDefault="00293CC2" w:rsidP="00D80606">
            <w:pPr>
              <w:ind w:left="0" w:right="25"/>
              <w:jc w:val="left"/>
              <w:rPr>
                <w:rFonts w:asciiTheme="minorHAnsi" w:hAnsiTheme="minorHAnsi"/>
                <w:b/>
                <w:sz w:val="24"/>
                <w:szCs w:val="24"/>
              </w:rPr>
            </w:pPr>
          </w:p>
          <w:p w14:paraId="6F3FBCA7" w14:textId="77777777" w:rsidR="00EB1C9F" w:rsidRPr="00D80606" w:rsidRDefault="00293CC2" w:rsidP="00D80606">
            <w:pPr>
              <w:ind w:left="0" w:right="25"/>
              <w:jc w:val="left"/>
              <w:rPr>
                <w:rFonts w:asciiTheme="minorHAnsi" w:hAnsiTheme="minorHAnsi"/>
                <w:b/>
                <w:sz w:val="24"/>
                <w:szCs w:val="24"/>
              </w:rPr>
            </w:pPr>
            <w:r w:rsidRPr="00D80606">
              <w:rPr>
                <w:rFonts w:asciiTheme="minorHAnsi" w:hAnsiTheme="minorHAnsi"/>
                <w:b/>
                <w:sz w:val="24"/>
                <w:szCs w:val="24"/>
              </w:rPr>
              <w:t xml:space="preserve">Planowane wyniki </w:t>
            </w:r>
          </w:p>
          <w:p w14:paraId="7B354694" w14:textId="344E26BC" w:rsidR="00D4210A" w:rsidRPr="001B3725" w:rsidRDefault="00410BB3" w:rsidP="00D80606">
            <w:pPr>
              <w:ind w:left="0" w:right="25"/>
              <w:jc w:val="left"/>
              <w:rPr>
                <w:rFonts w:asciiTheme="minorHAnsi" w:hAnsiTheme="minorHAnsi"/>
              </w:rPr>
            </w:pPr>
            <w:r w:rsidRPr="00D80606">
              <w:rPr>
                <w:rFonts w:asciiTheme="minorHAnsi" w:hAnsiTheme="minorHAnsi"/>
                <w:sz w:val="24"/>
                <w:szCs w:val="24"/>
              </w:rPr>
              <w:t xml:space="preserve">Rezultatem działań w ramach współpracy transnarodowej będzie wzmocnienie zdolności innowacyjnych. Usprawnią one proces uczenia się i wdrażania polityk, zachęcą do zmian polityk na rzecz dążenia do ekologicznej i cyfrowej gospodarki w regionach słabiej rozwiniętych oraz pomogą im w nadrobieniu zaległości w stosunku do regionów wiodących. Działania te doprowadzą do poprawy warunków ramowych dla innowacji i będą sprzyjać zrównoważonemu wdrażaniu </w:t>
            </w:r>
            <w:r w:rsidRPr="00D80606">
              <w:rPr>
                <w:rFonts w:asciiTheme="minorHAnsi" w:hAnsiTheme="minorHAnsi"/>
                <w:sz w:val="24"/>
                <w:szCs w:val="24"/>
              </w:rPr>
              <w:lastRenderedPageBreak/>
              <w:t>zaawansowanych technologii. Poprawa współpracy międzysektorowej, transfer technologii i koordynacja przyczynią się do zmniejszenia barier dla innowacji, w szczególności w przypadku MŚP.</w:t>
            </w:r>
          </w:p>
        </w:tc>
      </w:tr>
    </w:tbl>
    <w:p w14:paraId="7B294AD6" w14:textId="3ADE36B6" w:rsidR="008727F2" w:rsidRPr="00680741" w:rsidRDefault="008727F2" w:rsidP="008727F2">
      <w:pPr>
        <w:rPr>
          <w:rFonts w:asciiTheme="minorHAnsi" w:hAnsiTheme="minorHAnsi"/>
          <w:i/>
          <w:color w:val="000000"/>
        </w:rPr>
      </w:pPr>
    </w:p>
    <w:p w14:paraId="79E5BC14" w14:textId="77777777" w:rsidR="00277B6A" w:rsidRPr="00680741" w:rsidRDefault="00277B6A" w:rsidP="008727F2">
      <w:pPr>
        <w:rPr>
          <w:rFonts w:asciiTheme="minorHAnsi" w:hAnsiTheme="minorHAnsi"/>
          <w:i/>
          <w:color w:val="000000"/>
        </w:rPr>
      </w:pPr>
    </w:p>
    <w:p w14:paraId="7A28FA76" w14:textId="77777777" w:rsidR="008727F2" w:rsidRPr="00D80606" w:rsidRDefault="008727F2" w:rsidP="00113BE2">
      <w:pPr>
        <w:spacing w:before="240" w:after="240" w:line="240" w:lineRule="auto"/>
        <w:ind w:left="0"/>
        <w:rPr>
          <w:rFonts w:asciiTheme="minorHAnsi" w:hAnsiTheme="minorHAnsi"/>
          <w:b/>
          <w:sz w:val="24"/>
          <w:szCs w:val="24"/>
        </w:rPr>
      </w:pPr>
      <w:r w:rsidRPr="00D80606">
        <w:rPr>
          <w:rFonts w:asciiTheme="minorHAnsi" w:hAnsiTheme="minorHAnsi"/>
          <w:b/>
          <w:sz w:val="24"/>
          <w:szCs w:val="24"/>
        </w:rPr>
        <w:t>Dla programów INTERACT i ESPON:</w:t>
      </w:r>
    </w:p>
    <w:p w14:paraId="111D717D" w14:textId="77777777" w:rsidR="008727F2" w:rsidRPr="00D80606" w:rsidRDefault="008727F2" w:rsidP="00113BE2">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9 lit. c punkt i</w:t>
      </w:r>
    </w:p>
    <w:p w14:paraId="31977C30" w14:textId="77777777" w:rsidR="008727F2" w:rsidRPr="00D80606" w:rsidRDefault="008727F2" w:rsidP="00113BE2">
      <w:pPr>
        <w:spacing w:before="240" w:after="240" w:line="240" w:lineRule="auto"/>
        <w:ind w:left="0"/>
        <w:rPr>
          <w:rFonts w:asciiTheme="minorHAnsi" w:hAnsiTheme="minorHAnsi"/>
          <w:color w:val="000000"/>
          <w:szCs w:val="24"/>
        </w:rPr>
      </w:pPr>
      <w:r w:rsidRPr="00D80606">
        <w:rPr>
          <w:rFonts w:asciiTheme="minorHAnsi" w:hAnsiTheme="minorHAnsi"/>
          <w:color w:val="000000"/>
        </w:rPr>
        <w:t>Definicja pojedynczego beneficjenta lub zamkniętej listy beneficjentów i procedura przyznawania środków finansowych.</w:t>
      </w:r>
    </w:p>
    <w:p w14:paraId="1B84049F" w14:textId="77777777" w:rsidR="008727F2" w:rsidRPr="00D80606" w:rsidRDefault="008727F2" w:rsidP="001B3725">
      <w:pPr>
        <w:ind w:left="0"/>
        <w:rPr>
          <w:rFonts w:asciiTheme="minorHAnsi" w:hAnsiTheme="minorHAnsi"/>
        </w:rPr>
      </w:pPr>
      <w:r w:rsidRPr="00D80606">
        <w:rPr>
          <w:rFonts w:asciiTheme="minorHAnsi" w:hAnsiTheme="minorHAnsi"/>
        </w:rPr>
        <w:t>Pole tekstowe [7000]</w:t>
      </w:r>
    </w:p>
    <w:p w14:paraId="32B210AB" w14:textId="77777777" w:rsidR="00113BE2" w:rsidRPr="00D80606" w:rsidRDefault="00004898" w:rsidP="00D80606">
      <w:pPr>
        <w:pBdr>
          <w:top w:val="single" w:sz="4" w:space="1" w:color="000000"/>
          <w:left w:val="single" w:sz="4" w:space="4" w:color="000000"/>
          <w:bottom w:val="single" w:sz="4" w:space="1" w:color="000000"/>
          <w:right w:val="single" w:sz="4" w:space="4" w:color="000000"/>
        </w:pBdr>
        <w:ind w:left="142"/>
        <w:jc w:val="left"/>
        <w:rPr>
          <w:rFonts w:asciiTheme="minorHAnsi" w:hAnsiTheme="minorHAnsi"/>
          <w:sz w:val="24"/>
          <w:szCs w:val="24"/>
        </w:rPr>
      </w:pPr>
      <w:r w:rsidRPr="00D80606">
        <w:rPr>
          <w:rFonts w:asciiTheme="minorHAnsi" w:hAnsiTheme="minorHAnsi"/>
          <w:sz w:val="24"/>
          <w:szCs w:val="24"/>
        </w:rPr>
        <w:t>Nie dotyczy.</w:t>
      </w:r>
    </w:p>
    <w:p w14:paraId="74363FD8" w14:textId="77777777" w:rsidR="001B3725" w:rsidRPr="00680741" w:rsidRDefault="001B3725" w:rsidP="008727F2">
      <w:pPr>
        <w:spacing w:before="240" w:after="240" w:line="240" w:lineRule="auto"/>
        <w:ind w:left="709" w:hanging="709"/>
        <w:rPr>
          <w:rFonts w:asciiTheme="minorHAnsi" w:hAnsiTheme="minorHAnsi"/>
          <w:b/>
          <w:sz w:val="24"/>
          <w:szCs w:val="24"/>
        </w:rPr>
      </w:pPr>
    </w:p>
    <w:p w14:paraId="603C257F" w14:textId="77777777" w:rsidR="008727F2" w:rsidRPr="008727F2" w:rsidRDefault="008727F2" w:rsidP="00D80606">
      <w:pPr>
        <w:spacing w:before="240" w:after="240" w:line="240" w:lineRule="auto"/>
        <w:ind w:left="709" w:hanging="709"/>
        <w:jc w:val="left"/>
        <w:rPr>
          <w:rFonts w:asciiTheme="minorHAnsi" w:hAnsiTheme="minorHAnsi"/>
          <w:b/>
          <w:sz w:val="24"/>
          <w:szCs w:val="24"/>
        </w:rPr>
      </w:pPr>
      <w:r>
        <w:rPr>
          <w:rFonts w:asciiTheme="minorHAnsi" w:hAnsiTheme="minorHAnsi"/>
          <w:b/>
          <w:sz w:val="24"/>
        </w:rPr>
        <w:t>2.1.1.2</w:t>
      </w:r>
      <w:r>
        <w:rPr>
          <w:rFonts w:asciiTheme="minorHAnsi" w:hAnsiTheme="minorHAnsi"/>
          <w:b/>
          <w:sz w:val="24"/>
        </w:rPr>
        <w:tab/>
        <w:t>Wskaźniki</w:t>
      </w:r>
    </w:p>
    <w:p w14:paraId="7E7765DB" w14:textId="77777777" w:rsidR="008727F2" w:rsidRPr="00D80606" w:rsidRDefault="008727F2" w:rsidP="00113BE2">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ii, art. 17 ust. 9 lit. c punkt iii</w:t>
      </w:r>
    </w:p>
    <w:p w14:paraId="458B71E7" w14:textId="77777777" w:rsidR="008559FE" w:rsidRPr="009A0D85" w:rsidRDefault="008559FE" w:rsidP="008559FE">
      <w:pPr>
        <w:spacing w:before="240" w:after="240" w:line="240" w:lineRule="auto"/>
        <w:ind w:left="0"/>
        <w:rPr>
          <w:rFonts w:asciiTheme="minorHAnsi" w:hAnsiTheme="minorHAnsi"/>
          <w:szCs w:val="24"/>
        </w:rPr>
      </w:pPr>
      <w:r>
        <w:rPr>
          <w:rFonts w:asciiTheme="minorHAnsi" w:hAnsiTheme="minorHAnsi"/>
        </w:rPr>
        <w:t>Tabela 2: Wskaźniki produktów</w:t>
      </w:r>
    </w:p>
    <w:tbl>
      <w:tblPr>
        <w:tblStyle w:val="18"/>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4"/>
        <w:gridCol w:w="1175"/>
        <w:gridCol w:w="1418"/>
        <w:gridCol w:w="2241"/>
        <w:gridCol w:w="1727"/>
        <w:gridCol w:w="1057"/>
        <w:gridCol w:w="1114"/>
      </w:tblGrid>
      <w:tr w:rsidR="008559FE" w:rsidRPr="008727F2" w14:paraId="1CE421FC" w14:textId="77777777" w:rsidTr="009D404E">
        <w:trPr>
          <w:trHeight w:val="836"/>
        </w:trPr>
        <w:tc>
          <w:tcPr>
            <w:tcW w:w="398" w:type="pct"/>
          </w:tcPr>
          <w:p w14:paraId="119D81C3"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Priorytet </w:t>
            </w:r>
          </w:p>
        </w:tc>
        <w:tc>
          <w:tcPr>
            <w:tcW w:w="467" w:type="pct"/>
          </w:tcPr>
          <w:p w14:paraId="6287DD52"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Szczegółowy</w:t>
            </w:r>
          </w:p>
        </w:tc>
        <w:tc>
          <w:tcPr>
            <w:tcW w:w="534" w:type="pct"/>
          </w:tcPr>
          <w:p w14:paraId="11427792"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IDENTYFIKATOR</w:t>
            </w:r>
          </w:p>
          <w:p w14:paraId="3DF1DB47"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[5]</w:t>
            </w:r>
          </w:p>
        </w:tc>
        <w:tc>
          <w:tcPr>
            <w:tcW w:w="1267" w:type="pct"/>
            <w:shd w:val="clear" w:color="auto" w:fill="auto"/>
          </w:tcPr>
          <w:p w14:paraId="02761853"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Wskaźnik </w:t>
            </w:r>
          </w:p>
        </w:tc>
        <w:tc>
          <w:tcPr>
            <w:tcW w:w="1000" w:type="pct"/>
          </w:tcPr>
          <w:p w14:paraId="078FE05A"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Jednostka miary</w:t>
            </w:r>
          </w:p>
          <w:p w14:paraId="359E9904"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[255]</w:t>
            </w:r>
          </w:p>
        </w:tc>
        <w:tc>
          <w:tcPr>
            <w:tcW w:w="652" w:type="pct"/>
            <w:shd w:val="clear" w:color="auto" w:fill="auto"/>
          </w:tcPr>
          <w:p w14:paraId="20610164"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Kamień milowy (2024)</w:t>
            </w:r>
          </w:p>
          <w:p w14:paraId="447F26CE"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[200]</w:t>
            </w:r>
          </w:p>
        </w:tc>
        <w:tc>
          <w:tcPr>
            <w:tcW w:w="682" w:type="pct"/>
            <w:shd w:val="clear" w:color="auto" w:fill="auto"/>
          </w:tcPr>
          <w:p w14:paraId="5D007FA1"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końcowy (2029)</w:t>
            </w:r>
          </w:p>
          <w:p w14:paraId="772D38AC"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[200]</w:t>
            </w:r>
          </w:p>
        </w:tc>
      </w:tr>
      <w:tr w:rsidR="008559FE" w:rsidRPr="00567E3F" w14:paraId="1A6A4308" w14:textId="77777777" w:rsidTr="009D404E">
        <w:trPr>
          <w:trHeight w:val="579"/>
        </w:trPr>
        <w:tc>
          <w:tcPr>
            <w:tcW w:w="398" w:type="pct"/>
          </w:tcPr>
          <w:p w14:paraId="76F891FE" w14:textId="77777777" w:rsidR="008559FE" w:rsidRPr="001B3B78"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1</w:t>
            </w:r>
          </w:p>
        </w:tc>
        <w:tc>
          <w:tcPr>
            <w:tcW w:w="467" w:type="pct"/>
          </w:tcPr>
          <w:p w14:paraId="3905A81F"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CS 1.1</w:t>
            </w:r>
          </w:p>
        </w:tc>
        <w:tc>
          <w:tcPr>
            <w:tcW w:w="534" w:type="pct"/>
          </w:tcPr>
          <w:p w14:paraId="290F8800"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83 RCO</w:t>
            </w:r>
          </w:p>
        </w:tc>
        <w:tc>
          <w:tcPr>
            <w:tcW w:w="1267" w:type="pct"/>
            <w:shd w:val="clear" w:color="auto" w:fill="auto"/>
          </w:tcPr>
          <w:p w14:paraId="53E14090" w14:textId="77777777" w:rsidR="008559FE" w:rsidRPr="00567E3F"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Wspólnie opracowane strategie i plany działania</w:t>
            </w:r>
          </w:p>
        </w:tc>
        <w:tc>
          <w:tcPr>
            <w:tcW w:w="1000" w:type="pct"/>
          </w:tcPr>
          <w:p w14:paraId="0376C8FB" w14:textId="77777777" w:rsidR="008559FE" w:rsidRPr="00567E3F" w:rsidRDefault="008559FE" w:rsidP="00410BB3">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Strategia/plan działania</w:t>
            </w:r>
          </w:p>
        </w:tc>
        <w:tc>
          <w:tcPr>
            <w:tcW w:w="652" w:type="pct"/>
            <w:shd w:val="clear" w:color="auto" w:fill="auto"/>
          </w:tcPr>
          <w:p w14:paraId="7F08F18A" w14:textId="77777777" w:rsidR="008559FE" w:rsidRPr="00567E3F" w:rsidRDefault="008559FE" w:rsidP="008559FE">
            <w:pPr>
              <w:pBdr>
                <w:top w:val="nil"/>
                <w:left w:val="nil"/>
                <w:bottom w:val="nil"/>
                <w:right w:val="nil"/>
                <w:between w:val="nil"/>
              </w:pBdr>
              <w:spacing w:after="120" w:line="240" w:lineRule="auto"/>
              <w:ind w:left="0" w:right="0"/>
              <w:rPr>
                <w:rFonts w:asciiTheme="minorHAnsi" w:hAnsiTheme="minorHAnsi"/>
                <w:color w:val="000000"/>
                <w:lang w:val="en-US"/>
              </w:rPr>
            </w:pPr>
          </w:p>
        </w:tc>
        <w:tc>
          <w:tcPr>
            <w:tcW w:w="682" w:type="pct"/>
            <w:shd w:val="clear" w:color="auto" w:fill="auto"/>
          </w:tcPr>
          <w:p w14:paraId="1527295B" w14:textId="77777777" w:rsidR="008559FE" w:rsidRPr="00567E3F" w:rsidRDefault="008559FE" w:rsidP="008559FE">
            <w:pPr>
              <w:pBdr>
                <w:top w:val="nil"/>
                <w:left w:val="nil"/>
                <w:bottom w:val="nil"/>
                <w:right w:val="nil"/>
                <w:between w:val="nil"/>
              </w:pBdr>
              <w:spacing w:after="120" w:line="240" w:lineRule="auto"/>
              <w:ind w:left="0" w:right="0"/>
              <w:rPr>
                <w:rFonts w:asciiTheme="minorHAnsi" w:hAnsiTheme="minorHAnsi"/>
                <w:color w:val="000000"/>
                <w:lang w:val="en-US"/>
              </w:rPr>
            </w:pPr>
          </w:p>
        </w:tc>
      </w:tr>
      <w:tr w:rsidR="008559FE" w:rsidRPr="00000678" w14:paraId="4366D446" w14:textId="77777777" w:rsidTr="009D404E">
        <w:trPr>
          <w:trHeight w:val="579"/>
        </w:trPr>
        <w:tc>
          <w:tcPr>
            <w:tcW w:w="398" w:type="pct"/>
          </w:tcPr>
          <w:p w14:paraId="799A3B81" w14:textId="77777777" w:rsidR="008559FE" w:rsidRPr="001B3B78"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1</w:t>
            </w:r>
          </w:p>
        </w:tc>
        <w:tc>
          <w:tcPr>
            <w:tcW w:w="467" w:type="pct"/>
          </w:tcPr>
          <w:p w14:paraId="2CE9CD82"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CS 1.1</w:t>
            </w:r>
          </w:p>
        </w:tc>
        <w:tc>
          <w:tcPr>
            <w:tcW w:w="534" w:type="pct"/>
          </w:tcPr>
          <w:p w14:paraId="207DC1A1"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84 RCO</w:t>
            </w:r>
          </w:p>
        </w:tc>
        <w:tc>
          <w:tcPr>
            <w:tcW w:w="1267" w:type="pct"/>
            <w:shd w:val="clear" w:color="auto" w:fill="auto"/>
          </w:tcPr>
          <w:p w14:paraId="137A0952" w14:textId="77777777" w:rsidR="008559FE" w:rsidRPr="00567E3F"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Działania pilotażowe opracowane wspólnie i realizowane w ramach projektów</w:t>
            </w:r>
          </w:p>
        </w:tc>
        <w:tc>
          <w:tcPr>
            <w:tcW w:w="1000" w:type="pct"/>
          </w:tcPr>
          <w:p w14:paraId="4BC43B5F" w14:textId="77777777" w:rsidR="008559FE" w:rsidRPr="00000678" w:rsidRDefault="008559FE" w:rsidP="00410BB3">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Działanie pilotażowe</w:t>
            </w:r>
          </w:p>
        </w:tc>
        <w:tc>
          <w:tcPr>
            <w:tcW w:w="652" w:type="pct"/>
            <w:shd w:val="clear" w:color="auto" w:fill="auto"/>
          </w:tcPr>
          <w:p w14:paraId="42268846" w14:textId="77777777" w:rsidR="008559FE" w:rsidRPr="000006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5B46BA52" w14:textId="77777777" w:rsidR="008559FE" w:rsidRPr="000006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r>
      <w:tr w:rsidR="008559FE" w:rsidRPr="008727F2" w14:paraId="11E7D183" w14:textId="77777777" w:rsidTr="009D404E">
        <w:trPr>
          <w:trHeight w:val="579"/>
        </w:trPr>
        <w:tc>
          <w:tcPr>
            <w:tcW w:w="398" w:type="pct"/>
          </w:tcPr>
          <w:p w14:paraId="5AEA5E44" w14:textId="77777777" w:rsidR="008559FE" w:rsidRPr="001B3B78"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1</w:t>
            </w:r>
          </w:p>
        </w:tc>
        <w:tc>
          <w:tcPr>
            <w:tcW w:w="467" w:type="pct"/>
          </w:tcPr>
          <w:p w14:paraId="6C2F3290"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CS 1.1</w:t>
            </w:r>
          </w:p>
        </w:tc>
        <w:tc>
          <w:tcPr>
            <w:tcW w:w="534" w:type="pct"/>
          </w:tcPr>
          <w:p w14:paraId="69B3B2AD" w14:textId="77777777" w:rsidR="008559FE"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87 RCO</w:t>
            </w:r>
          </w:p>
        </w:tc>
        <w:tc>
          <w:tcPr>
            <w:tcW w:w="1267" w:type="pct"/>
            <w:shd w:val="clear" w:color="auto" w:fill="auto"/>
          </w:tcPr>
          <w:p w14:paraId="2DDA7423" w14:textId="77777777" w:rsidR="008559FE" w:rsidRPr="001B3B78"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Organizacje współpracujące ponad granicami</w:t>
            </w:r>
          </w:p>
        </w:tc>
        <w:tc>
          <w:tcPr>
            <w:tcW w:w="1000" w:type="pct"/>
          </w:tcPr>
          <w:p w14:paraId="30A61BA9" w14:textId="77777777" w:rsidR="008559FE" w:rsidRPr="001B3B78" w:rsidRDefault="008559FE" w:rsidP="00000678">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Organizacja</w:t>
            </w:r>
          </w:p>
        </w:tc>
        <w:tc>
          <w:tcPr>
            <w:tcW w:w="652" w:type="pct"/>
            <w:shd w:val="clear" w:color="auto" w:fill="auto"/>
          </w:tcPr>
          <w:p w14:paraId="6F7FFE07"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1C41585E"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r>
      <w:tr w:rsidR="008559FE" w:rsidRPr="008727F2" w14:paraId="7645AAF8" w14:textId="77777777" w:rsidTr="009D404E">
        <w:trPr>
          <w:trHeight w:val="579"/>
        </w:trPr>
        <w:tc>
          <w:tcPr>
            <w:tcW w:w="398" w:type="pct"/>
          </w:tcPr>
          <w:p w14:paraId="055D4D62" w14:textId="77777777" w:rsidR="008559FE" w:rsidRPr="001B3B78"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1</w:t>
            </w:r>
          </w:p>
        </w:tc>
        <w:tc>
          <w:tcPr>
            <w:tcW w:w="467" w:type="pct"/>
          </w:tcPr>
          <w:p w14:paraId="676E6451"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CS 1.1</w:t>
            </w:r>
          </w:p>
        </w:tc>
        <w:tc>
          <w:tcPr>
            <w:tcW w:w="534" w:type="pct"/>
          </w:tcPr>
          <w:p w14:paraId="110B6EB7" w14:textId="77777777" w:rsidR="008559FE"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116 RCO</w:t>
            </w:r>
          </w:p>
        </w:tc>
        <w:tc>
          <w:tcPr>
            <w:tcW w:w="1267" w:type="pct"/>
            <w:shd w:val="clear" w:color="auto" w:fill="auto"/>
          </w:tcPr>
          <w:p w14:paraId="7EA31C8C" w14:textId="77777777" w:rsidR="008559FE" w:rsidRPr="001B3B78"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Wspólnie opracowane rozwiązania</w:t>
            </w:r>
          </w:p>
        </w:tc>
        <w:tc>
          <w:tcPr>
            <w:tcW w:w="1000" w:type="pct"/>
          </w:tcPr>
          <w:p w14:paraId="528B1E4B" w14:textId="77777777" w:rsidR="008559FE" w:rsidRPr="001B3B78" w:rsidRDefault="008559FE" w:rsidP="00000678">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Rozwiązanie</w:t>
            </w:r>
          </w:p>
        </w:tc>
        <w:tc>
          <w:tcPr>
            <w:tcW w:w="652" w:type="pct"/>
            <w:shd w:val="clear" w:color="auto" w:fill="auto"/>
          </w:tcPr>
          <w:p w14:paraId="3E1611C4"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6FB462F8"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r>
    </w:tbl>
    <w:p w14:paraId="273AFD52" w14:textId="77777777" w:rsidR="00771419" w:rsidRDefault="00771419" w:rsidP="008559FE">
      <w:pPr>
        <w:spacing w:before="240" w:after="240" w:line="240" w:lineRule="auto"/>
        <w:ind w:left="0"/>
        <w:rPr>
          <w:rFonts w:asciiTheme="minorHAnsi" w:hAnsiTheme="minorHAnsi"/>
        </w:rPr>
      </w:pPr>
    </w:p>
    <w:p w14:paraId="4AE2F60C" w14:textId="77777777" w:rsidR="00771419" w:rsidRDefault="00771419">
      <w:pPr>
        <w:spacing w:before="0" w:line="240" w:lineRule="auto"/>
        <w:ind w:left="0" w:right="0"/>
        <w:jc w:val="left"/>
        <w:rPr>
          <w:rFonts w:asciiTheme="minorHAnsi" w:hAnsiTheme="minorHAnsi"/>
        </w:rPr>
      </w:pPr>
      <w:r>
        <w:rPr>
          <w:rFonts w:asciiTheme="minorHAnsi" w:hAnsiTheme="minorHAnsi"/>
        </w:rPr>
        <w:br w:type="page"/>
      </w:r>
    </w:p>
    <w:p w14:paraId="69BCD511" w14:textId="1D15080F" w:rsidR="008559FE" w:rsidRPr="009A0D85" w:rsidRDefault="008559FE" w:rsidP="008559FE">
      <w:pPr>
        <w:spacing w:before="240" w:after="240" w:line="240" w:lineRule="auto"/>
        <w:ind w:left="0"/>
        <w:rPr>
          <w:rFonts w:asciiTheme="minorHAnsi" w:hAnsiTheme="minorHAnsi"/>
          <w:szCs w:val="24"/>
        </w:rPr>
      </w:pPr>
      <w:r>
        <w:rPr>
          <w:rFonts w:asciiTheme="minorHAnsi" w:hAnsiTheme="minorHAnsi"/>
        </w:rPr>
        <w:lastRenderedPageBreak/>
        <w:t>Tabela 3: Wskaźniki wyników</w:t>
      </w:r>
    </w:p>
    <w:tbl>
      <w:tblPr>
        <w:tblStyle w:val="17"/>
        <w:tblW w:w="5184"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63"/>
        <w:gridCol w:w="736"/>
        <w:gridCol w:w="1175"/>
        <w:gridCol w:w="1654"/>
        <w:gridCol w:w="1138"/>
        <w:gridCol w:w="844"/>
        <w:gridCol w:w="773"/>
        <w:gridCol w:w="773"/>
        <w:gridCol w:w="1289"/>
        <w:gridCol w:w="665"/>
      </w:tblGrid>
      <w:tr w:rsidR="0055653F" w:rsidRPr="008727F2" w14:paraId="464E1EEF" w14:textId="77777777" w:rsidTr="0055653F">
        <w:trPr>
          <w:trHeight w:val="947"/>
        </w:trPr>
        <w:tc>
          <w:tcPr>
            <w:tcW w:w="389" w:type="pct"/>
            <w:tcMar>
              <w:left w:w="28" w:type="dxa"/>
              <w:right w:w="28" w:type="dxa"/>
            </w:tcMar>
          </w:tcPr>
          <w:p w14:paraId="0C46D973"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Priorytet </w:t>
            </w:r>
          </w:p>
        </w:tc>
        <w:tc>
          <w:tcPr>
            <w:tcW w:w="375" w:type="pct"/>
            <w:tcMar>
              <w:left w:w="28" w:type="dxa"/>
              <w:right w:w="28" w:type="dxa"/>
            </w:tcMar>
          </w:tcPr>
          <w:p w14:paraId="1510D650"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szczegółowy</w:t>
            </w:r>
          </w:p>
        </w:tc>
        <w:tc>
          <w:tcPr>
            <w:tcW w:w="599" w:type="pct"/>
            <w:tcMar>
              <w:left w:w="28" w:type="dxa"/>
              <w:right w:w="28" w:type="dxa"/>
            </w:tcMar>
          </w:tcPr>
          <w:p w14:paraId="41FA841E"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IDENTYFIKATOR</w:t>
            </w:r>
          </w:p>
        </w:tc>
        <w:tc>
          <w:tcPr>
            <w:tcW w:w="843" w:type="pct"/>
            <w:shd w:val="clear" w:color="auto" w:fill="auto"/>
            <w:tcMar>
              <w:left w:w="28" w:type="dxa"/>
              <w:right w:w="28" w:type="dxa"/>
            </w:tcMar>
          </w:tcPr>
          <w:p w14:paraId="42AB508F"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Wskaźnik </w:t>
            </w:r>
          </w:p>
        </w:tc>
        <w:tc>
          <w:tcPr>
            <w:tcW w:w="580" w:type="pct"/>
            <w:tcMar>
              <w:left w:w="28" w:type="dxa"/>
              <w:right w:w="28" w:type="dxa"/>
            </w:tcMar>
          </w:tcPr>
          <w:p w14:paraId="413E59BD"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Jednostka miary</w:t>
            </w:r>
          </w:p>
        </w:tc>
        <w:tc>
          <w:tcPr>
            <w:tcW w:w="430" w:type="pct"/>
            <w:tcMar>
              <w:left w:w="28" w:type="dxa"/>
              <w:right w:w="28" w:type="dxa"/>
            </w:tcMar>
          </w:tcPr>
          <w:p w14:paraId="10056EB2"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Podstawa</w:t>
            </w:r>
          </w:p>
        </w:tc>
        <w:tc>
          <w:tcPr>
            <w:tcW w:w="394" w:type="pct"/>
            <w:tcMar>
              <w:left w:w="28" w:type="dxa"/>
              <w:right w:w="28" w:type="dxa"/>
            </w:tcMar>
          </w:tcPr>
          <w:p w14:paraId="3B745DA2"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Rok odniesienia</w:t>
            </w:r>
          </w:p>
        </w:tc>
        <w:tc>
          <w:tcPr>
            <w:tcW w:w="394" w:type="pct"/>
            <w:shd w:val="clear" w:color="auto" w:fill="auto"/>
            <w:tcMar>
              <w:left w:w="28" w:type="dxa"/>
              <w:right w:w="28" w:type="dxa"/>
            </w:tcMar>
          </w:tcPr>
          <w:p w14:paraId="7A38E7D0"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końcowy (2029)</w:t>
            </w:r>
          </w:p>
        </w:tc>
        <w:tc>
          <w:tcPr>
            <w:tcW w:w="657" w:type="pct"/>
            <w:shd w:val="clear" w:color="auto" w:fill="auto"/>
            <w:tcMar>
              <w:left w:w="28" w:type="dxa"/>
              <w:right w:w="28" w:type="dxa"/>
            </w:tcMar>
          </w:tcPr>
          <w:p w14:paraId="74222034" w14:textId="77777777" w:rsidR="008559FE" w:rsidRPr="008503E7" w:rsidRDefault="008559FE" w:rsidP="008559FE">
            <w:pPr>
              <w:pBdr>
                <w:top w:val="nil"/>
                <w:left w:val="nil"/>
                <w:bottom w:val="nil"/>
                <w:right w:val="nil"/>
                <w:between w:val="nil"/>
              </w:pBdr>
              <w:spacing w:after="120" w:line="240" w:lineRule="auto"/>
              <w:ind w:left="0" w:right="0"/>
              <w:jc w:val="center"/>
              <w:rPr>
                <w:rFonts w:asciiTheme="minorHAnsi" w:hAnsiTheme="minorHAnsi"/>
                <w:b/>
                <w:color w:val="000000"/>
                <w:sz w:val="16"/>
                <w:szCs w:val="16"/>
              </w:rPr>
            </w:pPr>
            <w:r>
              <w:rPr>
                <w:rFonts w:asciiTheme="minorHAnsi" w:hAnsiTheme="minorHAnsi"/>
                <w:b/>
                <w:color w:val="000000"/>
                <w:sz w:val="16"/>
              </w:rPr>
              <w:t>Źródło danych</w:t>
            </w:r>
          </w:p>
        </w:tc>
        <w:tc>
          <w:tcPr>
            <w:tcW w:w="339" w:type="pct"/>
            <w:tcMar>
              <w:left w:w="28" w:type="dxa"/>
              <w:right w:w="28" w:type="dxa"/>
            </w:tcMar>
          </w:tcPr>
          <w:p w14:paraId="5C3A5EA7" w14:textId="77777777" w:rsidR="008559FE" w:rsidRPr="00570B26" w:rsidRDefault="008559FE" w:rsidP="008559FE">
            <w:pPr>
              <w:pBdr>
                <w:top w:val="nil"/>
                <w:left w:val="nil"/>
                <w:bottom w:val="nil"/>
                <w:right w:val="nil"/>
                <w:between w:val="nil"/>
              </w:pBdr>
              <w:spacing w:after="120" w:line="480" w:lineRule="auto"/>
              <w:ind w:left="0" w:right="0"/>
              <w:rPr>
                <w:rFonts w:asciiTheme="minorHAnsi" w:hAnsiTheme="minorHAnsi"/>
                <w:b/>
                <w:color w:val="000000"/>
                <w:sz w:val="16"/>
                <w:szCs w:val="16"/>
              </w:rPr>
            </w:pPr>
            <w:r>
              <w:rPr>
                <w:rFonts w:asciiTheme="minorHAnsi" w:hAnsiTheme="minorHAnsi"/>
                <w:b/>
                <w:color w:val="000000"/>
                <w:sz w:val="16"/>
              </w:rPr>
              <w:t>Uwagi</w:t>
            </w:r>
          </w:p>
        </w:tc>
      </w:tr>
      <w:tr w:rsidR="0055653F" w:rsidRPr="004854D7" w14:paraId="2594FAB0" w14:textId="77777777" w:rsidTr="0055653F">
        <w:trPr>
          <w:trHeight w:val="629"/>
        </w:trPr>
        <w:tc>
          <w:tcPr>
            <w:tcW w:w="389" w:type="pct"/>
          </w:tcPr>
          <w:p w14:paraId="3E0590BD" w14:textId="77777777" w:rsidR="008559FE" w:rsidRPr="004854D7"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1</w:t>
            </w:r>
          </w:p>
        </w:tc>
        <w:tc>
          <w:tcPr>
            <w:tcW w:w="375" w:type="pct"/>
          </w:tcPr>
          <w:p w14:paraId="768E7B4C" w14:textId="77777777" w:rsidR="008559FE" w:rsidRPr="004854D7"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CS 1.1</w:t>
            </w:r>
          </w:p>
        </w:tc>
        <w:tc>
          <w:tcPr>
            <w:tcW w:w="599" w:type="pct"/>
          </w:tcPr>
          <w:p w14:paraId="531D0E3D" w14:textId="77777777" w:rsidR="008559FE" w:rsidRPr="004854D7"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79 RCR</w:t>
            </w:r>
          </w:p>
        </w:tc>
        <w:tc>
          <w:tcPr>
            <w:tcW w:w="843" w:type="pct"/>
            <w:shd w:val="clear" w:color="auto" w:fill="auto"/>
          </w:tcPr>
          <w:p w14:paraId="1CB82F47" w14:textId="77777777" w:rsidR="008559FE" w:rsidRPr="00567E3F"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Wspólne strategie i plany działania podejmowane przez organizacje</w:t>
            </w:r>
          </w:p>
        </w:tc>
        <w:tc>
          <w:tcPr>
            <w:tcW w:w="580" w:type="pct"/>
          </w:tcPr>
          <w:p w14:paraId="60FA6698" w14:textId="77777777" w:rsidR="008559FE" w:rsidRPr="00567E3F" w:rsidRDefault="008559FE" w:rsidP="00000678">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Wspólna strategia / plan działania</w:t>
            </w:r>
          </w:p>
        </w:tc>
        <w:tc>
          <w:tcPr>
            <w:tcW w:w="430" w:type="pct"/>
          </w:tcPr>
          <w:p w14:paraId="013ED114" w14:textId="77777777" w:rsidR="008559FE" w:rsidRPr="004854D7"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394" w:type="pct"/>
          </w:tcPr>
          <w:p w14:paraId="61E7A968" w14:textId="77777777" w:rsidR="008559FE" w:rsidRPr="004854D7"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394" w:type="pct"/>
            <w:shd w:val="clear" w:color="auto" w:fill="auto"/>
          </w:tcPr>
          <w:p w14:paraId="0F5ADD04" w14:textId="77777777" w:rsidR="008559FE" w:rsidRPr="004854D7"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p>
        </w:tc>
        <w:tc>
          <w:tcPr>
            <w:tcW w:w="657" w:type="pct"/>
            <w:shd w:val="clear" w:color="auto" w:fill="auto"/>
          </w:tcPr>
          <w:p w14:paraId="2BDDA66A" w14:textId="77777777" w:rsidR="008559FE" w:rsidRPr="004854D7"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System monitorowania programu</w:t>
            </w:r>
          </w:p>
        </w:tc>
        <w:tc>
          <w:tcPr>
            <w:tcW w:w="339" w:type="pct"/>
          </w:tcPr>
          <w:p w14:paraId="714600AE" w14:textId="77777777" w:rsidR="008559FE" w:rsidRPr="004854D7" w:rsidRDefault="008559FE" w:rsidP="008559FE">
            <w:pPr>
              <w:ind w:left="0" w:right="0"/>
              <w:rPr>
                <w:rFonts w:asciiTheme="minorHAnsi" w:hAnsiTheme="minorHAnsi"/>
                <w:color w:val="000000"/>
              </w:rPr>
            </w:pPr>
          </w:p>
        </w:tc>
      </w:tr>
      <w:tr w:rsidR="0055653F" w:rsidRPr="00D465BC" w14:paraId="5A8AE5FA" w14:textId="77777777" w:rsidTr="0055653F">
        <w:trPr>
          <w:trHeight w:val="629"/>
        </w:trPr>
        <w:tc>
          <w:tcPr>
            <w:tcW w:w="389" w:type="pct"/>
          </w:tcPr>
          <w:p w14:paraId="5F6205EE"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1</w:t>
            </w:r>
          </w:p>
        </w:tc>
        <w:tc>
          <w:tcPr>
            <w:tcW w:w="375" w:type="pct"/>
          </w:tcPr>
          <w:p w14:paraId="4E8A6D0D"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CS 1.1</w:t>
            </w:r>
          </w:p>
        </w:tc>
        <w:tc>
          <w:tcPr>
            <w:tcW w:w="599" w:type="pct"/>
          </w:tcPr>
          <w:p w14:paraId="2F8673A6"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84 RCR</w:t>
            </w:r>
          </w:p>
        </w:tc>
        <w:tc>
          <w:tcPr>
            <w:tcW w:w="843" w:type="pct"/>
            <w:shd w:val="clear" w:color="auto" w:fill="auto"/>
          </w:tcPr>
          <w:p w14:paraId="540F7EAC" w14:textId="77777777" w:rsidR="008559FE" w:rsidRPr="00567E3F"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Organizacje współpracujące ponad granicami po zakończeniu projektu</w:t>
            </w:r>
          </w:p>
        </w:tc>
        <w:tc>
          <w:tcPr>
            <w:tcW w:w="580" w:type="pct"/>
          </w:tcPr>
          <w:p w14:paraId="717B5E61" w14:textId="77777777" w:rsidR="008559FE" w:rsidRPr="00D465BC" w:rsidRDefault="008559FE" w:rsidP="00000678">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Organizacja</w:t>
            </w:r>
          </w:p>
        </w:tc>
        <w:tc>
          <w:tcPr>
            <w:tcW w:w="430" w:type="pct"/>
          </w:tcPr>
          <w:p w14:paraId="24E09D89"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394" w:type="pct"/>
          </w:tcPr>
          <w:p w14:paraId="580852A1"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394" w:type="pct"/>
            <w:shd w:val="clear" w:color="auto" w:fill="auto"/>
          </w:tcPr>
          <w:p w14:paraId="5256DDBA"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p>
        </w:tc>
        <w:tc>
          <w:tcPr>
            <w:tcW w:w="657" w:type="pct"/>
            <w:shd w:val="clear" w:color="auto" w:fill="auto"/>
          </w:tcPr>
          <w:p w14:paraId="69851058"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System monitorowania programu</w:t>
            </w:r>
          </w:p>
        </w:tc>
        <w:tc>
          <w:tcPr>
            <w:tcW w:w="339" w:type="pct"/>
          </w:tcPr>
          <w:p w14:paraId="30D0EFC3" w14:textId="77777777" w:rsidR="008559FE" w:rsidRPr="00D465BC" w:rsidRDefault="008559FE" w:rsidP="008559FE">
            <w:pPr>
              <w:ind w:left="0" w:right="0"/>
              <w:rPr>
                <w:rFonts w:asciiTheme="minorHAnsi" w:hAnsiTheme="minorHAnsi"/>
                <w:color w:val="000000"/>
              </w:rPr>
            </w:pPr>
          </w:p>
        </w:tc>
      </w:tr>
      <w:tr w:rsidR="0055653F" w:rsidRPr="00D465BC" w14:paraId="30B154C5" w14:textId="77777777" w:rsidTr="0055653F">
        <w:trPr>
          <w:trHeight w:val="629"/>
        </w:trPr>
        <w:tc>
          <w:tcPr>
            <w:tcW w:w="389" w:type="pct"/>
          </w:tcPr>
          <w:p w14:paraId="1DA5955E"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1</w:t>
            </w:r>
          </w:p>
        </w:tc>
        <w:tc>
          <w:tcPr>
            <w:tcW w:w="375" w:type="pct"/>
          </w:tcPr>
          <w:p w14:paraId="7460000D"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CS 1.1</w:t>
            </w:r>
          </w:p>
        </w:tc>
        <w:tc>
          <w:tcPr>
            <w:tcW w:w="599" w:type="pct"/>
          </w:tcPr>
          <w:p w14:paraId="21EEE8D0"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104 RCR</w:t>
            </w:r>
          </w:p>
        </w:tc>
        <w:tc>
          <w:tcPr>
            <w:tcW w:w="843" w:type="pct"/>
            <w:shd w:val="clear" w:color="auto" w:fill="auto"/>
          </w:tcPr>
          <w:p w14:paraId="6566313A" w14:textId="77777777" w:rsidR="008559FE" w:rsidRPr="00567E3F"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Rozwiązania przyjmowane lub doskonalone przez organizacje</w:t>
            </w:r>
          </w:p>
        </w:tc>
        <w:tc>
          <w:tcPr>
            <w:tcW w:w="580" w:type="pct"/>
          </w:tcPr>
          <w:p w14:paraId="1C7B6AB8" w14:textId="77777777" w:rsidR="008559FE" w:rsidRPr="00D465BC" w:rsidRDefault="008559FE" w:rsidP="00000678">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Rozwiązanie</w:t>
            </w:r>
          </w:p>
        </w:tc>
        <w:tc>
          <w:tcPr>
            <w:tcW w:w="430" w:type="pct"/>
          </w:tcPr>
          <w:p w14:paraId="45B9D6DB"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394" w:type="pct"/>
          </w:tcPr>
          <w:p w14:paraId="05746A60"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394" w:type="pct"/>
            <w:shd w:val="clear" w:color="auto" w:fill="auto"/>
          </w:tcPr>
          <w:p w14:paraId="5E219E0B"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p>
        </w:tc>
        <w:tc>
          <w:tcPr>
            <w:tcW w:w="657" w:type="pct"/>
            <w:shd w:val="clear" w:color="auto" w:fill="auto"/>
          </w:tcPr>
          <w:p w14:paraId="4AB8FC8A"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System monitorowania programu</w:t>
            </w:r>
          </w:p>
        </w:tc>
        <w:tc>
          <w:tcPr>
            <w:tcW w:w="339" w:type="pct"/>
          </w:tcPr>
          <w:p w14:paraId="35BD0D3B" w14:textId="77777777" w:rsidR="008559FE" w:rsidRPr="00D465BC" w:rsidRDefault="008559FE" w:rsidP="008559FE">
            <w:pPr>
              <w:ind w:left="0" w:right="0"/>
              <w:rPr>
                <w:rFonts w:asciiTheme="minorHAnsi" w:hAnsiTheme="minorHAnsi"/>
                <w:color w:val="000000"/>
              </w:rPr>
            </w:pPr>
          </w:p>
        </w:tc>
      </w:tr>
    </w:tbl>
    <w:p w14:paraId="1E0DD638" w14:textId="77777777" w:rsidR="001B3725" w:rsidRDefault="001B3725" w:rsidP="008727F2">
      <w:pPr>
        <w:spacing w:before="240" w:after="240" w:line="240" w:lineRule="auto"/>
        <w:ind w:left="709" w:hanging="709"/>
        <w:rPr>
          <w:rFonts w:asciiTheme="minorHAnsi" w:hAnsiTheme="minorHAnsi"/>
          <w:b/>
          <w:sz w:val="24"/>
          <w:szCs w:val="24"/>
          <w:lang w:val="en-GB"/>
        </w:rPr>
      </w:pPr>
    </w:p>
    <w:p w14:paraId="13DFF538" w14:textId="77777777" w:rsidR="008727F2" w:rsidRPr="00570B26" w:rsidRDefault="008727F2" w:rsidP="008727F2">
      <w:pPr>
        <w:spacing w:before="240" w:after="240" w:line="240" w:lineRule="auto"/>
        <w:ind w:left="709" w:hanging="709"/>
        <w:rPr>
          <w:rFonts w:asciiTheme="minorHAnsi" w:hAnsiTheme="minorHAnsi"/>
          <w:b/>
          <w:sz w:val="24"/>
          <w:szCs w:val="24"/>
        </w:rPr>
      </w:pPr>
      <w:r>
        <w:rPr>
          <w:rFonts w:asciiTheme="minorHAnsi" w:hAnsiTheme="minorHAnsi"/>
          <w:b/>
          <w:sz w:val="24"/>
        </w:rPr>
        <w:t>2.1.1.3</w:t>
      </w:r>
      <w:r>
        <w:rPr>
          <w:rFonts w:asciiTheme="minorHAnsi" w:hAnsiTheme="minorHAnsi"/>
          <w:b/>
          <w:sz w:val="24"/>
        </w:rPr>
        <w:tab/>
        <w:t>Główne grupy docelowe</w:t>
      </w:r>
    </w:p>
    <w:p w14:paraId="11CF14C7" w14:textId="77777777" w:rsidR="008727F2" w:rsidRPr="00D80606" w:rsidRDefault="008727F2" w:rsidP="00570B26">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iii, art. 17 ust. 9 lit. c punkt iv</w:t>
      </w:r>
    </w:p>
    <w:p w14:paraId="505CC8F2" w14:textId="77777777" w:rsidR="001B3725" w:rsidRPr="00D80606" w:rsidRDefault="001B3725" w:rsidP="00570B26">
      <w:pPr>
        <w:spacing w:before="240" w:after="240" w:line="240" w:lineRule="auto"/>
        <w:ind w:left="0"/>
        <w:rPr>
          <w:rFonts w:asciiTheme="minorHAnsi" w:hAnsiTheme="minorHAnsi"/>
          <w:color w:val="000000"/>
          <w:szCs w:val="24"/>
        </w:rPr>
      </w:pPr>
      <w:r w:rsidRPr="00D80606">
        <w:rPr>
          <w:rFonts w:asciiTheme="minorHAnsi" w:hAnsiTheme="minorHAnsi"/>
          <w:color w:val="000000"/>
        </w:rPr>
        <w:t>Pole tekstowe [7000]</w:t>
      </w:r>
    </w:p>
    <w:p w14:paraId="1295BDAA" w14:textId="4078814B" w:rsidR="003A4A76" w:rsidRPr="00D80606" w:rsidRDefault="003A4A76" w:rsidP="00D80606">
      <w:pPr>
        <w:pBdr>
          <w:top w:val="single" w:sz="4" w:space="1" w:color="000000"/>
          <w:left w:val="single" w:sz="4" w:space="4" w:color="000000"/>
          <w:bottom w:val="single" w:sz="4" w:space="1" w:color="000000"/>
          <w:right w:val="single" w:sz="4" w:space="4" w:color="000000"/>
        </w:pBdr>
        <w:ind w:left="142"/>
        <w:jc w:val="left"/>
        <w:rPr>
          <w:rFonts w:asciiTheme="minorHAnsi" w:hAnsiTheme="minorHAnsi"/>
          <w:sz w:val="24"/>
          <w:szCs w:val="24"/>
        </w:rPr>
      </w:pPr>
      <w:r w:rsidRPr="00D80606">
        <w:rPr>
          <w:rFonts w:asciiTheme="minorHAnsi" w:hAnsiTheme="minorHAnsi"/>
          <w:sz w:val="24"/>
          <w:szCs w:val="24"/>
        </w:rPr>
        <w:t xml:space="preserve">Grupami docelowymi działań objętych wsparciem mogą być zarówno osoby prywatne, jak i organizacje, które są zaangażowane w ich realizację lub są ich beneficjentami.  Należy je zachęcać do przyjmowania rozwiązań, które prowadzą do lepszego ekosystemu innowacji. Grupy docelowe obejmują w szczególności zarówno podmioty publiczne, jak i prywatne z systemu innowacji </w:t>
      </w:r>
      <w:r w:rsidR="0055653F">
        <w:rPr>
          <w:rFonts w:asciiTheme="minorHAnsi" w:hAnsiTheme="minorHAnsi"/>
          <w:sz w:val="24"/>
          <w:szCs w:val="24"/>
        </w:rPr>
        <w:t>poczwórnej helisy (</w:t>
      </w:r>
      <w:r w:rsidRPr="008A72BA">
        <w:rPr>
          <w:rFonts w:asciiTheme="minorHAnsi" w:hAnsiTheme="minorHAnsi"/>
          <w:sz w:val="24"/>
          <w:szCs w:val="24"/>
        </w:rPr>
        <w:t>quadruple-helix</w:t>
      </w:r>
      <w:r w:rsidR="0055653F">
        <w:rPr>
          <w:rFonts w:asciiTheme="minorHAnsi" w:hAnsiTheme="minorHAnsi"/>
          <w:sz w:val="24"/>
          <w:szCs w:val="24"/>
        </w:rPr>
        <w:t>)</w:t>
      </w:r>
      <w:r w:rsidRPr="00D80606">
        <w:rPr>
          <w:rFonts w:asciiTheme="minorHAnsi" w:hAnsiTheme="minorHAnsi"/>
          <w:sz w:val="24"/>
          <w:szCs w:val="24"/>
        </w:rPr>
        <w:t xml:space="preserve">, w tym przedsiębiorstwa i ich pracowników (w tym MŚP), organizacje klastrów, władze publiczne, agencje rozwoju regionalnego, izby handlowe i przemysłowe, instytucje transferu technologii, organizacje pozarządowe, agencje innowacji, parki technologiczne i przemysłowe, sieci sektorowe i biznesowe, inkubatory przedsiębiorczości oraz instytucje finansowe, organizacje edukacyjne i szkoleniowe, prywatne i publiczne instytucje badawcze, sieci społeczne. </w:t>
      </w:r>
    </w:p>
    <w:p w14:paraId="4AB6A238" w14:textId="77777777" w:rsidR="001B3725" w:rsidRDefault="001B3725" w:rsidP="008727F2">
      <w:pPr>
        <w:spacing w:before="240" w:after="240" w:line="240" w:lineRule="auto"/>
        <w:ind w:left="709" w:hanging="709"/>
        <w:rPr>
          <w:rFonts w:asciiTheme="minorHAnsi" w:hAnsiTheme="minorHAnsi"/>
          <w:b/>
          <w:sz w:val="24"/>
          <w:szCs w:val="24"/>
        </w:rPr>
      </w:pPr>
    </w:p>
    <w:p w14:paraId="4D3C503D" w14:textId="77777777" w:rsidR="00956E07" w:rsidRPr="00680741" w:rsidRDefault="00956E07" w:rsidP="008727F2">
      <w:pPr>
        <w:spacing w:before="240" w:after="240" w:line="240" w:lineRule="auto"/>
        <w:ind w:left="709" w:hanging="709"/>
        <w:rPr>
          <w:rFonts w:asciiTheme="minorHAnsi" w:hAnsiTheme="minorHAnsi"/>
          <w:b/>
          <w:sz w:val="24"/>
          <w:szCs w:val="24"/>
        </w:rPr>
      </w:pPr>
    </w:p>
    <w:p w14:paraId="5B7A0A78" w14:textId="77777777" w:rsidR="008727F2" w:rsidRPr="008727F2" w:rsidRDefault="008727F2" w:rsidP="008727F2">
      <w:pPr>
        <w:spacing w:before="240" w:after="240" w:line="240" w:lineRule="auto"/>
        <w:ind w:left="709" w:hanging="709"/>
        <w:rPr>
          <w:rFonts w:asciiTheme="minorHAnsi" w:hAnsiTheme="minorHAnsi"/>
          <w:b/>
          <w:sz w:val="24"/>
          <w:szCs w:val="24"/>
        </w:rPr>
      </w:pPr>
      <w:r>
        <w:rPr>
          <w:rFonts w:asciiTheme="minorHAnsi" w:hAnsiTheme="minorHAnsi"/>
          <w:b/>
          <w:sz w:val="24"/>
        </w:rPr>
        <w:lastRenderedPageBreak/>
        <w:t>2.1.1.4</w:t>
      </w:r>
      <w:r>
        <w:rPr>
          <w:rFonts w:asciiTheme="minorHAnsi" w:hAnsiTheme="minorHAnsi"/>
          <w:b/>
          <w:sz w:val="24"/>
        </w:rPr>
        <w:tab/>
        <w:t>Określenie szczególnych terytoriów docelowych, w tym planowego wykorzystania ZIT, RKSL i pozostałych narzędzi terytorialnych</w:t>
      </w:r>
    </w:p>
    <w:p w14:paraId="73F08C69" w14:textId="77777777" w:rsidR="008727F2" w:rsidRPr="00D80606" w:rsidRDefault="008727F2" w:rsidP="00570B26">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iv</w:t>
      </w:r>
    </w:p>
    <w:p w14:paraId="6E478AC8" w14:textId="77777777" w:rsidR="001B3725" w:rsidRPr="00D80606" w:rsidRDefault="001B3725" w:rsidP="00570B26">
      <w:pPr>
        <w:spacing w:before="240" w:after="240" w:line="240" w:lineRule="auto"/>
        <w:ind w:left="0"/>
        <w:rPr>
          <w:rFonts w:asciiTheme="minorHAnsi" w:hAnsiTheme="minorHAnsi"/>
          <w:color w:val="000000"/>
          <w:szCs w:val="24"/>
        </w:rPr>
      </w:pPr>
      <w:r w:rsidRPr="00D80606">
        <w:rPr>
          <w:rFonts w:asciiTheme="minorHAnsi" w:hAnsiTheme="minorHAnsi"/>
          <w:color w:val="000000"/>
        </w:rPr>
        <w:t>Pole tekstowe [7000]</w:t>
      </w:r>
    </w:p>
    <w:p w14:paraId="49A41790" w14:textId="1DDF1558" w:rsidR="00567E3F" w:rsidRPr="00D80606" w:rsidRDefault="003A4A76" w:rsidP="00D80606">
      <w:pPr>
        <w:pBdr>
          <w:top w:val="single" w:sz="4" w:space="1" w:color="000000"/>
          <w:left w:val="single" w:sz="4" w:space="4" w:color="000000"/>
          <w:bottom w:val="single" w:sz="4" w:space="1" w:color="000000"/>
          <w:right w:val="single" w:sz="4" w:space="4" w:color="000000"/>
        </w:pBdr>
        <w:ind w:left="142"/>
        <w:jc w:val="left"/>
        <w:rPr>
          <w:rFonts w:asciiTheme="minorHAnsi" w:hAnsiTheme="minorHAnsi"/>
          <w:sz w:val="24"/>
          <w:szCs w:val="24"/>
        </w:rPr>
      </w:pPr>
      <w:r w:rsidRPr="00D80606">
        <w:rPr>
          <w:rFonts w:asciiTheme="minorHAnsi" w:hAnsiTheme="minorHAnsi"/>
          <w:sz w:val="24"/>
          <w:szCs w:val="24"/>
        </w:rPr>
        <w:t xml:space="preserve">Działania mogą być realizowane na całym obszarze objętym programem i odnosić się do dowolnego rodzaju terytorium. W szczególności należy skoncentrować się jednak na terytoriach wykazujących braki w systemie innowacji. Będą one korzystać na wymianie z bardziej rozwiniętymi regionami i będą się od nich uczyć. Dzięki współpracy bardziej rozwinięte regiony (np. liderzy innowacji – regiony odnoszące duże sukcesy w danym sektorze) poprawią powiązania i będą wspierać rozszerzanie się innowacji na sąsiadujące obszary, w celu zwiększania konkurencyjności na rynku globalnym. Mimo że interesariusze systemów innowacji koncentrują się głównie na obszarach miejskich, należy także odnieść się do potrzeb obszarów wiejskich. </w:t>
      </w:r>
    </w:p>
    <w:p w14:paraId="3728C15C" w14:textId="588AB5D3" w:rsidR="00570B26" w:rsidRPr="00D80606" w:rsidRDefault="00567E3F" w:rsidP="00D80606">
      <w:pPr>
        <w:pBdr>
          <w:top w:val="single" w:sz="4" w:space="1" w:color="000000"/>
          <w:left w:val="single" w:sz="4" w:space="4" w:color="000000"/>
          <w:bottom w:val="single" w:sz="4" w:space="1" w:color="000000"/>
          <w:right w:val="single" w:sz="4" w:space="4" w:color="000000"/>
        </w:pBdr>
        <w:ind w:left="142"/>
        <w:jc w:val="left"/>
        <w:rPr>
          <w:rFonts w:asciiTheme="minorHAnsi" w:hAnsiTheme="minorHAnsi"/>
          <w:sz w:val="24"/>
          <w:szCs w:val="24"/>
        </w:rPr>
      </w:pPr>
      <w:r w:rsidRPr="00D80606">
        <w:rPr>
          <w:rFonts w:asciiTheme="minorHAnsi" w:hAnsiTheme="minorHAnsi"/>
          <w:sz w:val="24"/>
          <w:szCs w:val="24"/>
        </w:rPr>
        <w:t>Wszelkie możliwe działania muszą</w:t>
      </w:r>
      <w:r w:rsidR="00B30909">
        <w:rPr>
          <w:rFonts w:asciiTheme="minorHAnsi" w:hAnsiTheme="minorHAnsi"/>
          <w:sz w:val="24"/>
          <w:szCs w:val="24"/>
        </w:rPr>
        <w:t xml:space="preserve"> </w:t>
      </w:r>
      <w:r w:rsidR="00B30D7F" w:rsidRPr="00D80606">
        <w:rPr>
          <w:rFonts w:asciiTheme="minorHAnsi" w:hAnsiTheme="minorHAnsi"/>
          <w:sz w:val="24"/>
          <w:szCs w:val="24"/>
        </w:rPr>
        <w:t xml:space="preserve">brać pod uwagę </w:t>
      </w:r>
      <w:r w:rsidRPr="00D80606">
        <w:rPr>
          <w:rFonts w:asciiTheme="minorHAnsi" w:hAnsiTheme="minorHAnsi"/>
          <w:sz w:val="24"/>
          <w:szCs w:val="24"/>
        </w:rPr>
        <w:t>specyficzn</w:t>
      </w:r>
      <w:r w:rsidR="00B30D7F" w:rsidRPr="00D80606">
        <w:rPr>
          <w:rFonts w:asciiTheme="minorHAnsi" w:hAnsiTheme="minorHAnsi"/>
          <w:sz w:val="24"/>
          <w:szCs w:val="24"/>
        </w:rPr>
        <w:t>e</w:t>
      </w:r>
      <w:r w:rsidRPr="00D80606">
        <w:rPr>
          <w:rFonts w:asciiTheme="minorHAnsi" w:hAnsiTheme="minorHAnsi"/>
          <w:sz w:val="24"/>
          <w:szCs w:val="24"/>
        </w:rPr>
        <w:t xml:space="preserve"> warunk</w:t>
      </w:r>
      <w:r w:rsidR="00B30D7F" w:rsidRPr="00D80606">
        <w:rPr>
          <w:rFonts w:asciiTheme="minorHAnsi" w:hAnsiTheme="minorHAnsi"/>
          <w:sz w:val="24"/>
          <w:szCs w:val="24"/>
        </w:rPr>
        <w:t>i</w:t>
      </w:r>
      <w:r w:rsidRPr="00D80606">
        <w:rPr>
          <w:rFonts w:asciiTheme="minorHAnsi" w:hAnsiTheme="minorHAnsi"/>
          <w:sz w:val="24"/>
          <w:szCs w:val="24"/>
        </w:rPr>
        <w:t xml:space="preserve"> terytorialn</w:t>
      </w:r>
      <w:r w:rsidR="00B30D7F" w:rsidRPr="00D80606">
        <w:rPr>
          <w:rFonts w:asciiTheme="minorHAnsi" w:hAnsiTheme="minorHAnsi"/>
          <w:sz w:val="24"/>
          <w:szCs w:val="24"/>
        </w:rPr>
        <w:t>e</w:t>
      </w:r>
      <w:r w:rsidRPr="00D80606">
        <w:rPr>
          <w:rFonts w:asciiTheme="minorHAnsi" w:hAnsiTheme="minorHAnsi"/>
          <w:sz w:val="24"/>
          <w:szCs w:val="24"/>
        </w:rPr>
        <w:t xml:space="preserve"> na obszarach</w:t>
      </w:r>
      <w:r w:rsidR="00B30D7F" w:rsidRPr="00D80606">
        <w:rPr>
          <w:rFonts w:asciiTheme="minorHAnsi" w:hAnsiTheme="minorHAnsi"/>
          <w:sz w:val="24"/>
          <w:szCs w:val="24"/>
        </w:rPr>
        <w:t xml:space="preserve"> docelowych</w:t>
      </w:r>
      <w:r w:rsidR="008B2D8D" w:rsidRPr="00D80606">
        <w:rPr>
          <w:rFonts w:asciiTheme="minorHAnsi" w:hAnsiTheme="minorHAnsi"/>
          <w:sz w:val="24"/>
          <w:szCs w:val="24"/>
        </w:rPr>
        <w:t xml:space="preserve">, a w stosownych przypadkach, być spójne z odpowiednimi strategiami inteligentnej specjalizacji. </w:t>
      </w:r>
    </w:p>
    <w:p w14:paraId="318EBC4A" w14:textId="77777777" w:rsidR="001B3725" w:rsidRPr="00680741" w:rsidRDefault="001B3725" w:rsidP="008727F2">
      <w:pPr>
        <w:spacing w:before="240" w:after="240" w:line="240" w:lineRule="auto"/>
        <w:ind w:left="709" w:hanging="709"/>
        <w:rPr>
          <w:rFonts w:asciiTheme="minorHAnsi" w:hAnsiTheme="minorHAnsi"/>
          <w:b/>
          <w:sz w:val="24"/>
          <w:szCs w:val="24"/>
        </w:rPr>
      </w:pPr>
    </w:p>
    <w:p w14:paraId="4BDA42DE" w14:textId="77777777" w:rsidR="008727F2" w:rsidRPr="008727F2" w:rsidRDefault="008727F2" w:rsidP="008727F2">
      <w:pPr>
        <w:spacing w:before="240" w:after="240" w:line="240" w:lineRule="auto"/>
        <w:ind w:left="709" w:hanging="709"/>
        <w:rPr>
          <w:rFonts w:asciiTheme="minorHAnsi" w:hAnsiTheme="minorHAnsi"/>
          <w:b/>
          <w:sz w:val="24"/>
          <w:szCs w:val="24"/>
        </w:rPr>
      </w:pPr>
      <w:r>
        <w:rPr>
          <w:rFonts w:asciiTheme="minorHAnsi" w:hAnsiTheme="minorHAnsi"/>
          <w:b/>
          <w:sz w:val="24"/>
        </w:rPr>
        <w:t>2.1.1.5</w:t>
      </w:r>
      <w:r>
        <w:rPr>
          <w:rFonts w:asciiTheme="minorHAnsi" w:hAnsiTheme="minorHAnsi"/>
          <w:b/>
          <w:sz w:val="24"/>
        </w:rPr>
        <w:tab/>
        <w:t>Planowane wykorzystanie instrumentów finansowych</w:t>
      </w:r>
    </w:p>
    <w:p w14:paraId="0F440C47" w14:textId="77777777" w:rsidR="008727F2" w:rsidRPr="00D80606" w:rsidRDefault="008727F2" w:rsidP="00570B26">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v</w:t>
      </w:r>
    </w:p>
    <w:p w14:paraId="4097BA2A" w14:textId="77777777" w:rsidR="001B3725" w:rsidRPr="00D80606" w:rsidRDefault="001B3725" w:rsidP="00570B26">
      <w:pPr>
        <w:spacing w:before="240" w:after="240" w:line="240" w:lineRule="auto"/>
        <w:ind w:left="0"/>
        <w:rPr>
          <w:rFonts w:asciiTheme="minorHAnsi" w:hAnsiTheme="minorHAnsi"/>
          <w:color w:val="000000"/>
          <w:szCs w:val="24"/>
        </w:rPr>
      </w:pPr>
      <w:r w:rsidRPr="00D80606">
        <w:rPr>
          <w:rFonts w:asciiTheme="minorHAnsi" w:hAnsiTheme="minorHAnsi"/>
          <w:color w:val="000000"/>
        </w:rPr>
        <w:t>Pole tekstowe [7000]</w:t>
      </w:r>
    </w:p>
    <w:p w14:paraId="17CDA3D8" w14:textId="77777777" w:rsidR="00570B26" w:rsidRPr="00D80606" w:rsidRDefault="00F63FEA" w:rsidP="00D80606">
      <w:pPr>
        <w:pBdr>
          <w:top w:val="single" w:sz="4" w:space="1" w:color="000000"/>
          <w:left w:val="single" w:sz="4" w:space="4" w:color="000000"/>
          <w:bottom w:val="single" w:sz="4" w:space="1" w:color="000000"/>
          <w:right w:val="single" w:sz="4" w:space="4" w:color="000000"/>
        </w:pBdr>
        <w:ind w:left="142"/>
        <w:jc w:val="left"/>
        <w:rPr>
          <w:rFonts w:asciiTheme="minorHAnsi" w:hAnsiTheme="minorHAnsi"/>
          <w:sz w:val="24"/>
          <w:szCs w:val="24"/>
        </w:rPr>
      </w:pPr>
      <w:r w:rsidRPr="00D80606">
        <w:rPr>
          <w:rFonts w:asciiTheme="minorHAnsi" w:hAnsiTheme="minorHAnsi"/>
          <w:sz w:val="24"/>
          <w:szCs w:val="24"/>
        </w:rPr>
        <w:t>Nie dotyczy.</w:t>
      </w:r>
    </w:p>
    <w:p w14:paraId="47134CFE" w14:textId="77777777" w:rsidR="00570B26" w:rsidRPr="00680741" w:rsidRDefault="00570B26" w:rsidP="008727F2">
      <w:pPr>
        <w:spacing w:before="240" w:after="240" w:line="240" w:lineRule="auto"/>
        <w:ind w:left="709" w:hanging="709"/>
        <w:rPr>
          <w:rFonts w:asciiTheme="minorHAnsi" w:hAnsiTheme="minorHAnsi"/>
          <w:b/>
          <w:sz w:val="24"/>
          <w:szCs w:val="24"/>
        </w:rPr>
      </w:pPr>
    </w:p>
    <w:p w14:paraId="4A7D769A" w14:textId="77777777" w:rsidR="008727F2" w:rsidRPr="008727F2" w:rsidRDefault="008727F2" w:rsidP="008727F2">
      <w:pPr>
        <w:spacing w:before="240" w:after="240" w:line="240" w:lineRule="auto"/>
        <w:ind w:left="709" w:hanging="709"/>
        <w:rPr>
          <w:rFonts w:asciiTheme="minorHAnsi" w:hAnsiTheme="minorHAnsi"/>
          <w:b/>
          <w:sz w:val="24"/>
          <w:szCs w:val="24"/>
        </w:rPr>
      </w:pPr>
      <w:r>
        <w:rPr>
          <w:rFonts w:asciiTheme="minorHAnsi" w:hAnsiTheme="minorHAnsi"/>
          <w:b/>
          <w:sz w:val="24"/>
        </w:rPr>
        <w:t>2.1.1.6</w:t>
      </w:r>
      <w:r>
        <w:rPr>
          <w:rFonts w:asciiTheme="minorHAnsi" w:hAnsiTheme="minorHAnsi"/>
          <w:b/>
          <w:sz w:val="24"/>
        </w:rPr>
        <w:tab/>
        <w:t>Orientacyjny podział zasobów programu UE według rodzaju interwencji</w:t>
      </w:r>
    </w:p>
    <w:p w14:paraId="4A3BD2FA" w14:textId="5C75ED3A" w:rsidR="008727F2" w:rsidRPr="00D80606" w:rsidRDefault="008727F2" w:rsidP="00570B26">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vi, art. 17 ust. 9 lit. c punkt v</w:t>
      </w:r>
    </w:p>
    <w:p w14:paraId="331AA2B6" w14:textId="77777777" w:rsidR="00277B6A" w:rsidRPr="0063232B" w:rsidRDefault="00277B6A" w:rsidP="00570B26">
      <w:pPr>
        <w:spacing w:before="240" w:after="240" w:line="240" w:lineRule="auto"/>
        <w:ind w:left="0"/>
        <w:rPr>
          <w:rFonts w:asciiTheme="minorHAnsi" w:hAnsiTheme="minorHAnsi"/>
          <w:i/>
          <w:color w:val="000000"/>
          <w:szCs w:val="24"/>
          <w:lang w:val="fr-FR"/>
        </w:rPr>
      </w:pPr>
    </w:p>
    <w:p w14:paraId="7419A346" w14:textId="77777777" w:rsidR="008727F2" w:rsidRPr="009A0D85" w:rsidRDefault="008727F2" w:rsidP="00570B26">
      <w:pPr>
        <w:spacing w:before="240" w:after="240" w:line="240" w:lineRule="auto"/>
        <w:ind w:left="0"/>
        <w:rPr>
          <w:rFonts w:asciiTheme="minorHAnsi" w:hAnsiTheme="minorHAnsi"/>
          <w:szCs w:val="24"/>
        </w:rPr>
      </w:pPr>
      <w:r>
        <w:rPr>
          <w:rFonts w:asciiTheme="minorHAnsi" w:hAnsiTheme="minorHAnsi"/>
        </w:rPr>
        <w:t>Tabela 4: Wymiar 1 – obszar interwencji</w:t>
      </w:r>
    </w:p>
    <w:tbl>
      <w:tblPr>
        <w:tblStyle w:val="16"/>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724"/>
        <w:gridCol w:w="1405"/>
        <w:gridCol w:w="2309"/>
        <w:gridCol w:w="1209"/>
        <w:gridCol w:w="2975"/>
      </w:tblGrid>
      <w:tr w:rsidR="00D216D0" w:rsidRPr="008727F2" w14:paraId="26BF7BC1" w14:textId="77777777" w:rsidTr="00094C50">
        <w:trPr>
          <w:tblHeader/>
        </w:trPr>
        <w:tc>
          <w:tcPr>
            <w:tcW w:w="896" w:type="pct"/>
          </w:tcPr>
          <w:p w14:paraId="1699A832" w14:textId="77777777" w:rsidR="008727F2" w:rsidRPr="00570B26" w:rsidRDefault="008727F2" w:rsidP="00570B26">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Priorytet nr</w:t>
            </w:r>
          </w:p>
        </w:tc>
        <w:tc>
          <w:tcPr>
            <w:tcW w:w="730" w:type="pct"/>
          </w:tcPr>
          <w:p w14:paraId="1FD65212" w14:textId="77777777" w:rsidR="008727F2" w:rsidRPr="00570B26" w:rsidRDefault="008727F2" w:rsidP="00570B26">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w:t>
            </w:r>
          </w:p>
        </w:tc>
        <w:tc>
          <w:tcPr>
            <w:tcW w:w="1200" w:type="pct"/>
          </w:tcPr>
          <w:p w14:paraId="7C173016" w14:textId="77777777" w:rsidR="008727F2" w:rsidRPr="00570B26" w:rsidRDefault="008727F2" w:rsidP="00570B26">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Cel szczegółowy</w:t>
            </w:r>
          </w:p>
        </w:tc>
        <w:tc>
          <w:tcPr>
            <w:tcW w:w="628" w:type="pct"/>
          </w:tcPr>
          <w:p w14:paraId="209CBAFF" w14:textId="77777777" w:rsidR="008727F2" w:rsidRPr="00570B26" w:rsidRDefault="008727F2" w:rsidP="00570B26">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Kod </w:t>
            </w:r>
          </w:p>
        </w:tc>
        <w:tc>
          <w:tcPr>
            <w:tcW w:w="1546" w:type="pct"/>
          </w:tcPr>
          <w:p w14:paraId="37BE9DFB" w14:textId="77777777" w:rsidR="008727F2" w:rsidRPr="00570B26" w:rsidRDefault="008727F2" w:rsidP="00570B26">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Kwota (EUR)</w:t>
            </w:r>
          </w:p>
        </w:tc>
      </w:tr>
      <w:tr w:rsidR="00D216D0" w:rsidRPr="00875F09" w14:paraId="700AA006" w14:textId="77777777" w:rsidTr="00094C50">
        <w:tc>
          <w:tcPr>
            <w:tcW w:w="896" w:type="pct"/>
          </w:tcPr>
          <w:p w14:paraId="1AFB5F3A" w14:textId="77777777" w:rsidR="00211995" w:rsidRPr="00875F09" w:rsidRDefault="00211995" w:rsidP="00211995">
            <w:pPr>
              <w:spacing w:after="120" w:line="240" w:lineRule="auto"/>
              <w:ind w:left="0" w:right="0"/>
              <w:rPr>
                <w:rFonts w:asciiTheme="minorHAnsi" w:eastAsia="Times New Roman" w:hAnsiTheme="minorHAnsi" w:cs="Times New Roman"/>
                <w:b/>
                <w:color w:val="000000"/>
                <w:sz w:val="20"/>
                <w:szCs w:val="16"/>
              </w:rPr>
            </w:pPr>
            <w:r>
              <w:rPr>
                <w:rFonts w:asciiTheme="minorHAnsi" w:hAnsiTheme="minorHAnsi"/>
                <w:b/>
                <w:color w:val="000000"/>
                <w:sz w:val="20"/>
              </w:rPr>
              <w:t>1</w:t>
            </w:r>
          </w:p>
        </w:tc>
        <w:tc>
          <w:tcPr>
            <w:tcW w:w="730" w:type="pct"/>
          </w:tcPr>
          <w:p w14:paraId="3880EBD1" w14:textId="77777777" w:rsidR="00211995" w:rsidRPr="00875F09" w:rsidRDefault="00211995" w:rsidP="00211995">
            <w:pPr>
              <w:spacing w:after="120" w:line="240" w:lineRule="auto"/>
              <w:ind w:left="0" w:right="0"/>
              <w:rPr>
                <w:rFonts w:asciiTheme="minorHAnsi" w:eastAsia="Times New Roman" w:hAnsiTheme="minorHAnsi" w:cs="Times New Roman"/>
                <w:b/>
                <w:color w:val="000000"/>
                <w:sz w:val="20"/>
                <w:szCs w:val="16"/>
              </w:rPr>
            </w:pPr>
            <w:r>
              <w:rPr>
                <w:rFonts w:asciiTheme="minorHAnsi" w:hAnsiTheme="minorHAnsi"/>
                <w:b/>
                <w:color w:val="000000"/>
                <w:sz w:val="20"/>
              </w:rPr>
              <w:t>EFRR</w:t>
            </w:r>
          </w:p>
        </w:tc>
        <w:tc>
          <w:tcPr>
            <w:tcW w:w="1200" w:type="pct"/>
          </w:tcPr>
          <w:p w14:paraId="44E39029" w14:textId="77777777" w:rsidR="00211995" w:rsidRPr="00875F09" w:rsidRDefault="00211995" w:rsidP="00211995">
            <w:pPr>
              <w:spacing w:after="120" w:line="240" w:lineRule="auto"/>
              <w:ind w:left="0" w:right="0"/>
              <w:rPr>
                <w:rFonts w:asciiTheme="minorHAnsi" w:eastAsia="Times New Roman" w:hAnsiTheme="minorHAnsi" w:cs="Times New Roman"/>
                <w:b/>
                <w:color w:val="000000"/>
                <w:sz w:val="20"/>
                <w:szCs w:val="16"/>
              </w:rPr>
            </w:pPr>
            <w:r>
              <w:rPr>
                <w:rFonts w:asciiTheme="minorHAnsi" w:hAnsiTheme="minorHAnsi"/>
                <w:b/>
                <w:color w:val="000000"/>
                <w:sz w:val="20"/>
              </w:rPr>
              <w:t>CS 1.1</w:t>
            </w:r>
          </w:p>
        </w:tc>
        <w:tc>
          <w:tcPr>
            <w:tcW w:w="628" w:type="pct"/>
            <w:vAlign w:val="bottom"/>
          </w:tcPr>
          <w:p w14:paraId="691E4990" w14:textId="13CA86F9" w:rsidR="00211995" w:rsidRPr="00DF516E" w:rsidRDefault="00211995" w:rsidP="00DF516E">
            <w:pPr>
              <w:spacing w:after="120" w:line="240" w:lineRule="auto"/>
              <w:ind w:left="0" w:right="0"/>
              <w:jc w:val="center"/>
              <w:rPr>
                <w:rFonts w:asciiTheme="minorHAnsi" w:eastAsia="Times New Roman" w:hAnsiTheme="minorHAnsi" w:cs="Times New Roman"/>
                <w:b/>
                <w:color w:val="000000"/>
                <w:sz w:val="20"/>
                <w:szCs w:val="16"/>
              </w:rPr>
            </w:pPr>
            <w:r>
              <w:rPr>
                <w:rFonts w:asciiTheme="minorHAnsi" w:hAnsiTheme="minorHAnsi"/>
                <w:color w:val="000000"/>
                <w:sz w:val="20"/>
              </w:rPr>
              <w:t>8</w:t>
            </w:r>
          </w:p>
        </w:tc>
        <w:tc>
          <w:tcPr>
            <w:tcW w:w="1546" w:type="pct"/>
          </w:tcPr>
          <w:p w14:paraId="49F8FCE4" w14:textId="77777777" w:rsidR="00211995" w:rsidRPr="00875F09" w:rsidRDefault="00211995" w:rsidP="00211995">
            <w:pPr>
              <w:spacing w:after="120" w:line="240" w:lineRule="auto"/>
              <w:ind w:left="0" w:right="0"/>
              <w:rPr>
                <w:rFonts w:asciiTheme="minorHAnsi" w:eastAsia="Times New Roman" w:hAnsiTheme="minorHAnsi" w:cs="Times New Roman"/>
                <w:b/>
                <w:color w:val="000000"/>
                <w:sz w:val="20"/>
                <w:szCs w:val="16"/>
              </w:rPr>
            </w:pPr>
          </w:p>
        </w:tc>
      </w:tr>
      <w:tr w:rsidR="00D216D0" w:rsidRPr="00875F09" w14:paraId="3074E092" w14:textId="77777777" w:rsidTr="00094C50">
        <w:tc>
          <w:tcPr>
            <w:tcW w:w="896" w:type="pct"/>
          </w:tcPr>
          <w:p w14:paraId="171704E7" w14:textId="41BC0FCD"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1</w:t>
            </w:r>
          </w:p>
        </w:tc>
        <w:tc>
          <w:tcPr>
            <w:tcW w:w="730" w:type="pct"/>
          </w:tcPr>
          <w:p w14:paraId="6923CB29" w14:textId="66B6F44D"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EFRR</w:t>
            </w:r>
          </w:p>
        </w:tc>
        <w:tc>
          <w:tcPr>
            <w:tcW w:w="1200" w:type="pct"/>
          </w:tcPr>
          <w:p w14:paraId="1D35DB68" w14:textId="13C71D18"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Cel szczegółowy 1.1</w:t>
            </w:r>
          </w:p>
        </w:tc>
        <w:tc>
          <w:tcPr>
            <w:tcW w:w="628" w:type="pct"/>
            <w:vAlign w:val="bottom"/>
          </w:tcPr>
          <w:p w14:paraId="362EF3C2" w14:textId="5BA8B65A" w:rsidR="0053259E" w:rsidRPr="00DF516E" w:rsidRDefault="0053259E" w:rsidP="00DF516E">
            <w:pPr>
              <w:spacing w:after="120" w:line="240" w:lineRule="auto"/>
              <w:ind w:left="0" w:right="0"/>
              <w:jc w:val="center"/>
              <w:rPr>
                <w:rFonts w:asciiTheme="minorHAnsi" w:hAnsiTheme="minorHAnsi"/>
                <w:b/>
                <w:color w:val="000000"/>
                <w:sz w:val="20"/>
                <w:szCs w:val="16"/>
              </w:rPr>
            </w:pPr>
            <w:r>
              <w:rPr>
                <w:rFonts w:asciiTheme="minorHAnsi" w:hAnsiTheme="minorHAnsi"/>
                <w:color w:val="000000"/>
                <w:sz w:val="20"/>
              </w:rPr>
              <w:t>9</w:t>
            </w:r>
          </w:p>
        </w:tc>
        <w:tc>
          <w:tcPr>
            <w:tcW w:w="1546" w:type="pct"/>
          </w:tcPr>
          <w:p w14:paraId="424A1E30" w14:textId="77777777" w:rsidR="0053259E" w:rsidRPr="00875F09" w:rsidRDefault="0053259E" w:rsidP="0053259E">
            <w:pPr>
              <w:spacing w:after="120" w:line="240" w:lineRule="auto"/>
              <w:ind w:left="0" w:right="0"/>
              <w:rPr>
                <w:rFonts w:asciiTheme="minorHAnsi" w:hAnsiTheme="minorHAnsi"/>
                <w:b/>
                <w:color w:val="000000"/>
                <w:szCs w:val="16"/>
              </w:rPr>
            </w:pPr>
          </w:p>
        </w:tc>
      </w:tr>
      <w:tr w:rsidR="00D216D0" w:rsidRPr="00875F09" w14:paraId="7AF324DD" w14:textId="77777777" w:rsidTr="00094C50">
        <w:tc>
          <w:tcPr>
            <w:tcW w:w="896" w:type="pct"/>
          </w:tcPr>
          <w:p w14:paraId="04E258E6" w14:textId="58B3E381"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1</w:t>
            </w:r>
          </w:p>
        </w:tc>
        <w:tc>
          <w:tcPr>
            <w:tcW w:w="730" w:type="pct"/>
          </w:tcPr>
          <w:p w14:paraId="7A7924D3" w14:textId="082BB823"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EFRR</w:t>
            </w:r>
          </w:p>
        </w:tc>
        <w:tc>
          <w:tcPr>
            <w:tcW w:w="1200" w:type="pct"/>
          </w:tcPr>
          <w:p w14:paraId="1486B87A" w14:textId="1043DC40"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Cel szczegółowy 1.1</w:t>
            </w:r>
          </w:p>
        </w:tc>
        <w:tc>
          <w:tcPr>
            <w:tcW w:w="628" w:type="pct"/>
            <w:vAlign w:val="bottom"/>
          </w:tcPr>
          <w:p w14:paraId="0F5FE3AF" w14:textId="726887DD" w:rsidR="0053259E" w:rsidRPr="00DF516E" w:rsidRDefault="0053259E" w:rsidP="00DF516E">
            <w:pPr>
              <w:spacing w:after="120" w:line="240" w:lineRule="auto"/>
              <w:ind w:left="0" w:right="0"/>
              <w:jc w:val="center"/>
              <w:rPr>
                <w:rFonts w:asciiTheme="minorHAnsi" w:hAnsiTheme="minorHAnsi"/>
                <w:b/>
                <w:color w:val="000000"/>
                <w:sz w:val="20"/>
                <w:szCs w:val="16"/>
              </w:rPr>
            </w:pPr>
            <w:r>
              <w:rPr>
                <w:rFonts w:asciiTheme="minorHAnsi" w:hAnsiTheme="minorHAnsi"/>
                <w:color w:val="000000"/>
                <w:sz w:val="20"/>
              </w:rPr>
              <w:t>10</w:t>
            </w:r>
          </w:p>
        </w:tc>
        <w:tc>
          <w:tcPr>
            <w:tcW w:w="1546" w:type="pct"/>
          </w:tcPr>
          <w:p w14:paraId="6CAE6F5D" w14:textId="77777777" w:rsidR="0053259E" w:rsidRPr="00875F09" w:rsidRDefault="0053259E" w:rsidP="0053259E">
            <w:pPr>
              <w:spacing w:after="120" w:line="240" w:lineRule="auto"/>
              <w:ind w:left="0" w:right="0"/>
              <w:rPr>
                <w:rFonts w:asciiTheme="minorHAnsi" w:hAnsiTheme="minorHAnsi"/>
                <w:b/>
                <w:color w:val="000000"/>
                <w:szCs w:val="16"/>
              </w:rPr>
            </w:pPr>
          </w:p>
        </w:tc>
      </w:tr>
      <w:tr w:rsidR="00D216D0" w:rsidRPr="00875F09" w14:paraId="6686FDC6" w14:textId="77777777" w:rsidTr="00094C50">
        <w:tc>
          <w:tcPr>
            <w:tcW w:w="896" w:type="pct"/>
          </w:tcPr>
          <w:p w14:paraId="7BC4B790" w14:textId="16654C4F"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lastRenderedPageBreak/>
              <w:t>1</w:t>
            </w:r>
          </w:p>
        </w:tc>
        <w:tc>
          <w:tcPr>
            <w:tcW w:w="730" w:type="pct"/>
          </w:tcPr>
          <w:p w14:paraId="44C31CC7" w14:textId="472D29FF"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EFRR</w:t>
            </w:r>
          </w:p>
        </w:tc>
        <w:tc>
          <w:tcPr>
            <w:tcW w:w="1200" w:type="pct"/>
          </w:tcPr>
          <w:p w14:paraId="0C33D5BD" w14:textId="2AB0F76D"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Cel szczegółowy 1.1</w:t>
            </w:r>
          </w:p>
        </w:tc>
        <w:tc>
          <w:tcPr>
            <w:tcW w:w="628" w:type="pct"/>
            <w:vAlign w:val="bottom"/>
          </w:tcPr>
          <w:p w14:paraId="3B9B662A" w14:textId="2F311C14" w:rsidR="0053259E" w:rsidRPr="00DF516E" w:rsidRDefault="0053259E" w:rsidP="00DF516E">
            <w:pPr>
              <w:spacing w:after="120" w:line="240" w:lineRule="auto"/>
              <w:ind w:left="0" w:right="0"/>
              <w:jc w:val="center"/>
              <w:rPr>
                <w:rFonts w:asciiTheme="minorHAnsi" w:hAnsiTheme="minorHAnsi"/>
                <w:b/>
                <w:color w:val="000000"/>
                <w:sz w:val="20"/>
                <w:szCs w:val="16"/>
              </w:rPr>
            </w:pPr>
            <w:r>
              <w:rPr>
                <w:rFonts w:asciiTheme="minorHAnsi" w:hAnsiTheme="minorHAnsi"/>
                <w:color w:val="000000"/>
                <w:sz w:val="20"/>
              </w:rPr>
              <w:t>13</w:t>
            </w:r>
          </w:p>
        </w:tc>
        <w:tc>
          <w:tcPr>
            <w:tcW w:w="1546" w:type="pct"/>
          </w:tcPr>
          <w:p w14:paraId="53AB1D11" w14:textId="77777777" w:rsidR="0053259E" w:rsidRPr="00875F09" w:rsidRDefault="0053259E" w:rsidP="0053259E">
            <w:pPr>
              <w:spacing w:after="120" w:line="240" w:lineRule="auto"/>
              <w:ind w:left="0" w:right="0"/>
              <w:rPr>
                <w:rFonts w:asciiTheme="minorHAnsi" w:hAnsiTheme="minorHAnsi"/>
                <w:b/>
                <w:color w:val="000000"/>
                <w:szCs w:val="16"/>
              </w:rPr>
            </w:pPr>
          </w:p>
        </w:tc>
      </w:tr>
      <w:tr w:rsidR="00D216D0" w:rsidRPr="00875F09" w14:paraId="27BEA339" w14:textId="77777777" w:rsidTr="00094C50">
        <w:tc>
          <w:tcPr>
            <w:tcW w:w="896" w:type="pct"/>
          </w:tcPr>
          <w:p w14:paraId="1CA9A5C6" w14:textId="6210D7A1"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1</w:t>
            </w:r>
          </w:p>
        </w:tc>
        <w:tc>
          <w:tcPr>
            <w:tcW w:w="730" w:type="pct"/>
          </w:tcPr>
          <w:p w14:paraId="33495534" w14:textId="3B2D1CD2"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EFRR</w:t>
            </w:r>
          </w:p>
        </w:tc>
        <w:tc>
          <w:tcPr>
            <w:tcW w:w="1200" w:type="pct"/>
          </w:tcPr>
          <w:p w14:paraId="1F566F2E" w14:textId="4CB77C41"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Cel szczegółowy 1.1</w:t>
            </w:r>
          </w:p>
        </w:tc>
        <w:tc>
          <w:tcPr>
            <w:tcW w:w="628" w:type="pct"/>
            <w:vAlign w:val="bottom"/>
          </w:tcPr>
          <w:p w14:paraId="51F3EF88" w14:textId="0A0EE93C" w:rsidR="0053259E" w:rsidRPr="00DF516E" w:rsidRDefault="0053259E" w:rsidP="00DF516E">
            <w:pPr>
              <w:spacing w:after="120" w:line="240" w:lineRule="auto"/>
              <w:ind w:left="0" w:right="0"/>
              <w:jc w:val="center"/>
              <w:rPr>
                <w:rFonts w:asciiTheme="minorHAnsi" w:hAnsiTheme="minorHAnsi"/>
                <w:b/>
                <w:color w:val="000000"/>
                <w:sz w:val="20"/>
                <w:szCs w:val="16"/>
              </w:rPr>
            </w:pPr>
            <w:r>
              <w:rPr>
                <w:rFonts w:asciiTheme="minorHAnsi" w:hAnsiTheme="minorHAnsi"/>
                <w:color w:val="000000"/>
                <w:sz w:val="20"/>
              </w:rPr>
              <w:t>15</w:t>
            </w:r>
          </w:p>
        </w:tc>
        <w:tc>
          <w:tcPr>
            <w:tcW w:w="1546" w:type="pct"/>
          </w:tcPr>
          <w:p w14:paraId="16391A9C" w14:textId="77777777" w:rsidR="0053259E" w:rsidRPr="00875F09" w:rsidRDefault="0053259E" w:rsidP="0053259E">
            <w:pPr>
              <w:spacing w:after="120" w:line="240" w:lineRule="auto"/>
              <w:ind w:left="0" w:right="0"/>
              <w:rPr>
                <w:rFonts w:asciiTheme="minorHAnsi" w:hAnsiTheme="minorHAnsi"/>
                <w:b/>
                <w:color w:val="000000"/>
                <w:szCs w:val="16"/>
              </w:rPr>
            </w:pPr>
          </w:p>
        </w:tc>
      </w:tr>
      <w:tr w:rsidR="00D216D0" w:rsidRPr="00875F09" w14:paraId="2F94626C" w14:textId="77777777" w:rsidTr="00094C50">
        <w:tc>
          <w:tcPr>
            <w:tcW w:w="896" w:type="pct"/>
          </w:tcPr>
          <w:p w14:paraId="6D18F1F9" w14:textId="3626ACE5"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1</w:t>
            </w:r>
          </w:p>
        </w:tc>
        <w:tc>
          <w:tcPr>
            <w:tcW w:w="730" w:type="pct"/>
          </w:tcPr>
          <w:p w14:paraId="7107CD19" w14:textId="04C39A85"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EFRR</w:t>
            </w:r>
          </w:p>
        </w:tc>
        <w:tc>
          <w:tcPr>
            <w:tcW w:w="1200" w:type="pct"/>
          </w:tcPr>
          <w:p w14:paraId="53542ACC" w14:textId="5F0BA52D"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Cel szczegółowy 1.1</w:t>
            </w:r>
          </w:p>
        </w:tc>
        <w:tc>
          <w:tcPr>
            <w:tcW w:w="628" w:type="pct"/>
            <w:vAlign w:val="bottom"/>
          </w:tcPr>
          <w:p w14:paraId="5EFAB18B" w14:textId="79165E96" w:rsidR="0053259E" w:rsidRPr="00DF516E" w:rsidRDefault="0053259E" w:rsidP="00DF516E">
            <w:pPr>
              <w:spacing w:after="120" w:line="240" w:lineRule="auto"/>
              <w:ind w:left="0" w:right="0"/>
              <w:jc w:val="center"/>
              <w:rPr>
                <w:rFonts w:asciiTheme="minorHAnsi" w:hAnsiTheme="minorHAnsi"/>
                <w:b/>
                <w:color w:val="000000"/>
                <w:sz w:val="20"/>
                <w:szCs w:val="16"/>
              </w:rPr>
            </w:pPr>
            <w:r>
              <w:rPr>
                <w:rFonts w:asciiTheme="minorHAnsi" w:hAnsiTheme="minorHAnsi"/>
                <w:color w:val="000000"/>
                <w:sz w:val="20"/>
              </w:rPr>
              <w:t>17</w:t>
            </w:r>
          </w:p>
        </w:tc>
        <w:tc>
          <w:tcPr>
            <w:tcW w:w="1546" w:type="pct"/>
          </w:tcPr>
          <w:p w14:paraId="527A0EBE" w14:textId="77777777" w:rsidR="0053259E" w:rsidRPr="00875F09" w:rsidRDefault="0053259E" w:rsidP="0053259E">
            <w:pPr>
              <w:spacing w:after="120" w:line="240" w:lineRule="auto"/>
              <w:ind w:left="0" w:right="0"/>
              <w:rPr>
                <w:rFonts w:asciiTheme="minorHAnsi" w:hAnsiTheme="minorHAnsi"/>
                <w:b/>
                <w:color w:val="000000"/>
                <w:szCs w:val="16"/>
              </w:rPr>
            </w:pPr>
          </w:p>
        </w:tc>
      </w:tr>
      <w:tr w:rsidR="00D216D0" w:rsidRPr="00875F09" w14:paraId="361EF35F" w14:textId="77777777" w:rsidTr="00094C50">
        <w:tc>
          <w:tcPr>
            <w:tcW w:w="896" w:type="pct"/>
          </w:tcPr>
          <w:p w14:paraId="70567E87" w14:textId="5CCC866A"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1</w:t>
            </w:r>
          </w:p>
        </w:tc>
        <w:tc>
          <w:tcPr>
            <w:tcW w:w="730" w:type="pct"/>
          </w:tcPr>
          <w:p w14:paraId="4140F136" w14:textId="2D4D6CE5"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EFRR</w:t>
            </w:r>
          </w:p>
        </w:tc>
        <w:tc>
          <w:tcPr>
            <w:tcW w:w="1200" w:type="pct"/>
          </w:tcPr>
          <w:p w14:paraId="73727B4E" w14:textId="0E57659C"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Cel szczegółowy 1.1</w:t>
            </w:r>
          </w:p>
        </w:tc>
        <w:tc>
          <w:tcPr>
            <w:tcW w:w="628" w:type="pct"/>
            <w:vAlign w:val="bottom"/>
          </w:tcPr>
          <w:p w14:paraId="09F1659C" w14:textId="6A379EBE" w:rsidR="0053259E" w:rsidRPr="00DF516E" w:rsidRDefault="0053259E" w:rsidP="00DF516E">
            <w:pPr>
              <w:spacing w:after="120" w:line="240" w:lineRule="auto"/>
              <w:ind w:left="0" w:right="0"/>
              <w:jc w:val="center"/>
              <w:rPr>
                <w:rFonts w:asciiTheme="minorHAnsi" w:hAnsiTheme="minorHAnsi"/>
                <w:b/>
                <w:color w:val="000000"/>
                <w:sz w:val="20"/>
                <w:szCs w:val="16"/>
              </w:rPr>
            </w:pPr>
            <w:r>
              <w:rPr>
                <w:rFonts w:asciiTheme="minorHAnsi" w:hAnsiTheme="minorHAnsi"/>
                <w:color w:val="000000"/>
                <w:sz w:val="20"/>
              </w:rPr>
              <w:t>18</w:t>
            </w:r>
          </w:p>
        </w:tc>
        <w:tc>
          <w:tcPr>
            <w:tcW w:w="1546" w:type="pct"/>
          </w:tcPr>
          <w:p w14:paraId="0CD3D855" w14:textId="77777777" w:rsidR="0053259E" w:rsidRPr="00875F09" w:rsidRDefault="0053259E" w:rsidP="0053259E">
            <w:pPr>
              <w:spacing w:after="120" w:line="240" w:lineRule="auto"/>
              <w:ind w:left="0" w:right="0"/>
              <w:rPr>
                <w:rFonts w:asciiTheme="minorHAnsi" w:hAnsiTheme="minorHAnsi"/>
                <w:b/>
                <w:color w:val="000000"/>
                <w:szCs w:val="16"/>
              </w:rPr>
            </w:pPr>
          </w:p>
        </w:tc>
      </w:tr>
      <w:tr w:rsidR="00D216D0" w:rsidRPr="00875F09" w14:paraId="1DE1F48C" w14:textId="77777777" w:rsidTr="00094C50">
        <w:tc>
          <w:tcPr>
            <w:tcW w:w="896" w:type="pct"/>
          </w:tcPr>
          <w:p w14:paraId="5D897D9A" w14:textId="49E1D209"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1</w:t>
            </w:r>
          </w:p>
        </w:tc>
        <w:tc>
          <w:tcPr>
            <w:tcW w:w="730" w:type="pct"/>
          </w:tcPr>
          <w:p w14:paraId="7EA46697" w14:textId="77437E3B"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EFRR</w:t>
            </w:r>
          </w:p>
        </w:tc>
        <w:tc>
          <w:tcPr>
            <w:tcW w:w="1200" w:type="pct"/>
          </w:tcPr>
          <w:p w14:paraId="0400B368" w14:textId="734E8AE7"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Cel szczegółowy 1.1</w:t>
            </w:r>
          </w:p>
        </w:tc>
        <w:tc>
          <w:tcPr>
            <w:tcW w:w="628" w:type="pct"/>
            <w:vAlign w:val="bottom"/>
          </w:tcPr>
          <w:p w14:paraId="29EF5CB2" w14:textId="72D1E1C5" w:rsidR="0053259E" w:rsidRPr="00DF516E" w:rsidRDefault="0053259E" w:rsidP="00DF516E">
            <w:pPr>
              <w:spacing w:after="120" w:line="240" w:lineRule="auto"/>
              <w:ind w:left="0" w:right="0"/>
              <w:jc w:val="center"/>
              <w:rPr>
                <w:rFonts w:asciiTheme="minorHAnsi" w:hAnsiTheme="minorHAnsi"/>
                <w:b/>
                <w:color w:val="000000"/>
                <w:sz w:val="20"/>
                <w:szCs w:val="16"/>
              </w:rPr>
            </w:pPr>
            <w:r>
              <w:rPr>
                <w:rFonts w:asciiTheme="minorHAnsi" w:hAnsiTheme="minorHAnsi"/>
                <w:color w:val="000000"/>
                <w:sz w:val="20"/>
              </w:rPr>
              <w:t>19</w:t>
            </w:r>
          </w:p>
        </w:tc>
        <w:tc>
          <w:tcPr>
            <w:tcW w:w="1546" w:type="pct"/>
          </w:tcPr>
          <w:p w14:paraId="5EC3F02E" w14:textId="77777777" w:rsidR="0053259E" w:rsidRPr="00875F09" w:rsidRDefault="0053259E" w:rsidP="0053259E">
            <w:pPr>
              <w:spacing w:after="120" w:line="240" w:lineRule="auto"/>
              <w:ind w:left="0" w:right="0"/>
              <w:rPr>
                <w:rFonts w:asciiTheme="minorHAnsi" w:hAnsiTheme="minorHAnsi"/>
                <w:b/>
                <w:color w:val="000000"/>
                <w:szCs w:val="16"/>
              </w:rPr>
            </w:pPr>
          </w:p>
        </w:tc>
      </w:tr>
      <w:tr w:rsidR="00D216D0" w:rsidRPr="00875F09" w14:paraId="091429D0" w14:textId="77777777" w:rsidTr="00094C50">
        <w:tc>
          <w:tcPr>
            <w:tcW w:w="896" w:type="pct"/>
          </w:tcPr>
          <w:p w14:paraId="0036E354" w14:textId="2733A84C"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1</w:t>
            </w:r>
          </w:p>
        </w:tc>
        <w:tc>
          <w:tcPr>
            <w:tcW w:w="730" w:type="pct"/>
          </w:tcPr>
          <w:p w14:paraId="54BBC124" w14:textId="03CC2023"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EFRR</w:t>
            </w:r>
          </w:p>
        </w:tc>
        <w:tc>
          <w:tcPr>
            <w:tcW w:w="1200" w:type="pct"/>
          </w:tcPr>
          <w:p w14:paraId="41ED61B0" w14:textId="48F99EDA"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Cel szczegółowy 1.1</w:t>
            </w:r>
          </w:p>
        </w:tc>
        <w:tc>
          <w:tcPr>
            <w:tcW w:w="628" w:type="pct"/>
            <w:vAlign w:val="bottom"/>
          </w:tcPr>
          <w:p w14:paraId="4AC97C79" w14:textId="78CF4158" w:rsidR="0053259E" w:rsidRPr="00DF516E" w:rsidRDefault="0053259E" w:rsidP="00DF516E">
            <w:pPr>
              <w:spacing w:after="120" w:line="240" w:lineRule="auto"/>
              <w:ind w:left="0" w:right="0"/>
              <w:jc w:val="center"/>
              <w:rPr>
                <w:rFonts w:asciiTheme="minorHAnsi" w:hAnsiTheme="minorHAnsi"/>
                <w:b/>
                <w:color w:val="000000"/>
                <w:sz w:val="20"/>
                <w:szCs w:val="16"/>
              </w:rPr>
            </w:pPr>
            <w:r>
              <w:rPr>
                <w:rFonts w:asciiTheme="minorHAnsi" w:hAnsiTheme="minorHAnsi"/>
                <w:color w:val="000000"/>
                <w:sz w:val="20"/>
              </w:rPr>
              <w:t>20</w:t>
            </w:r>
          </w:p>
        </w:tc>
        <w:tc>
          <w:tcPr>
            <w:tcW w:w="1546" w:type="pct"/>
          </w:tcPr>
          <w:p w14:paraId="2EB8F823" w14:textId="77777777" w:rsidR="0053259E" w:rsidRPr="00875F09" w:rsidRDefault="0053259E" w:rsidP="0053259E">
            <w:pPr>
              <w:spacing w:after="120" w:line="240" w:lineRule="auto"/>
              <w:ind w:left="0" w:right="0"/>
              <w:rPr>
                <w:rFonts w:asciiTheme="minorHAnsi" w:hAnsiTheme="minorHAnsi"/>
                <w:b/>
                <w:color w:val="000000"/>
                <w:szCs w:val="16"/>
              </w:rPr>
            </w:pPr>
          </w:p>
        </w:tc>
      </w:tr>
      <w:tr w:rsidR="00D216D0" w:rsidRPr="00875F09" w14:paraId="564F9729" w14:textId="77777777" w:rsidTr="00094C50">
        <w:tc>
          <w:tcPr>
            <w:tcW w:w="896" w:type="pct"/>
          </w:tcPr>
          <w:p w14:paraId="59444F62" w14:textId="2B4FFD9E"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1</w:t>
            </w:r>
          </w:p>
        </w:tc>
        <w:tc>
          <w:tcPr>
            <w:tcW w:w="730" w:type="pct"/>
          </w:tcPr>
          <w:p w14:paraId="2CA6497B" w14:textId="36C169DF"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EFRR</w:t>
            </w:r>
          </w:p>
        </w:tc>
        <w:tc>
          <w:tcPr>
            <w:tcW w:w="1200" w:type="pct"/>
          </w:tcPr>
          <w:p w14:paraId="025DB639" w14:textId="350750D3"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Cel szczegółowy 1.1</w:t>
            </w:r>
          </w:p>
        </w:tc>
        <w:tc>
          <w:tcPr>
            <w:tcW w:w="628" w:type="pct"/>
            <w:vAlign w:val="bottom"/>
          </w:tcPr>
          <w:p w14:paraId="60246792" w14:textId="420AB3B2" w:rsidR="0053259E" w:rsidRPr="00DF516E" w:rsidRDefault="0053259E" w:rsidP="00DF516E">
            <w:pPr>
              <w:spacing w:after="120" w:line="240" w:lineRule="auto"/>
              <w:ind w:left="0" w:right="0"/>
              <w:jc w:val="center"/>
              <w:rPr>
                <w:rFonts w:asciiTheme="minorHAnsi" w:hAnsiTheme="minorHAnsi"/>
                <w:b/>
                <w:color w:val="000000"/>
                <w:sz w:val="20"/>
                <w:szCs w:val="16"/>
              </w:rPr>
            </w:pPr>
            <w:r>
              <w:rPr>
                <w:rFonts w:asciiTheme="minorHAnsi" w:hAnsiTheme="minorHAnsi"/>
                <w:color w:val="000000"/>
                <w:sz w:val="20"/>
              </w:rPr>
              <w:t>21</w:t>
            </w:r>
          </w:p>
        </w:tc>
        <w:tc>
          <w:tcPr>
            <w:tcW w:w="1546" w:type="pct"/>
          </w:tcPr>
          <w:p w14:paraId="6FA63517" w14:textId="77777777" w:rsidR="0053259E" w:rsidRPr="00875F09" w:rsidRDefault="0053259E" w:rsidP="0053259E">
            <w:pPr>
              <w:spacing w:after="120" w:line="240" w:lineRule="auto"/>
              <w:ind w:left="0" w:right="0"/>
              <w:rPr>
                <w:rFonts w:asciiTheme="minorHAnsi" w:hAnsiTheme="minorHAnsi"/>
                <w:b/>
                <w:color w:val="000000"/>
                <w:szCs w:val="16"/>
              </w:rPr>
            </w:pPr>
          </w:p>
        </w:tc>
      </w:tr>
      <w:tr w:rsidR="00D216D0" w:rsidRPr="00875F09" w14:paraId="5CB4554A" w14:textId="77777777" w:rsidTr="00094C50">
        <w:tc>
          <w:tcPr>
            <w:tcW w:w="896" w:type="pct"/>
          </w:tcPr>
          <w:p w14:paraId="6624C357" w14:textId="74B48D0F"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1</w:t>
            </w:r>
          </w:p>
        </w:tc>
        <w:tc>
          <w:tcPr>
            <w:tcW w:w="730" w:type="pct"/>
          </w:tcPr>
          <w:p w14:paraId="2B66DC77" w14:textId="4D94738E"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EFRR</w:t>
            </w:r>
          </w:p>
        </w:tc>
        <w:tc>
          <w:tcPr>
            <w:tcW w:w="1200" w:type="pct"/>
          </w:tcPr>
          <w:p w14:paraId="24247E60" w14:textId="5321F935"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Cel szczegółowy 1.1</w:t>
            </w:r>
          </w:p>
        </w:tc>
        <w:tc>
          <w:tcPr>
            <w:tcW w:w="628" w:type="pct"/>
            <w:vAlign w:val="bottom"/>
          </w:tcPr>
          <w:p w14:paraId="2710E4BF" w14:textId="2F9C8EB4" w:rsidR="0053259E" w:rsidRPr="00DF516E" w:rsidRDefault="0053259E" w:rsidP="00DF516E">
            <w:pPr>
              <w:spacing w:after="120" w:line="240" w:lineRule="auto"/>
              <w:ind w:left="0" w:right="0"/>
              <w:jc w:val="center"/>
              <w:rPr>
                <w:rFonts w:asciiTheme="minorHAnsi" w:hAnsiTheme="minorHAnsi"/>
                <w:b/>
                <w:color w:val="000000"/>
                <w:sz w:val="20"/>
                <w:szCs w:val="16"/>
              </w:rPr>
            </w:pPr>
            <w:r>
              <w:rPr>
                <w:rFonts w:asciiTheme="minorHAnsi" w:hAnsiTheme="minorHAnsi"/>
                <w:color w:val="000000"/>
                <w:sz w:val="20"/>
              </w:rPr>
              <w:t>22</w:t>
            </w:r>
          </w:p>
        </w:tc>
        <w:tc>
          <w:tcPr>
            <w:tcW w:w="1546" w:type="pct"/>
          </w:tcPr>
          <w:p w14:paraId="4E242BE2" w14:textId="77777777" w:rsidR="0053259E" w:rsidRPr="00875F09" w:rsidRDefault="0053259E" w:rsidP="0053259E">
            <w:pPr>
              <w:spacing w:after="120" w:line="240" w:lineRule="auto"/>
              <w:ind w:left="0" w:right="0"/>
              <w:rPr>
                <w:rFonts w:asciiTheme="minorHAnsi" w:hAnsiTheme="minorHAnsi"/>
                <w:b/>
                <w:color w:val="000000"/>
                <w:szCs w:val="16"/>
              </w:rPr>
            </w:pPr>
          </w:p>
        </w:tc>
      </w:tr>
      <w:tr w:rsidR="00D216D0" w:rsidRPr="00875F09" w14:paraId="1B8F666E" w14:textId="77777777" w:rsidTr="00094C50">
        <w:tc>
          <w:tcPr>
            <w:tcW w:w="896" w:type="pct"/>
          </w:tcPr>
          <w:p w14:paraId="64D5727D" w14:textId="5962524D"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1</w:t>
            </w:r>
          </w:p>
        </w:tc>
        <w:tc>
          <w:tcPr>
            <w:tcW w:w="730" w:type="pct"/>
          </w:tcPr>
          <w:p w14:paraId="6B96184F" w14:textId="2BFC2AF7"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EFRR</w:t>
            </w:r>
          </w:p>
        </w:tc>
        <w:tc>
          <w:tcPr>
            <w:tcW w:w="1200" w:type="pct"/>
          </w:tcPr>
          <w:p w14:paraId="782F909F" w14:textId="04091B27" w:rsidR="0053259E" w:rsidRPr="00875F09" w:rsidRDefault="0053259E" w:rsidP="0053259E">
            <w:pPr>
              <w:spacing w:after="120" w:line="240" w:lineRule="auto"/>
              <w:ind w:left="0" w:right="0"/>
              <w:rPr>
                <w:rFonts w:asciiTheme="minorHAnsi" w:hAnsiTheme="minorHAnsi"/>
                <w:b/>
                <w:color w:val="000000"/>
                <w:szCs w:val="16"/>
              </w:rPr>
            </w:pPr>
            <w:r>
              <w:rPr>
                <w:rFonts w:asciiTheme="minorHAnsi" w:hAnsiTheme="minorHAnsi"/>
                <w:b/>
                <w:color w:val="000000"/>
                <w:sz w:val="20"/>
              </w:rPr>
              <w:t>Cel szczegółowy 1.1</w:t>
            </w:r>
          </w:p>
        </w:tc>
        <w:tc>
          <w:tcPr>
            <w:tcW w:w="628" w:type="pct"/>
            <w:vAlign w:val="bottom"/>
          </w:tcPr>
          <w:p w14:paraId="53CC22C4" w14:textId="241B5D78" w:rsidR="0053259E" w:rsidRPr="00DF516E" w:rsidRDefault="0053259E" w:rsidP="00DF516E">
            <w:pPr>
              <w:spacing w:after="120" w:line="240" w:lineRule="auto"/>
              <w:ind w:left="0" w:right="0"/>
              <w:jc w:val="center"/>
              <w:rPr>
                <w:rFonts w:asciiTheme="minorHAnsi" w:hAnsiTheme="minorHAnsi"/>
                <w:b/>
                <w:color w:val="000000"/>
                <w:sz w:val="20"/>
                <w:szCs w:val="16"/>
              </w:rPr>
            </w:pPr>
            <w:r>
              <w:rPr>
                <w:rFonts w:asciiTheme="minorHAnsi" w:hAnsiTheme="minorHAnsi"/>
                <w:color w:val="000000"/>
                <w:sz w:val="20"/>
              </w:rPr>
              <w:t>23</w:t>
            </w:r>
          </w:p>
        </w:tc>
        <w:tc>
          <w:tcPr>
            <w:tcW w:w="1546" w:type="pct"/>
          </w:tcPr>
          <w:p w14:paraId="595E8E8C" w14:textId="77777777" w:rsidR="0053259E" w:rsidRPr="00875F09" w:rsidRDefault="0053259E" w:rsidP="0053259E">
            <w:pPr>
              <w:spacing w:after="120" w:line="240" w:lineRule="auto"/>
              <w:ind w:left="0" w:right="0"/>
              <w:rPr>
                <w:rFonts w:asciiTheme="minorHAnsi" w:hAnsiTheme="minorHAnsi"/>
                <w:b/>
                <w:color w:val="000000"/>
                <w:szCs w:val="16"/>
              </w:rPr>
            </w:pPr>
          </w:p>
        </w:tc>
      </w:tr>
    </w:tbl>
    <w:p w14:paraId="62AA0748" w14:textId="5978EE9C" w:rsidR="008727F2" w:rsidRPr="009A0D85" w:rsidRDefault="002031A8" w:rsidP="00570B26">
      <w:pPr>
        <w:spacing w:before="240" w:after="240" w:line="240" w:lineRule="auto"/>
        <w:ind w:left="0"/>
        <w:rPr>
          <w:rFonts w:asciiTheme="minorHAnsi" w:hAnsiTheme="minorHAnsi"/>
          <w:szCs w:val="24"/>
        </w:rPr>
      </w:pPr>
      <w:r>
        <w:rPr>
          <w:rFonts w:asciiTheme="minorHAnsi" w:hAnsiTheme="minorHAnsi"/>
        </w:rPr>
        <w:br/>
      </w:r>
      <w:r w:rsidR="008727F2">
        <w:rPr>
          <w:rFonts w:asciiTheme="minorHAnsi" w:hAnsiTheme="minorHAnsi"/>
        </w:rPr>
        <w:t>Tabela 5: Wymiar 2 – forma finansowania</w:t>
      </w:r>
    </w:p>
    <w:tbl>
      <w:tblPr>
        <w:tblStyle w:val="15"/>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66"/>
        <w:gridCol w:w="1482"/>
        <w:gridCol w:w="1728"/>
        <w:gridCol w:w="1482"/>
        <w:gridCol w:w="2964"/>
      </w:tblGrid>
      <w:tr w:rsidR="008727F2" w:rsidRPr="008727F2" w14:paraId="69E68C93" w14:textId="77777777" w:rsidTr="00094C50">
        <w:tc>
          <w:tcPr>
            <w:tcW w:w="1022" w:type="pct"/>
          </w:tcPr>
          <w:p w14:paraId="2FE62DCC" w14:textId="77777777" w:rsidR="008727F2" w:rsidRPr="00570B26" w:rsidRDefault="008727F2" w:rsidP="00570B26">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Priorytet nr</w:t>
            </w:r>
          </w:p>
        </w:tc>
        <w:tc>
          <w:tcPr>
            <w:tcW w:w="770" w:type="pct"/>
          </w:tcPr>
          <w:p w14:paraId="2C77C061" w14:textId="77777777" w:rsidR="008727F2" w:rsidRPr="00570B26" w:rsidRDefault="008727F2" w:rsidP="00570B26">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w:t>
            </w:r>
          </w:p>
        </w:tc>
        <w:tc>
          <w:tcPr>
            <w:tcW w:w="898" w:type="pct"/>
          </w:tcPr>
          <w:p w14:paraId="091C17D7" w14:textId="77777777" w:rsidR="008727F2" w:rsidRPr="00570B26" w:rsidRDefault="008727F2" w:rsidP="00570B26">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Cel szczegółowy</w:t>
            </w:r>
          </w:p>
        </w:tc>
        <w:tc>
          <w:tcPr>
            <w:tcW w:w="770" w:type="pct"/>
          </w:tcPr>
          <w:p w14:paraId="15CB5B57" w14:textId="77777777" w:rsidR="008727F2" w:rsidRPr="00570B26" w:rsidRDefault="008727F2" w:rsidP="00570B26">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Kod </w:t>
            </w:r>
          </w:p>
        </w:tc>
        <w:tc>
          <w:tcPr>
            <w:tcW w:w="1540" w:type="pct"/>
          </w:tcPr>
          <w:p w14:paraId="357BCFFA" w14:textId="77777777" w:rsidR="008727F2" w:rsidRPr="00570B26" w:rsidRDefault="008727F2" w:rsidP="00570B26">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Kwota (EUR)</w:t>
            </w:r>
          </w:p>
        </w:tc>
      </w:tr>
      <w:tr w:rsidR="00875F09" w:rsidRPr="008727F2" w14:paraId="060ACFE5" w14:textId="77777777" w:rsidTr="00094C50">
        <w:tc>
          <w:tcPr>
            <w:tcW w:w="1022" w:type="pct"/>
          </w:tcPr>
          <w:p w14:paraId="4CABCCAD" w14:textId="77777777" w:rsidR="00875F09" w:rsidRPr="00570B26" w:rsidRDefault="00875F09" w:rsidP="00875F0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20"/>
              </w:rPr>
              <w:t>1</w:t>
            </w:r>
          </w:p>
        </w:tc>
        <w:tc>
          <w:tcPr>
            <w:tcW w:w="770" w:type="pct"/>
          </w:tcPr>
          <w:p w14:paraId="75D7EA8D" w14:textId="77777777" w:rsidR="00875F09" w:rsidRPr="00570B26" w:rsidRDefault="00875F09" w:rsidP="00875F0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20"/>
              </w:rPr>
              <w:t>EFRR</w:t>
            </w:r>
          </w:p>
        </w:tc>
        <w:tc>
          <w:tcPr>
            <w:tcW w:w="898" w:type="pct"/>
          </w:tcPr>
          <w:p w14:paraId="774E1E07" w14:textId="77777777" w:rsidR="00875F09" w:rsidRPr="00570B26" w:rsidRDefault="00875F09" w:rsidP="00875F0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20"/>
              </w:rPr>
              <w:t>Cel szczegółowy 1.1</w:t>
            </w:r>
          </w:p>
        </w:tc>
        <w:tc>
          <w:tcPr>
            <w:tcW w:w="770" w:type="pct"/>
          </w:tcPr>
          <w:p w14:paraId="0AE2E7A9" w14:textId="0BE3DA14" w:rsidR="00875F09" w:rsidRPr="00570B26" w:rsidRDefault="00C94304" w:rsidP="00DF516E">
            <w:pPr>
              <w:spacing w:after="120" w:line="240" w:lineRule="auto"/>
              <w:ind w:left="0" w:right="0"/>
              <w:jc w:val="center"/>
              <w:rPr>
                <w:rFonts w:asciiTheme="minorHAnsi" w:eastAsia="Times New Roman" w:hAnsiTheme="minorHAnsi" w:cs="Times New Roman"/>
                <w:b/>
                <w:color w:val="000000"/>
                <w:sz w:val="16"/>
                <w:szCs w:val="16"/>
              </w:rPr>
            </w:pPr>
            <w:r>
              <w:rPr>
                <w:rFonts w:asciiTheme="minorHAnsi" w:hAnsiTheme="minorHAnsi"/>
                <w:color w:val="000000"/>
                <w:sz w:val="20"/>
              </w:rPr>
              <w:t>01</w:t>
            </w:r>
          </w:p>
        </w:tc>
        <w:tc>
          <w:tcPr>
            <w:tcW w:w="1540" w:type="pct"/>
          </w:tcPr>
          <w:p w14:paraId="3DDDEE46" w14:textId="77777777" w:rsidR="00875F09" w:rsidRPr="00570B26" w:rsidRDefault="00875F09" w:rsidP="00875F09">
            <w:pPr>
              <w:spacing w:after="120" w:line="240" w:lineRule="auto"/>
              <w:ind w:left="0" w:right="0"/>
              <w:rPr>
                <w:rFonts w:asciiTheme="minorHAnsi" w:eastAsia="Times New Roman" w:hAnsiTheme="minorHAnsi" w:cs="Times New Roman"/>
                <w:b/>
                <w:color w:val="000000"/>
                <w:sz w:val="16"/>
                <w:szCs w:val="16"/>
              </w:rPr>
            </w:pPr>
          </w:p>
        </w:tc>
      </w:tr>
    </w:tbl>
    <w:p w14:paraId="33107D71" w14:textId="77777777" w:rsidR="002031A8" w:rsidRDefault="002031A8" w:rsidP="00570B26">
      <w:pPr>
        <w:spacing w:before="240" w:after="240" w:line="240" w:lineRule="auto"/>
        <w:ind w:left="0"/>
        <w:rPr>
          <w:rFonts w:asciiTheme="minorHAnsi" w:hAnsiTheme="minorHAnsi"/>
        </w:rPr>
      </w:pPr>
    </w:p>
    <w:p w14:paraId="68F9FD57" w14:textId="6C9D83FA" w:rsidR="002031A8" w:rsidRDefault="002031A8">
      <w:pPr>
        <w:spacing w:before="0" w:line="240" w:lineRule="auto"/>
        <w:ind w:left="0" w:right="0"/>
        <w:jc w:val="left"/>
        <w:rPr>
          <w:rFonts w:asciiTheme="minorHAnsi" w:hAnsiTheme="minorHAnsi"/>
        </w:rPr>
      </w:pPr>
    </w:p>
    <w:p w14:paraId="67D63D36" w14:textId="1AA938F0" w:rsidR="008727F2" w:rsidRPr="009A0D85" w:rsidRDefault="008727F2" w:rsidP="00570B26">
      <w:pPr>
        <w:spacing w:before="240" w:after="240" w:line="240" w:lineRule="auto"/>
        <w:ind w:left="0"/>
        <w:rPr>
          <w:rFonts w:asciiTheme="minorHAnsi" w:hAnsiTheme="minorHAnsi"/>
          <w:szCs w:val="24"/>
        </w:rPr>
      </w:pPr>
      <w:r>
        <w:rPr>
          <w:rFonts w:asciiTheme="minorHAnsi" w:hAnsiTheme="minorHAnsi"/>
        </w:rPr>
        <w:t>Tabela 6: Wymiar 3 – mechanizm realizacji terytorialnej i koncentracja na terytorium</w:t>
      </w:r>
    </w:p>
    <w:tbl>
      <w:tblPr>
        <w:tblStyle w:val="14"/>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66"/>
        <w:gridCol w:w="1482"/>
        <w:gridCol w:w="1728"/>
        <w:gridCol w:w="1482"/>
        <w:gridCol w:w="2964"/>
      </w:tblGrid>
      <w:tr w:rsidR="008727F2" w:rsidRPr="008727F2" w14:paraId="20CFF360" w14:textId="77777777" w:rsidTr="00094C50">
        <w:tc>
          <w:tcPr>
            <w:tcW w:w="1022" w:type="pct"/>
          </w:tcPr>
          <w:p w14:paraId="20F7233A" w14:textId="77777777" w:rsidR="008727F2" w:rsidRPr="00570B26" w:rsidRDefault="008727F2" w:rsidP="00570B26">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Priorytet nr</w:t>
            </w:r>
          </w:p>
        </w:tc>
        <w:tc>
          <w:tcPr>
            <w:tcW w:w="770" w:type="pct"/>
          </w:tcPr>
          <w:p w14:paraId="440F1D0B" w14:textId="77777777" w:rsidR="008727F2" w:rsidRPr="00570B26" w:rsidRDefault="008727F2" w:rsidP="00570B26">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w:t>
            </w:r>
          </w:p>
        </w:tc>
        <w:tc>
          <w:tcPr>
            <w:tcW w:w="898" w:type="pct"/>
          </w:tcPr>
          <w:p w14:paraId="12DA18F3" w14:textId="77777777" w:rsidR="008727F2" w:rsidRPr="00570B26" w:rsidRDefault="008727F2" w:rsidP="00570B26">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Cel szczegółowy</w:t>
            </w:r>
          </w:p>
        </w:tc>
        <w:tc>
          <w:tcPr>
            <w:tcW w:w="770" w:type="pct"/>
          </w:tcPr>
          <w:p w14:paraId="53FBCF9C" w14:textId="77777777" w:rsidR="008727F2" w:rsidRPr="00570B26" w:rsidRDefault="008727F2" w:rsidP="00570B26">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Kod </w:t>
            </w:r>
          </w:p>
        </w:tc>
        <w:tc>
          <w:tcPr>
            <w:tcW w:w="1540" w:type="pct"/>
          </w:tcPr>
          <w:p w14:paraId="7E586963" w14:textId="77777777" w:rsidR="008727F2" w:rsidRPr="00570B26" w:rsidRDefault="008727F2" w:rsidP="00570B26">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Kwota (EUR)</w:t>
            </w:r>
          </w:p>
        </w:tc>
      </w:tr>
      <w:tr w:rsidR="00875F09" w:rsidRPr="008727F2" w14:paraId="6584B25C" w14:textId="77777777" w:rsidTr="00094C50">
        <w:tc>
          <w:tcPr>
            <w:tcW w:w="1022" w:type="pct"/>
          </w:tcPr>
          <w:p w14:paraId="64B87FD1" w14:textId="77777777" w:rsidR="00875F09" w:rsidRPr="00570B26" w:rsidRDefault="00875F09" w:rsidP="00875F0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20"/>
              </w:rPr>
              <w:t>1</w:t>
            </w:r>
          </w:p>
        </w:tc>
        <w:tc>
          <w:tcPr>
            <w:tcW w:w="770" w:type="pct"/>
          </w:tcPr>
          <w:p w14:paraId="150C5BE1" w14:textId="77777777" w:rsidR="00875F09" w:rsidRPr="00570B26" w:rsidRDefault="00875F09" w:rsidP="00875F0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20"/>
              </w:rPr>
              <w:t>EFRR</w:t>
            </w:r>
          </w:p>
        </w:tc>
        <w:tc>
          <w:tcPr>
            <w:tcW w:w="898" w:type="pct"/>
          </w:tcPr>
          <w:p w14:paraId="162D903F" w14:textId="77777777" w:rsidR="00875F09" w:rsidRPr="00570B26" w:rsidRDefault="00875F09" w:rsidP="00875F0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20"/>
              </w:rPr>
              <w:t>Cel szczegółowy 1.1</w:t>
            </w:r>
          </w:p>
        </w:tc>
        <w:tc>
          <w:tcPr>
            <w:tcW w:w="770" w:type="pct"/>
          </w:tcPr>
          <w:p w14:paraId="6D037BA1" w14:textId="17BE9546" w:rsidR="00875F09" w:rsidRPr="00570B26" w:rsidRDefault="00C94304" w:rsidP="00DF516E">
            <w:pPr>
              <w:spacing w:after="120" w:line="240" w:lineRule="auto"/>
              <w:ind w:left="0" w:right="0"/>
              <w:jc w:val="center"/>
              <w:rPr>
                <w:rFonts w:asciiTheme="minorHAnsi" w:eastAsia="Times New Roman" w:hAnsiTheme="minorHAnsi" w:cs="Times New Roman"/>
                <w:b/>
                <w:color w:val="000000"/>
                <w:sz w:val="16"/>
                <w:szCs w:val="16"/>
              </w:rPr>
            </w:pPr>
            <w:r>
              <w:rPr>
                <w:rFonts w:asciiTheme="minorHAnsi" w:hAnsiTheme="minorHAnsi"/>
                <w:color w:val="000000"/>
                <w:sz w:val="20"/>
              </w:rPr>
              <w:t>48</w:t>
            </w:r>
          </w:p>
        </w:tc>
        <w:tc>
          <w:tcPr>
            <w:tcW w:w="1540" w:type="pct"/>
          </w:tcPr>
          <w:p w14:paraId="39AAB8EA" w14:textId="77777777" w:rsidR="00875F09" w:rsidRPr="00570B26" w:rsidRDefault="00875F09" w:rsidP="00875F09">
            <w:pPr>
              <w:spacing w:after="120" w:line="240" w:lineRule="auto"/>
              <w:ind w:left="0" w:right="0"/>
              <w:rPr>
                <w:rFonts w:asciiTheme="minorHAnsi" w:eastAsia="Times New Roman" w:hAnsiTheme="minorHAnsi" w:cs="Times New Roman"/>
                <w:b/>
                <w:color w:val="000000"/>
                <w:sz w:val="16"/>
                <w:szCs w:val="16"/>
              </w:rPr>
            </w:pPr>
          </w:p>
        </w:tc>
      </w:tr>
    </w:tbl>
    <w:p w14:paraId="2EBB6CF5" w14:textId="77777777" w:rsidR="009A0D85" w:rsidRDefault="009A0D85">
      <w:pPr>
        <w:spacing w:before="0" w:line="240" w:lineRule="auto"/>
        <w:ind w:left="0" w:right="0"/>
        <w:jc w:val="left"/>
        <w:rPr>
          <w:rFonts w:asciiTheme="minorHAnsi" w:hAnsiTheme="minorHAnsi"/>
        </w:rPr>
      </w:pPr>
      <w:r>
        <w:br w:type="page"/>
      </w:r>
    </w:p>
    <w:p w14:paraId="674FBE4E" w14:textId="77777777" w:rsidR="009A0D85" w:rsidRPr="008727F2" w:rsidRDefault="009A0D85" w:rsidP="009A0D85">
      <w:pPr>
        <w:spacing w:before="240" w:after="240" w:line="240" w:lineRule="auto"/>
        <w:ind w:left="709" w:hanging="709"/>
        <w:rPr>
          <w:rFonts w:asciiTheme="minorHAnsi" w:hAnsiTheme="minorHAnsi"/>
          <w:sz w:val="24"/>
          <w:szCs w:val="24"/>
        </w:rPr>
      </w:pPr>
      <w:r>
        <w:rPr>
          <w:rFonts w:asciiTheme="minorHAnsi" w:hAnsiTheme="minorHAnsi"/>
          <w:b/>
          <w:sz w:val="24"/>
        </w:rPr>
        <w:lastRenderedPageBreak/>
        <w:t>2.1.2.</w:t>
      </w:r>
      <w:r>
        <w:rPr>
          <w:rFonts w:asciiTheme="minorHAnsi" w:hAnsiTheme="minorHAnsi"/>
          <w:b/>
          <w:sz w:val="24"/>
        </w:rPr>
        <w:tab/>
        <w:t xml:space="preserve">Cel szczegółowy </w:t>
      </w:r>
      <w:r>
        <w:rPr>
          <w:rFonts w:asciiTheme="minorHAnsi" w:hAnsiTheme="minorHAnsi"/>
          <w:sz w:val="24"/>
        </w:rPr>
        <w:t xml:space="preserve"> (dla każdego wybranego celu szczegółowego, priorytetów, z wyłączeniem pomocy technicznej)</w:t>
      </w:r>
    </w:p>
    <w:p w14:paraId="7944A53A" w14:textId="77777777" w:rsidR="009A0D85" w:rsidRPr="00D80606" w:rsidRDefault="009A0D85" w:rsidP="009A0D85">
      <w:pPr>
        <w:ind w:left="0"/>
        <w:rPr>
          <w:rFonts w:asciiTheme="minorHAnsi" w:hAnsiTheme="minorHAnsi"/>
          <w:color w:val="000000"/>
        </w:rPr>
      </w:pPr>
      <w:r w:rsidRPr="00D80606">
        <w:rPr>
          <w:rFonts w:asciiTheme="minorHAnsi" w:hAnsiTheme="minorHAnsi"/>
          <w:color w:val="000000"/>
        </w:rPr>
        <w:t>Podstawa: art. 17 ust. 4 lit. e</w:t>
      </w:r>
    </w:p>
    <w:p w14:paraId="59839BAD" w14:textId="3D2CBD7B" w:rsidR="006454DC" w:rsidRPr="00EB444C" w:rsidRDefault="006454DC" w:rsidP="00173920">
      <w:pPr>
        <w:pStyle w:val="CE-Headline4"/>
      </w:pPr>
      <w:bookmarkStart w:id="96" w:name="_Toc61245870"/>
      <w:bookmarkStart w:id="97" w:name="_Toc71036603"/>
      <w:r>
        <w:t xml:space="preserve">PO1 - </w:t>
      </w:r>
      <w:r>
        <w:tab/>
        <w:t>(iv) Rozwijanie umiejętności na potrzeby inteligentnej specjalizacji, przemian przemysłowych i rozwoju przedsiębiorczości</w:t>
      </w:r>
      <w:bookmarkEnd w:id="96"/>
      <w:bookmarkEnd w:id="97"/>
    </w:p>
    <w:p w14:paraId="28F8348F" w14:textId="2AADBAA2" w:rsidR="009A0D85" w:rsidRDefault="009A0D85" w:rsidP="00094C50">
      <w:pPr>
        <w:spacing w:before="240" w:after="240" w:line="240" w:lineRule="auto"/>
        <w:ind w:left="709" w:hanging="709"/>
        <w:jc w:val="left"/>
        <w:rPr>
          <w:rFonts w:asciiTheme="minorHAnsi" w:hAnsiTheme="minorHAnsi"/>
          <w:b/>
          <w:sz w:val="24"/>
          <w:szCs w:val="24"/>
        </w:rPr>
      </w:pPr>
      <w:r>
        <w:rPr>
          <w:rFonts w:asciiTheme="minorHAnsi" w:hAnsiTheme="minorHAnsi"/>
          <w:b/>
          <w:sz w:val="24"/>
        </w:rPr>
        <w:t>2.1.2.1 Powiązane rodzaje działań i ich planowany wkład w osiągnięcie odpowiednio celów szczegółowych i strategii makroregionalnych i strategii dotyczących basenów morskich</w:t>
      </w:r>
    </w:p>
    <w:p w14:paraId="55051D53" w14:textId="77777777" w:rsidR="009A0D85" w:rsidRPr="00D80606" w:rsidRDefault="009A0D85" w:rsidP="009A0D85">
      <w:pPr>
        <w:ind w:left="0"/>
        <w:rPr>
          <w:rFonts w:asciiTheme="minorHAnsi" w:hAnsiTheme="minorHAnsi"/>
          <w:color w:val="000000"/>
        </w:rPr>
      </w:pPr>
      <w:r w:rsidRPr="00D80606">
        <w:rPr>
          <w:rFonts w:asciiTheme="minorHAnsi" w:hAnsiTheme="minorHAnsi"/>
          <w:color w:val="000000"/>
        </w:rPr>
        <w:t>Podstawa: art. 17 ust. 4 lit. e pkt i, artykuł 17 ust. 9 lit. c pkt ii</w:t>
      </w:r>
    </w:p>
    <w:p w14:paraId="4042EF04" w14:textId="77777777" w:rsidR="009A0D85" w:rsidRPr="00D80606" w:rsidRDefault="009A0D85" w:rsidP="009A0D85">
      <w:pPr>
        <w:ind w:left="0"/>
        <w:rPr>
          <w:rFonts w:asciiTheme="minorHAnsi" w:hAnsiTheme="minorHAnsi"/>
        </w:rPr>
      </w:pPr>
      <w:r w:rsidRPr="00D80606">
        <w:rPr>
          <w:rFonts w:asciiTheme="minorHAnsi" w:hAnsiTheme="minorHAnsi"/>
        </w:rPr>
        <w:t>Pole tekstowe [7000]</w:t>
      </w:r>
    </w:p>
    <w:tbl>
      <w:tblPr>
        <w:tblStyle w:val="Tabela-Siatka"/>
        <w:tblW w:w="0" w:type="auto"/>
        <w:tblLook w:val="04A0" w:firstRow="1" w:lastRow="0" w:firstColumn="1" w:lastColumn="0" w:noHBand="0" w:noVBand="1"/>
      </w:tblPr>
      <w:tblGrid>
        <w:gridCol w:w="9060"/>
      </w:tblGrid>
      <w:tr w:rsidR="009A0D85" w:rsidRPr="00A557D8" w14:paraId="6B3E73A8" w14:textId="77777777" w:rsidTr="00816A75">
        <w:tc>
          <w:tcPr>
            <w:tcW w:w="9060" w:type="dxa"/>
          </w:tcPr>
          <w:p w14:paraId="62D83B93" w14:textId="3476E1BE" w:rsidR="009A0D85" w:rsidRPr="00D80606" w:rsidRDefault="00EB1C9F" w:rsidP="00094C50">
            <w:pPr>
              <w:ind w:left="0"/>
              <w:jc w:val="left"/>
              <w:rPr>
                <w:rFonts w:asciiTheme="minorHAnsi" w:hAnsiTheme="minorHAnsi"/>
                <w:b/>
                <w:color w:val="000000"/>
                <w:sz w:val="26"/>
                <w:szCs w:val="26"/>
              </w:rPr>
            </w:pPr>
            <w:r w:rsidRPr="00D80606">
              <w:rPr>
                <w:rFonts w:asciiTheme="minorHAnsi" w:hAnsiTheme="minorHAnsi"/>
                <w:b/>
                <w:color w:val="000000"/>
                <w:sz w:val="26"/>
                <w:szCs w:val="26"/>
              </w:rPr>
              <w:t>Cel szczegółowy 1.2: Rozwijanie umiejętności w zakresie inteligentnej specjalizacji, transformacji przemysłowej i przedsiębiorczości</w:t>
            </w:r>
          </w:p>
          <w:p w14:paraId="1C726F6A" w14:textId="77777777" w:rsidR="00EB1C9F" w:rsidRPr="00D80606" w:rsidRDefault="00EB1C9F" w:rsidP="00D80606">
            <w:pPr>
              <w:ind w:left="0" w:right="25"/>
              <w:jc w:val="left"/>
              <w:rPr>
                <w:rFonts w:asciiTheme="minorHAnsi" w:hAnsiTheme="minorHAnsi"/>
                <w:b/>
                <w:sz w:val="24"/>
                <w:szCs w:val="24"/>
              </w:rPr>
            </w:pPr>
            <w:r w:rsidRPr="00D80606">
              <w:rPr>
                <w:rFonts w:asciiTheme="minorHAnsi" w:hAnsiTheme="minorHAnsi"/>
                <w:b/>
                <w:sz w:val="24"/>
                <w:szCs w:val="24"/>
              </w:rPr>
              <w:t>Potrzeby terytorialne Europy Środkowej</w:t>
            </w:r>
          </w:p>
          <w:p w14:paraId="6D28F665" w14:textId="7AA764C2" w:rsidR="00EB1C9F" w:rsidRPr="00D80606" w:rsidRDefault="006108A5" w:rsidP="00D80606">
            <w:pPr>
              <w:ind w:left="0" w:right="25"/>
              <w:jc w:val="left"/>
              <w:rPr>
                <w:rFonts w:asciiTheme="minorHAnsi" w:hAnsiTheme="minorHAnsi"/>
                <w:sz w:val="24"/>
                <w:szCs w:val="24"/>
              </w:rPr>
            </w:pPr>
            <w:r w:rsidRPr="00D80606">
              <w:rPr>
                <w:rFonts w:asciiTheme="minorHAnsi" w:hAnsiTheme="minorHAnsi"/>
                <w:sz w:val="24"/>
                <w:szCs w:val="24"/>
              </w:rPr>
              <w:t>Europa Środkowa opiera się na wykwalifikowanej sile roboczej, aby utrzymać swoją silną bazę przemysłową i gospodarczą. MŚP to najwięksi pracodawcy w Europie Środkowej. Żeby zaspokoić ich potrzeby, ważne jest, żeby doskonalić i uaktualniać umiejętności pracowników na poziomie lokalnym, w szczególności wobec wyzwań związanych z cyfryzacją i przejściem do Przemysłu 4.0. Obecnie wymagane umiejętności stanowią niezbędny warunek wstępny wykorzystania innowacji technologicznych i potencjału inteligentnej specjalizacji w różnych sektorach i obszarach priorytetowych pod względem technologicznym. Umiejętności stanowią także podstawę rozwoju przedsiębiorczości. Zmniejszanie różnic między obszarami miejskimi i wiejskimi wymaga w końcu, co jest jednak równie istotne, poprawy sytuacji na lokalnych rynkach pracy. Ogólna ocena wskazuje na potrzebę sprawiedliwego procesu przemian, który będzie odpowiedzialny społecznie.</w:t>
            </w:r>
          </w:p>
          <w:p w14:paraId="57816611" w14:textId="77777777" w:rsidR="001B3725" w:rsidRPr="00D80606" w:rsidRDefault="001B3725" w:rsidP="00D80606">
            <w:pPr>
              <w:ind w:left="0" w:right="25"/>
              <w:jc w:val="left"/>
              <w:rPr>
                <w:rFonts w:asciiTheme="minorHAnsi" w:hAnsiTheme="minorHAnsi"/>
                <w:b/>
                <w:sz w:val="24"/>
                <w:szCs w:val="24"/>
                <w:highlight w:val="yellow"/>
              </w:rPr>
            </w:pPr>
          </w:p>
          <w:p w14:paraId="1A35913D" w14:textId="77777777" w:rsidR="001B3725" w:rsidRPr="00D80606" w:rsidRDefault="001B3725" w:rsidP="00D80606">
            <w:pPr>
              <w:ind w:left="0" w:right="25"/>
              <w:jc w:val="left"/>
              <w:rPr>
                <w:rFonts w:asciiTheme="minorHAnsi" w:hAnsiTheme="minorHAnsi"/>
                <w:b/>
                <w:sz w:val="24"/>
                <w:szCs w:val="24"/>
              </w:rPr>
            </w:pPr>
            <w:r w:rsidRPr="00D80606">
              <w:rPr>
                <w:rFonts w:asciiTheme="minorHAnsi" w:hAnsiTheme="minorHAnsi"/>
                <w:b/>
                <w:sz w:val="24"/>
                <w:szCs w:val="24"/>
              </w:rPr>
              <w:t xml:space="preserve">Działania w zakresie współpracy transnarodowej </w:t>
            </w:r>
          </w:p>
          <w:p w14:paraId="14119CB1" w14:textId="0A86B51F" w:rsidR="001B3725" w:rsidRPr="00D80606" w:rsidRDefault="00C71673" w:rsidP="00D80606">
            <w:pPr>
              <w:ind w:left="0" w:right="25"/>
              <w:jc w:val="left"/>
              <w:rPr>
                <w:rFonts w:asciiTheme="minorHAnsi" w:hAnsiTheme="minorHAnsi"/>
                <w:sz w:val="24"/>
                <w:szCs w:val="24"/>
              </w:rPr>
            </w:pPr>
            <w:r w:rsidRPr="00D80606">
              <w:rPr>
                <w:rFonts w:asciiTheme="minorHAnsi" w:hAnsiTheme="minorHAnsi"/>
                <w:sz w:val="24"/>
                <w:szCs w:val="24"/>
              </w:rPr>
              <w:t xml:space="preserve">W ramach niniejszego celu szczegółowego z Programu Interreg EUROPA ŚRODKOWA wsparcie będzie przyznawane na rozwój współpracy transnarodowej, która przyczynia się do zwiększania wiedzy i poprawy umiejętności sprzyjających wprowadzaniu i wzmacnianiu zrównoważonych i innowacyjnych produktów, usług lub procesów, w szczególności w zakresie umiejętności cyfrowych i transformacji przemysłowej. Wzmocni to najbardziej obiecujące obszary zrównoważonego rozwoju gospodarczego w oparciu o charakterystyczne struktury i podstawy wiedzy regionów oraz zachęci do wprowadzania i wzmacniania zrównoważonych i innowacyjnych produktów, usług lub procesów, w szczególności przez MŚP. </w:t>
            </w:r>
            <w:r w:rsidRPr="00D80606">
              <w:rPr>
                <w:rFonts w:asciiTheme="minorHAnsi" w:hAnsiTheme="minorHAnsi"/>
                <w:sz w:val="24"/>
                <w:szCs w:val="24"/>
              </w:rPr>
              <w:lastRenderedPageBreak/>
              <w:t xml:space="preserve">Wspierane działania muszą być spójne z odpowiednią strategią inteligentnej specjalizacji regionów uczestniczących. Dopuszczalne działania z zakresu współpracy obejmują opracowanie i realizację strategii i planów działania, narzędzi, szkoleń, działań pilotażowych i powiązanych działań. Współpraca może przyczyniać się do dostosowania rozwiązań i ich wdrażania z zakresu doskonalenia zawodowego, a także rozpowszechniania technologii oraz budowania umiejętności w krajowych i regionalnych ekosystemach innowacji, aby osiągnąć cele strategii inteligentnej specjalizacji na terytoriach objętych programem.  </w:t>
            </w:r>
          </w:p>
          <w:p w14:paraId="02B4E961" w14:textId="1F3FD16C" w:rsidR="001B3725" w:rsidRPr="00D80606" w:rsidRDefault="009D404E" w:rsidP="00D80606">
            <w:pPr>
              <w:ind w:left="0" w:right="25"/>
              <w:jc w:val="left"/>
              <w:rPr>
                <w:rFonts w:asciiTheme="minorHAnsi" w:hAnsiTheme="minorHAnsi"/>
                <w:sz w:val="24"/>
                <w:szCs w:val="24"/>
              </w:rPr>
            </w:pPr>
            <w:r w:rsidRPr="009D404E">
              <w:rPr>
                <w:rFonts w:asciiTheme="minorHAnsi" w:hAnsiTheme="minorHAnsi"/>
                <w:sz w:val="24"/>
                <w:szCs w:val="24"/>
              </w:rPr>
              <w:t>Konkretyzując</w:t>
            </w:r>
            <w:r w:rsidR="001B3725" w:rsidRPr="00D80606">
              <w:rPr>
                <w:rFonts w:asciiTheme="minorHAnsi" w:hAnsiTheme="minorHAnsi"/>
                <w:sz w:val="24"/>
                <w:szCs w:val="24"/>
              </w:rPr>
              <w:t>, program będzie finansował działania w następujących dziedzinach (prezentowana lista nie jest katalogiem zamkniętym):</w:t>
            </w:r>
          </w:p>
          <w:p w14:paraId="7169CEC1" w14:textId="7123CDE4" w:rsidR="001B3725" w:rsidRPr="00D80606" w:rsidRDefault="001B3725" w:rsidP="00D80606">
            <w:pPr>
              <w:pStyle w:val="Akapitzlist"/>
              <w:numPr>
                <w:ilvl w:val="0"/>
                <w:numId w:val="38"/>
              </w:numPr>
              <w:ind w:right="23"/>
              <w:contextualSpacing w:val="0"/>
              <w:jc w:val="left"/>
              <w:rPr>
                <w:rFonts w:asciiTheme="minorHAnsi" w:hAnsiTheme="minorHAnsi"/>
                <w:sz w:val="24"/>
                <w:szCs w:val="24"/>
              </w:rPr>
            </w:pPr>
            <w:r w:rsidRPr="00D80606">
              <w:rPr>
                <w:rFonts w:asciiTheme="minorHAnsi" w:hAnsiTheme="minorHAnsi"/>
                <w:sz w:val="24"/>
                <w:szCs w:val="24"/>
              </w:rPr>
              <w:t>Umiejętności dla sektorów istotnych z punktu widzenia inteligentnej specjalizacji, np. przemysł 4.0, cyfryzacja, zielona gospodarka, biogospodarka, srebrna gospodarka, zdrowie i nauki o życiu, przemysł kultur</w:t>
            </w:r>
            <w:r w:rsidR="0003369D">
              <w:rPr>
                <w:rFonts w:asciiTheme="minorHAnsi" w:hAnsiTheme="minorHAnsi"/>
                <w:sz w:val="24"/>
                <w:szCs w:val="24"/>
              </w:rPr>
              <w:t>owy</w:t>
            </w:r>
            <w:r w:rsidRPr="00D80606">
              <w:rPr>
                <w:rFonts w:asciiTheme="minorHAnsi" w:hAnsiTheme="minorHAnsi"/>
                <w:sz w:val="24"/>
                <w:szCs w:val="24"/>
              </w:rPr>
              <w:t xml:space="preserve"> i kreatywny, zrównoważona turystyka </w:t>
            </w:r>
          </w:p>
          <w:p w14:paraId="032DBBE1" w14:textId="2905F628" w:rsidR="001B3725" w:rsidRPr="00D80606" w:rsidRDefault="001B3725" w:rsidP="00D80606">
            <w:pPr>
              <w:pStyle w:val="Akapitzlist"/>
              <w:numPr>
                <w:ilvl w:val="0"/>
                <w:numId w:val="38"/>
              </w:numPr>
              <w:ind w:right="23"/>
              <w:contextualSpacing w:val="0"/>
              <w:jc w:val="left"/>
              <w:rPr>
                <w:rFonts w:asciiTheme="minorHAnsi" w:hAnsiTheme="minorHAnsi"/>
                <w:sz w:val="24"/>
                <w:szCs w:val="24"/>
              </w:rPr>
            </w:pPr>
            <w:r w:rsidRPr="00D80606">
              <w:rPr>
                <w:rFonts w:asciiTheme="minorHAnsi" w:hAnsiTheme="minorHAnsi"/>
                <w:sz w:val="24"/>
                <w:szCs w:val="24"/>
              </w:rPr>
              <w:t xml:space="preserve">Budowanie zdolności i uczenia się w warunkach instytucjonalnych na rzecz inteligentnej specjalizacji </w:t>
            </w:r>
          </w:p>
          <w:p w14:paraId="0C8D513A" w14:textId="2B09BA02" w:rsidR="001B3725" w:rsidRPr="00D80606" w:rsidRDefault="001B3725" w:rsidP="00D80606">
            <w:pPr>
              <w:pStyle w:val="Akapitzlist"/>
              <w:numPr>
                <w:ilvl w:val="0"/>
                <w:numId w:val="38"/>
              </w:numPr>
              <w:ind w:right="23"/>
              <w:contextualSpacing w:val="0"/>
              <w:jc w:val="left"/>
              <w:rPr>
                <w:rFonts w:asciiTheme="minorHAnsi" w:hAnsiTheme="minorHAnsi"/>
                <w:sz w:val="24"/>
                <w:szCs w:val="24"/>
              </w:rPr>
            </w:pPr>
            <w:r w:rsidRPr="00D80606">
              <w:rPr>
                <w:rFonts w:asciiTheme="minorHAnsi" w:hAnsiTheme="minorHAnsi"/>
                <w:sz w:val="24"/>
                <w:szCs w:val="24"/>
              </w:rPr>
              <w:t xml:space="preserve">Dostosowanie umiejętności do potrzeb rynku pracy w regionach przechodzących transformację przemysłową i cyfrową </w:t>
            </w:r>
          </w:p>
          <w:p w14:paraId="2471D12D" w14:textId="75DAE7B0" w:rsidR="001B3725" w:rsidRPr="00D80606" w:rsidRDefault="001B3725" w:rsidP="00D80606">
            <w:pPr>
              <w:pStyle w:val="Akapitzlist"/>
              <w:numPr>
                <w:ilvl w:val="0"/>
                <w:numId w:val="38"/>
              </w:numPr>
              <w:ind w:right="23"/>
              <w:contextualSpacing w:val="0"/>
              <w:jc w:val="left"/>
              <w:rPr>
                <w:rFonts w:asciiTheme="minorHAnsi" w:hAnsiTheme="minorHAnsi"/>
                <w:sz w:val="24"/>
                <w:szCs w:val="24"/>
              </w:rPr>
            </w:pPr>
            <w:r w:rsidRPr="00D80606">
              <w:rPr>
                <w:rFonts w:asciiTheme="minorHAnsi" w:hAnsiTheme="minorHAnsi"/>
                <w:sz w:val="24"/>
                <w:szCs w:val="24"/>
              </w:rPr>
              <w:t xml:space="preserve">Kompetencje w zakresie zarządzania innowacjami w MŚP i przedsiębiorczości, w tym przedsiębiorczości społecznej </w:t>
            </w:r>
          </w:p>
          <w:p w14:paraId="3D72712C" w14:textId="4ED29E3F" w:rsidR="001B3725" w:rsidRPr="00D80606" w:rsidRDefault="00CD73F1" w:rsidP="00D80606">
            <w:pPr>
              <w:pStyle w:val="Akapitzlist"/>
              <w:numPr>
                <w:ilvl w:val="0"/>
                <w:numId w:val="38"/>
              </w:numPr>
              <w:ind w:right="23"/>
              <w:contextualSpacing w:val="0"/>
              <w:jc w:val="left"/>
              <w:rPr>
                <w:rFonts w:asciiTheme="minorHAnsi" w:hAnsiTheme="minorHAnsi"/>
                <w:sz w:val="24"/>
                <w:szCs w:val="24"/>
              </w:rPr>
            </w:pPr>
            <w:r w:rsidRPr="00D80606">
              <w:rPr>
                <w:rFonts w:asciiTheme="minorHAnsi" w:hAnsiTheme="minorHAnsi"/>
                <w:sz w:val="24"/>
                <w:szCs w:val="24"/>
              </w:rPr>
              <w:t xml:space="preserve">Przeciwdziałanie dysproporcjom regionalnym (miejsko-wiejskim) w zakresie kapitału ludzkiego i drenażowi mózgów </w:t>
            </w:r>
          </w:p>
          <w:p w14:paraId="5EAAAD76" w14:textId="2D0025A3" w:rsidR="001B3725" w:rsidRPr="00D80606" w:rsidRDefault="001B3725" w:rsidP="00D80606">
            <w:pPr>
              <w:pStyle w:val="Akapitzlist"/>
              <w:ind w:left="360" w:right="23"/>
              <w:contextualSpacing w:val="0"/>
              <w:jc w:val="left"/>
              <w:rPr>
                <w:rFonts w:asciiTheme="minorHAnsi" w:hAnsiTheme="minorHAnsi"/>
                <w:sz w:val="24"/>
                <w:szCs w:val="24"/>
              </w:rPr>
            </w:pPr>
          </w:p>
          <w:p w14:paraId="54CD82AC" w14:textId="77777777" w:rsidR="001B3725" w:rsidRPr="00D80606" w:rsidRDefault="001B3725" w:rsidP="00D80606">
            <w:pPr>
              <w:ind w:left="0" w:right="25"/>
              <w:jc w:val="left"/>
              <w:rPr>
                <w:rFonts w:asciiTheme="minorHAnsi" w:hAnsiTheme="minorHAnsi"/>
                <w:sz w:val="24"/>
                <w:szCs w:val="24"/>
              </w:rPr>
            </w:pPr>
          </w:p>
          <w:p w14:paraId="6B1AF585" w14:textId="77777777" w:rsidR="00B904FF" w:rsidRPr="00D80606" w:rsidRDefault="00B904FF" w:rsidP="00D80606">
            <w:pPr>
              <w:spacing w:before="80" w:after="80"/>
              <w:ind w:left="0" w:right="0"/>
              <w:jc w:val="left"/>
              <w:rPr>
                <w:rFonts w:ascii="Trebuchet MS" w:eastAsiaTheme="minorHAnsi" w:hAnsi="Trebuchet MS" w:cstheme="minorBidi"/>
                <w:b/>
                <w:sz w:val="24"/>
                <w:szCs w:val="24"/>
                <w:u w:val="single"/>
              </w:rPr>
            </w:pPr>
            <w:r w:rsidRPr="00D80606">
              <w:rPr>
                <w:rFonts w:ascii="Trebuchet MS" w:hAnsi="Trebuchet MS"/>
                <w:b/>
                <w:sz w:val="24"/>
                <w:szCs w:val="24"/>
                <w:u w:val="single"/>
              </w:rPr>
              <w:t>Przykłady wspieranych działań (prezentowana lista nie jest katalogiem zamkniętym):</w:t>
            </w:r>
          </w:p>
          <w:p w14:paraId="0449E4E2" w14:textId="79B0A71E" w:rsidR="001B3725" w:rsidRPr="00D80606" w:rsidRDefault="001B3725" w:rsidP="00D80606">
            <w:pPr>
              <w:pStyle w:val="Akapitzlist"/>
              <w:numPr>
                <w:ilvl w:val="0"/>
                <w:numId w:val="38"/>
              </w:numPr>
              <w:ind w:right="23"/>
              <w:contextualSpacing w:val="0"/>
              <w:jc w:val="left"/>
              <w:rPr>
                <w:rFonts w:asciiTheme="minorHAnsi" w:hAnsiTheme="minorHAnsi"/>
                <w:sz w:val="24"/>
                <w:szCs w:val="24"/>
              </w:rPr>
            </w:pPr>
            <w:r w:rsidRPr="00D80606">
              <w:rPr>
                <w:rFonts w:asciiTheme="minorHAnsi" w:hAnsiTheme="minorHAnsi"/>
                <w:sz w:val="24"/>
                <w:szCs w:val="24"/>
              </w:rPr>
              <w:t>Doskonalenie zdolności i kompetencji decydentów politycznych i pozostałych interesariuszy do opracowania nastawionych na przyszłość sposobów podejścia do dostosowania programów rozwoju umiejętności na poziomie regionalnym do przyszłych potrzeb rynku pracy (w szczególności w celu bardziej zrównoważonego wykorzystania cyfryzacji w różnych sektorach oraz wspierania przejścia MŚP na technologie cyfrowe)</w:t>
            </w:r>
          </w:p>
          <w:p w14:paraId="21DE656E" w14:textId="278CEB39" w:rsidR="001B3725" w:rsidRPr="00D80606" w:rsidRDefault="001B3725" w:rsidP="00D80606">
            <w:pPr>
              <w:pStyle w:val="Akapitzlist"/>
              <w:numPr>
                <w:ilvl w:val="0"/>
                <w:numId w:val="38"/>
              </w:numPr>
              <w:ind w:right="23"/>
              <w:contextualSpacing w:val="0"/>
              <w:jc w:val="left"/>
              <w:rPr>
                <w:rFonts w:asciiTheme="minorHAnsi" w:hAnsiTheme="minorHAnsi"/>
                <w:sz w:val="24"/>
                <w:szCs w:val="24"/>
              </w:rPr>
            </w:pPr>
            <w:r w:rsidRPr="00D80606">
              <w:rPr>
                <w:rFonts w:asciiTheme="minorHAnsi" w:hAnsiTheme="minorHAnsi"/>
                <w:sz w:val="24"/>
                <w:szCs w:val="24"/>
              </w:rPr>
              <w:t xml:space="preserve">Doskonalenie umiejętności pracowników i przedsiębiorców do realizacji koncepcji ekologicznej gospodarki i innowacji </w:t>
            </w:r>
          </w:p>
          <w:p w14:paraId="61A5A7BA" w14:textId="5C10AECD" w:rsidR="00BE03ED" w:rsidRPr="00D80606" w:rsidRDefault="00BE03ED" w:rsidP="00D80606">
            <w:pPr>
              <w:pStyle w:val="Akapitzlist"/>
              <w:numPr>
                <w:ilvl w:val="0"/>
                <w:numId w:val="38"/>
              </w:numPr>
              <w:ind w:right="23"/>
              <w:contextualSpacing w:val="0"/>
              <w:jc w:val="left"/>
              <w:rPr>
                <w:rFonts w:asciiTheme="minorHAnsi" w:hAnsiTheme="minorHAnsi"/>
                <w:sz w:val="24"/>
                <w:szCs w:val="24"/>
              </w:rPr>
            </w:pPr>
            <w:r w:rsidRPr="00D80606">
              <w:rPr>
                <w:rFonts w:asciiTheme="minorHAnsi" w:hAnsiTheme="minorHAnsi"/>
                <w:sz w:val="24"/>
                <w:szCs w:val="24"/>
              </w:rPr>
              <w:t xml:space="preserve">Podnoszenie umiejętności sektora publicznego i prywatnego oraz wzmacnianie przedsiębiorczości, w tym przedsiębiorczości społecznej, spójne z priorytetami określonymi w odpowiednich krajowych lub regionalnych </w:t>
            </w:r>
            <w:r w:rsidRPr="00D80606">
              <w:rPr>
                <w:rFonts w:asciiTheme="minorHAnsi" w:hAnsiTheme="minorHAnsi"/>
                <w:sz w:val="24"/>
                <w:szCs w:val="24"/>
              </w:rPr>
              <w:lastRenderedPageBreak/>
              <w:t>strategiach inteligentnej specjalizacji</w:t>
            </w:r>
          </w:p>
          <w:p w14:paraId="6BE5F0B2" w14:textId="2E7C9CB4" w:rsidR="001B3725" w:rsidRPr="00D80606" w:rsidRDefault="001B3725" w:rsidP="00D80606">
            <w:pPr>
              <w:pStyle w:val="Akapitzlist"/>
              <w:numPr>
                <w:ilvl w:val="0"/>
                <w:numId w:val="38"/>
              </w:numPr>
              <w:ind w:right="23"/>
              <w:contextualSpacing w:val="0"/>
              <w:jc w:val="left"/>
              <w:rPr>
                <w:rFonts w:asciiTheme="minorHAnsi" w:hAnsiTheme="minorHAnsi"/>
                <w:sz w:val="24"/>
                <w:szCs w:val="24"/>
              </w:rPr>
            </w:pPr>
            <w:r w:rsidRPr="00D80606">
              <w:rPr>
                <w:rFonts w:asciiTheme="minorHAnsi" w:hAnsiTheme="minorHAnsi"/>
                <w:sz w:val="24"/>
                <w:szCs w:val="24"/>
              </w:rPr>
              <w:t xml:space="preserve">Rozwijanie i wspieranie ośrodków wiedzy i innowacyjnych systemów uczenia się przyczyniających się do realizacji priorytetowych obszarów technologicznych odpowiednich krajowych lub regionalnych strategii inteligentnej specjalizacji  </w:t>
            </w:r>
          </w:p>
          <w:p w14:paraId="6F4FBE4B" w14:textId="6ECFB05D" w:rsidR="001B3725" w:rsidRPr="00D80606" w:rsidRDefault="001B3725" w:rsidP="00D80606">
            <w:pPr>
              <w:pStyle w:val="Akapitzlist"/>
              <w:numPr>
                <w:ilvl w:val="0"/>
                <w:numId w:val="38"/>
              </w:numPr>
              <w:ind w:right="23"/>
              <w:contextualSpacing w:val="0"/>
              <w:jc w:val="left"/>
              <w:rPr>
                <w:rFonts w:asciiTheme="minorHAnsi" w:hAnsiTheme="minorHAnsi"/>
                <w:sz w:val="24"/>
                <w:szCs w:val="24"/>
              </w:rPr>
            </w:pPr>
            <w:r w:rsidRPr="00D80606">
              <w:rPr>
                <w:rFonts w:asciiTheme="minorHAnsi" w:hAnsiTheme="minorHAnsi"/>
                <w:sz w:val="24"/>
                <w:szCs w:val="24"/>
              </w:rPr>
              <w:t>Opracowywanie i wdrażanie strategii i rozwiązań, które opierają się na różnych kulturach biznesowych i na wszystkich poziomach edukacji w celu poprawy mentalności i ram przedsiębiorczości</w:t>
            </w:r>
          </w:p>
          <w:p w14:paraId="61443729" w14:textId="3E5576EC" w:rsidR="001B3725" w:rsidRPr="00D80606" w:rsidRDefault="00C95BA0" w:rsidP="00D80606">
            <w:pPr>
              <w:pStyle w:val="Akapitzlist"/>
              <w:numPr>
                <w:ilvl w:val="0"/>
                <w:numId w:val="38"/>
              </w:numPr>
              <w:ind w:right="23"/>
              <w:contextualSpacing w:val="0"/>
              <w:jc w:val="left"/>
              <w:rPr>
                <w:rFonts w:asciiTheme="minorHAnsi" w:hAnsiTheme="minorHAnsi"/>
                <w:sz w:val="24"/>
                <w:szCs w:val="24"/>
              </w:rPr>
            </w:pPr>
            <w:r w:rsidRPr="00D80606">
              <w:rPr>
                <w:rFonts w:asciiTheme="minorHAnsi" w:hAnsiTheme="minorHAnsi"/>
                <w:sz w:val="24"/>
                <w:szCs w:val="24"/>
              </w:rPr>
              <w:t>Doskonalenie zarządzania innowacją w MŚP a także rozwijanie usług wsparcia dla MŚP i przedsiębiorców w celu poprawy dostępu do badań i innowacji technologicznych</w:t>
            </w:r>
          </w:p>
          <w:p w14:paraId="1104F9BD" w14:textId="68A907B2" w:rsidR="001B3725" w:rsidRPr="00D80606" w:rsidRDefault="00F325A3" w:rsidP="00D80606">
            <w:pPr>
              <w:pStyle w:val="Akapitzlist"/>
              <w:numPr>
                <w:ilvl w:val="0"/>
                <w:numId w:val="38"/>
              </w:numPr>
              <w:ind w:right="23"/>
              <w:contextualSpacing w:val="0"/>
              <w:jc w:val="left"/>
              <w:rPr>
                <w:rFonts w:asciiTheme="minorHAnsi" w:hAnsiTheme="minorHAnsi"/>
                <w:sz w:val="24"/>
                <w:szCs w:val="24"/>
              </w:rPr>
            </w:pPr>
            <w:r w:rsidRPr="00D80606">
              <w:rPr>
                <w:rFonts w:asciiTheme="minorHAnsi" w:hAnsiTheme="minorHAnsi"/>
                <w:sz w:val="24"/>
                <w:szCs w:val="24"/>
              </w:rPr>
              <w:t xml:space="preserve">Wspieranie regionalnych i lokalnych inicjatyw na rzecz wspierania rozwoju kapitału ludzkiego i umiejętności w regionach borykających się z problemem drenażu mózgów oraz wyzwaniami związanymi z przemianami przemysłowymi i cyfryzacją, zwłaszcza na obszarach wiejskich i kurczących się </w:t>
            </w:r>
          </w:p>
          <w:p w14:paraId="5E606D7B" w14:textId="40167E0D" w:rsidR="001B3725" w:rsidRPr="00D80606" w:rsidRDefault="001B3725" w:rsidP="00D80606">
            <w:pPr>
              <w:pStyle w:val="Akapitzlist"/>
              <w:numPr>
                <w:ilvl w:val="0"/>
                <w:numId w:val="38"/>
              </w:numPr>
              <w:ind w:right="23"/>
              <w:contextualSpacing w:val="0"/>
              <w:jc w:val="left"/>
              <w:rPr>
                <w:rFonts w:asciiTheme="minorHAnsi" w:hAnsiTheme="minorHAnsi"/>
                <w:sz w:val="24"/>
                <w:szCs w:val="24"/>
              </w:rPr>
            </w:pPr>
            <w:r w:rsidRPr="00D80606">
              <w:rPr>
                <w:rFonts w:asciiTheme="minorHAnsi" w:hAnsiTheme="minorHAnsi"/>
                <w:sz w:val="24"/>
                <w:szCs w:val="24"/>
              </w:rPr>
              <w:t xml:space="preserve">Wzmocnienie potencjału sektora publicznego i prywatnego w celu zapewnienia sprawiedliwej i sprzyjającej włączeniu społecznemu transformacji gospodarczej </w:t>
            </w:r>
          </w:p>
          <w:p w14:paraId="3C9D1AC7" w14:textId="77777777" w:rsidR="00584E8A" w:rsidRPr="00D80606" w:rsidRDefault="00584E8A" w:rsidP="00D80606">
            <w:pPr>
              <w:pStyle w:val="Akapitzlist"/>
              <w:ind w:left="360" w:right="23"/>
              <w:contextualSpacing w:val="0"/>
              <w:jc w:val="left"/>
              <w:rPr>
                <w:rFonts w:asciiTheme="minorHAnsi" w:hAnsiTheme="minorHAnsi"/>
                <w:sz w:val="24"/>
                <w:szCs w:val="24"/>
              </w:rPr>
            </w:pPr>
          </w:p>
          <w:p w14:paraId="6E756CA8" w14:textId="5B77D9E9" w:rsidR="003C1BA9" w:rsidRPr="00D80606" w:rsidRDefault="001B3725" w:rsidP="00D80606">
            <w:pPr>
              <w:ind w:left="0" w:right="25"/>
              <w:jc w:val="left"/>
              <w:rPr>
                <w:rFonts w:asciiTheme="minorHAnsi" w:hAnsiTheme="minorHAnsi"/>
                <w:sz w:val="24"/>
                <w:szCs w:val="24"/>
              </w:rPr>
            </w:pPr>
            <w:r w:rsidRPr="00D80606">
              <w:rPr>
                <w:rFonts w:asciiTheme="minorHAnsi" w:hAnsiTheme="minorHAnsi"/>
                <w:sz w:val="24"/>
                <w:szCs w:val="24"/>
              </w:rPr>
              <w:t xml:space="preserve">Działania powinny dążyć do osiągnięcia efektu synergii i unikać nakładania się z inicjatywami finansowanymi przez inne instrumenty UE, takie jak EFS+ i </w:t>
            </w:r>
            <w:r w:rsidR="00F044D5">
              <w:rPr>
                <w:rFonts w:asciiTheme="minorHAnsi" w:hAnsiTheme="minorHAnsi"/>
                <w:sz w:val="24"/>
                <w:szCs w:val="24"/>
              </w:rPr>
              <w:t>F</w:t>
            </w:r>
            <w:r w:rsidRPr="00D80606">
              <w:rPr>
                <w:rFonts w:asciiTheme="minorHAnsi" w:hAnsiTheme="minorHAnsi"/>
                <w:sz w:val="24"/>
                <w:szCs w:val="24"/>
              </w:rPr>
              <w:t xml:space="preserve">undusz </w:t>
            </w:r>
            <w:r w:rsidR="00F662AA">
              <w:rPr>
                <w:rFonts w:asciiTheme="minorHAnsi" w:hAnsiTheme="minorHAnsi"/>
                <w:sz w:val="24"/>
                <w:szCs w:val="24"/>
              </w:rPr>
              <w:t>na rzecz Sprawiedliwej Transformacji</w:t>
            </w:r>
            <w:r w:rsidRPr="00D80606">
              <w:rPr>
                <w:rFonts w:asciiTheme="minorHAnsi" w:hAnsiTheme="minorHAnsi"/>
                <w:sz w:val="24"/>
                <w:szCs w:val="24"/>
              </w:rPr>
              <w:t xml:space="preserve"> (który częściowo koncentruje się na rozwoju umiejętności grup wrażliwych) oraz z inicjatywami finansowanymi z funduszy krajowych i regionalnych, a także uwzględniać plany działania w ramach strategii makroregionalnych. Wykorzystanie tego rodzaju komplementarności powinno mieć na celu upowszechnianie wyników oraz pozyskiwanie dalszych środków finansowych i inwestycji. </w:t>
            </w:r>
          </w:p>
          <w:p w14:paraId="4025380D" w14:textId="6C9103DD" w:rsidR="001B3725" w:rsidRPr="00D80606" w:rsidRDefault="001B3725" w:rsidP="00D80606">
            <w:pPr>
              <w:ind w:left="0"/>
              <w:jc w:val="left"/>
              <w:rPr>
                <w:rFonts w:asciiTheme="minorHAnsi" w:hAnsiTheme="minorHAnsi"/>
                <w:sz w:val="24"/>
                <w:szCs w:val="24"/>
              </w:rPr>
            </w:pPr>
          </w:p>
          <w:p w14:paraId="6EE42B9A" w14:textId="77777777" w:rsidR="00613588" w:rsidRPr="00D80606" w:rsidRDefault="00613588" w:rsidP="00D80606">
            <w:pPr>
              <w:ind w:left="0" w:right="25"/>
              <w:jc w:val="left"/>
              <w:rPr>
                <w:rFonts w:asciiTheme="minorHAnsi" w:hAnsiTheme="minorHAnsi"/>
                <w:b/>
                <w:sz w:val="24"/>
                <w:szCs w:val="24"/>
              </w:rPr>
            </w:pPr>
            <w:r w:rsidRPr="00D80606">
              <w:rPr>
                <w:rFonts w:asciiTheme="minorHAnsi" w:hAnsiTheme="minorHAnsi"/>
                <w:b/>
                <w:sz w:val="24"/>
                <w:szCs w:val="24"/>
              </w:rPr>
              <w:t xml:space="preserve">Planowane wyniki </w:t>
            </w:r>
          </w:p>
          <w:p w14:paraId="4269ADD4" w14:textId="48E21731" w:rsidR="009A0D85" w:rsidRPr="00613588" w:rsidRDefault="00655E2E" w:rsidP="00D80606">
            <w:pPr>
              <w:ind w:left="0" w:right="25"/>
              <w:jc w:val="left"/>
              <w:rPr>
                <w:rFonts w:asciiTheme="minorHAnsi" w:hAnsiTheme="minorHAnsi"/>
                <w:i/>
                <w:color w:val="000000"/>
              </w:rPr>
            </w:pPr>
            <w:r w:rsidRPr="00D80606">
              <w:rPr>
                <w:rFonts w:asciiTheme="minorHAnsi" w:hAnsiTheme="minorHAnsi"/>
                <w:sz w:val="24"/>
                <w:szCs w:val="24"/>
              </w:rPr>
              <w:t xml:space="preserve">Działania w ramach współpracy transnarodowej będą służyć budowie zdolności i wzmacnianiu pozycji władz publicznych, instytucji pośredniczących i pozostałych instytucji w celu stworzenia ramowych warunków umożliwiających doskonalenie umiejętności pracowników i przedsiębiorców w obliczu takich wyzwań jak gospodarka ekologiczna, cyfryzacja i przemiany przemysłowe. </w:t>
            </w:r>
            <w:r w:rsidR="00E50296" w:rsidRPr="00D80606">
              <w:rPr>
                <w:rFonts w:asciiTheme="minorHAnsi" w:hAnsiTheme="minorHAnsi"/>
                <w:sz w:val="24"/>
                <w:szCs w:val="24"/>
              </w:rPr>
              <w:t xml:space="preserve">Powyższe działania </w:t>
            </w:r>
            <w:r w:rsidR="00CC5C14" w:rsidRPr="00D80606">
              <w:rPr>
                <w:rFonts w:asciiTheme="minorHAnsi" w:hAnsiTheme="minorHAnsi"/>
                <w:sz w:val="24"/>
                <w:szCs w:val="24"/>
              </w:rPr>
              <w:t xml:space="preserve">będą prowadzić do formułowania polityk </w:t>
            </w:r>
            <w:r w:rsidR="00E50296" w:rsidRPr="00D80606">
              <w:rPr>
                <w:rFonts w:asciiTheme="minorHAnsi" w:hAnsiTheme="minorHAnsi"/>
                <w:sz w:val="24"/>
                <w:szCs w:val="24"/>
              </w:rPr>
              <w:t>na rzecz realizacji nowych i udoskonalonych usług służących rozwojowi umiejętności</w:t>
            </w:r>
            <w:r w:rsidRPr="00D80606">
              <w:rPr>
                <w:rFonts w:asciiTheme="minorHAnsi" w:hAnsiTheme="minorHAnsi"/>
                <w:sz w:val="24"/>
                <w:szCs w:val="24"/>
              </w:rPr>
              <w:t xml:space="preserve">. Pomoże to zwiększyć przewagę konkurencyjną regionów poprzez wzmocnienie zdolności niezbędnych do skutecznego procesu odkrywania przedsiębiorczości oraz przygotowania lub aktualizacji strategii inteligentnej specjalizacji. Warunki ramowe będą musiały </w:t>
            </w:r>
            <w:r w:rsidRPr="00D80606">
              <w:rPr>
                <w:rFonts w:asciiTheme="minorHAnsi" w:hAnsiTheme="minorHAnsi"/>
                <w:sz w:val="24"/>
                <w:szCs w:val="24"/>
              </w:rPr>
              <w:lastRenderedPageBreak/>
              <w:t>także sprzyjać włączeniu, umożliwiać obywatelom ze wszystkich terytoriów czerpanie korzyści z procesu przemian. Muszą one uwzględniać specyficzne wyzwania związane ze zróżnicowaniem terytorialnym, zmianami demograficznymi i drenażem mózgów.</w:t>
            </w:r>
          </w:p>
        </w:tc>
      </w:tr>
    </w:tbl>
    <w:p w14:paraId="55E7E579" w14:textId="77777777" w:rsidR="009A0D85" w:rsidRPr="00680741" w:rsidRDefault="009A0D85" w:rsidP="009A0D85">
      <w:pPr>
        <w:rPr>
          <w:rFonts w:asciiTheme="minorHAnsi" w:hAnsiTheme="minorHAnsi"/>
          <w:i/>
          <w:color w:val="000000"/>
        </w:rPr>
      </w:pPr>
    </w:p>
    <w:p w14:paraId="3C5B2D19" w14:textId="77777777" w:rsidR="009A0D85" w:rsidRPr="00D80606" w:rsidRDefault="009A0D85" w:rsidP="009A0D85">
      <w:pPr>
        <w:spacing w:before="240" w:after="240" w:line="240" w:lineRule="auto"/>
        <w:ind w:left="0"/>
        <w:rPr>
          <w:rFonts w:asciiTheme="minorHAnsi" w:hAnsiTheme="minorHAnsi"/>
          <w:b/>
          <w:sz w:val="24"/>
          <w:szCs w:val="24"/>
        </w:rPr>
      </w:pPr>
      <w:r w:rsidRPr="00D80606">
        <w:rPr>
          <w:rFonts w:asciiTheme="minorHAnsi" w:hAnsiTheme="minorHAnsi"/>
          <w:b/>
          <w:sz w:val="24"/>
          <w:szCs w:val="24"/>
        </w:rPr>
        <w:t>Dla programów INTERACT i ESPON:</w:t>
      </w:r>
    </w:p>
    <w:p w14:paraId="10DDDF44" w14:textId="77777777" w:rsidR="009A0D85" w:rsidRPr="00D80606" w:rsidRDefault="009A0D85" w:rsidP="009A0D85">
      <w:pPr>
        <w:spacing w:before="240" w:after="240" w:line="240" w:lineRule="auto"/>
        <w:ind w:left="0"/>
        <w:rPr>
          <w:rFonts w:asciiTheme="minorHAnsi" w:hAnsiTheme="minorHAnsi"/>
          <w:color w:val="000000"/>
        </w:rPr>
      </w:pPr>
      <w:r w:rsidRPr="00D80606">
        <w:rPr>
          <w:rFonts w:asciiTheme="minorHAnsi" w:hAnsiTheme="minorHAnsi"/>
          <w:color w:val="000000"/>
        </w:rPr>
        <w:t>Podstawa: art. 17 ust. 9 lit. c punkt i</w:t>
      </w:r>
    </w:p>
    <w:p w14:paraId="2ACAFC9C" w14:textId="77777777" w:rsidR="009A0D85" w:rsidRPr="00D80606" w:rsidRDefault="009A0D85" w:rsidP="009A0D85">
      <w:pPr>
        <w:spacing w:before="240" w:after="240" w:line="240" w:lineRule="auto"/>
        <w:ind w:left="0"/>
        <w:rPr>
          <w:rFonts w:asciiTheme="minorHAnsi" w:hAnsiTheme="minorHAnsi"/>
          <w:color w:val="000000"/>
        </w:rPr>
      </w:pPr>
      <w:r w:rsidRPr="00D80606">
        <w:rPr>
          <w:rFonts w:asciiTheme="minorHAnsi" w:hAnsiTheme="minorHAnsi"/>
          <w:color w:val="000000"/>
        </w:rPr>
        <w:t>Definicja pojedynczego beneficjenta lub zamkniętej listy beneficjentów i procedura przyznawania środków finansowych.</w:t>
      </w:r>
    </w:p>
    <w:p w14:paraId="4849BC65" w14:textId="77777777" w:rsidR="00613588" w:rsidRPr="00D80606" w:rsidRDefault="00613588" w:rsidP="009A0D85">
      <w:pPr>
        <w:spacing w:before="240" w:after="240" w:line="240" w:lineRule="auto"/>
        <w:ind w:left="0"/>
        <w:rPr>
          <w:rFonts w:asciiTheme="minorHAnsi" w:hAnsiTheme="minorHAnsi"/>
          <w:color w:val="000000"/>
        </w:rPr>
      </w:pPr>
      <w:r w:rsidRPr="00D80606">
        <w:rPr>
          <w:rFonts w:asciiTheme="minorHAnsi" w:hAnsiTheme="minorHAnsi"/>
          <w:color w:val="000000"/>
        </w:rPr>
        <w:t>Pole tekstowe [7000]</w:t>
      </w:r>
    </w:p>
    <w:p w14:paraId="4FCD52B8" w14:textId="77777777" w:rsidR="009A0D85" w:rsidRPr="00D80606" w:rsidRDefault="00004898" w:rsidP="009A0D85">
      <w:pPr>
        <w:pBdr>
          <w:top w:val="single" w:sz="4" w:space="1" w:color="000000"/>
          <w:left w:val="single" w:sz="4" w:space="4" w:color="000000"/>
          <w:bottom w:val="single" w:sz="4" w:space="1" w:color="000000"/>
          <w:right w:val="single" w:sz="4" w:space="4" w:color="000000"/>
        </w:pBdr>
        <w:ind w:left="142"/>
        <w:rPr>
          <w:rFonts w:asciiTheme="minorHAnsi" w:hAnsiTheme="minorHAnsi"/>
          <w:color w:val="000000"/>
          <w:sz w:val="24"/>
          <w:szCs w:val="24"/>
        </w:rPr>
      </w:pPr>
      <w:r w:rsidRPr="00D80606">
        <w:rPr>
          <w:rFonts w:asciiTheme="minorHAnsi" w:hAnsiTheme="minorHAnsi"/>
          <w:color w:val="000000"/>
          <w:sz w:val="24"/>
          <w:szCs w:val="24"/>
        </w:rPr>
        <w:t>Nie dotyczy.</w:t>
      </w:r>
    </w:p>
    <w:p w14:paraId="12EB497E" w14:textId="77777777" w:rsidR="008559FE" w:rsidRPr="00680741" w:rsidRDefault="008559FE" w:rsidP="009A0D85">
      <w:pPr>
        <w:spacing w:before="240" w:after="240" w:line="240" w:lineRule="auto"/>
        <w:ind w:left="709" w:hanging="709"/>
        <w:rPr>
          <w:rFonts w:asciiTheme="minorHAnsi" w:hAnsiTheme="minorHAnsi"/>
          <w:b/>
          <w:sz w:val="24"/>
          <w:szCs w:val="24"/>
        </w:rPr>
      </w:pPr>
    </w:p>
    <w:p w14:paraId="676F28C8" w14:textId="77777777" w:rsidR="009A0D85" w:rsidRPr="008727F2" w:rsidRDefault="009A0D85" w:rsidP="009A0D85">
      <w:pPr>
        <w:spacing w:before="240" w:after="240" w:line="240" w:lineRule="auto"/>
        <w:ind w:left="709" w:hanging="709"/>
        <w:rPr>
          <w:rFonts w:asciiTheme="minorHAnsi" w:hAnsiTheme="minorHAnsi"/>
          <w:b/>
          <w:sz w:val="24"/>
          <w:szCs w:val="24"/>
        </w:rPr>
      </w:pPr>
      <w:r>
        <w:rPr>
          <w:rFonts w:asciiTheme="minorHAnsi" w:hAnsiTheme="minorHAnsi"/>
          <w:b/>
          <w:sz w:val="24"/>
        </w:rPr>
        <w:t>2.1.2.2</w:t>
      </w:r>
      <w:r>
        <w:rPr>
          <w:rFonts w:asciiTheme="minorHAnsi" w:hAnsiTheme="minorHAnsi"/>
          <w:b/>
          <w:sz w:val="24"/>
        </w:rPr>
        <w:tab/>
        <w:t>Wskaźniki</w:t>
      </w:r>
    </w:p>
    <w:p w14:paraId="2E7C81D6" w14:textId="77777777" w:rsidR="009A0D85" w:rsidRPr="00D80606" w:rsidRDefault="009A0D85" w:rsidP="009A0D85">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ii, art. 17 ust. 9 lit. c punkt iii</w:t>
      </w:r>
    </w:p>
    <w:p w14:paraId="798DA7E9" w14:textId="77777777" w:rsidR="008559FE" w:rsidRPr="009A0D85" w:rsidRDefault="008559FE" w:rsidP="008559FE">
      <w:pPr>
        <w:spacing w:before="240" w:after="240" w:line="240" w:lineRule="auto"/>
        <w:ind w:left="0"/>
        <w:rPr>
          <w:rFonts w:asciiTheme="minorHAnsi" w:hAnsiTheme="minorHAnsi"/>
          <w:szCs w:val="24"/>
        </w:rPr>
      </w:pPr>
      <w:r>
        <w:rPr>
          <w:rFonts w:asciiTheme="minorHAnsi" w:hAnsiTheme="minorHAnsi"/>
        </w:rPr>
        <w:t>Tabela 2: Wskaźniki produktów</w:t>
      </w:r>
    </w:p>
    <w:tbl>
      <w:tblPr>
        <w:tblStyle w:val="18"/>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4"/>
        <w:gridCol w:w="1331"/>
        <w:gridCol w:w="1418"/>
        <w:gridCol w:w="2202"/>
        <w:gridCol w:w="1688"/>
        <w:gridCol w:w="1018"/>
        <w:gridCol w:w="1075"/>
      </w:tblGrid>
      <w:tr w:rsidR="008559FE" w:rsidRPr="008727F2" w14:paraId="380E659F" w14:textId="77777777" w:rsidTr="00A50167">
        <w:trPr>
          <w:trHeight w:val="836"/>
        </w:trPr>
        <w:tc>
          <w:tcPr>
            <w:tcW w:w="398" w:type="pct"/>
          </w:tcPr>
          <w:p w14:paraId="4A6F8630"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Priorytet </w:t>
            </w:r>
          </w:p>
        </w:tc>
        <w:tc>
          <w:tcPr>
            <w:tcW w:w="467" w:type="pct"/>
          </w:tcPr>
          <w:p w14:paraId="337BB2AF"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szczegółowy</w:t>
            </w:r>
          </w:p>
        </w:tc>
        <w:tc>
          <w:tcPr>
            <w:tcW w:w="534" w:type="pct"/>
          </w:tcPr>
          <w:p w14:paraId="2B82B5D9"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IDENTYFIKATOR</w:t>
            </w:r>
          </w:p>
          <w:p w14:paraId="50870A3E"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[5]</w:t>
            </w:r>
          </w:p>
        </w:tc>
        <w:tc>
          <w:tcPr>
            <w:tcW w:w="1267" w:type="pct"/>
            <w:shd w:val="clear" w:color="auto" w:fill="auto"/>
          </w:tcPr>
          <w:p w14:paraId="67A0C024"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Wskaźnik </w:t>
            </w:r>
          </w:p>
        </w:tc>
        <w:tc>
          <w:tcPr>
            <w:tcW w:w="1000" w:type="pct"/>
          </w:tcPr>
          <w:p w14:paraId="1CF81A32"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Jednostka miary</w:t>
            </w:r>
          </w:p>
          <w:p w14:paraId="75119FF7"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[255]</w:t>
            </w:r>
          </w:p>
        </w:tc>
        <w:tc>
          <w:tcPr>
            <w:tcW w:w="652" w:type="pct"/>
            <w:shd w:val="clear" w:color="auto" w:fill="auto"/>
          </w:tcPr>
          <w:p w14:paraId="4032C296"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Kamień milowy (2024)</w:t>
            </w:r>
          </w:p>
          <w:p w14:paraId="765FD812"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[200]</w:t>
            </w:r>
          </w:p>
        </w:tc>
        <w:tc>
          <w:tcPr>
            <w:tcW w:w="682" w:type="pct"/>
            <w:shd w:val="clear" w:color="auto" w:fill="auto"/>
          </w:tcPr>
          <w:p w14:paraId="55F113BD"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końcowy (2029)</w:t>
            </w:r>
          </w:p>
          <w:p w14:paraId="1C8F1467"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[200]</w:t>
            </w:r>
          </w:p>
        </w:tc>
      </w:tr>
      <w:tr w:rsidR="008559FE" w:rsidRPr="001B3725" w14:paraId="50AFFD81" w14:textId="77777777" w:rsidTr="00A50167">
        <w:trPr>
          <w:trHeight w:val="579"/>
        </w:trPr>
        <w:tc>
          <w:tcPr>
            <w:tcW w:w="398" w:type="pct"/>
          </w:tcPr>
          <w:p w14:paraId="1B5D5310" w14:textId="77777777" w:rsidR="008559FE" w:rsidRPr="001B3B78"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1</w:t>
            </w:r>
          </w:p>
        </w:tc>
        <w:tc>
          <w:tcPr>
            <w:tcW w:w="467" w:type="pct"/>
          </w:tcPr>
          <w:p w14:paraId="66485F88"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1.2</w:t>
            </w:r>
          </w:p>
        </w:tc>
        <w:tc>
          <w:tcPr>
            <w:tcW w:w="534" w:type="pct"/>
          </w:tcPr>
          <w:p w14:paraId="0185D2A1"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83 RCO</w:t>
            </w:r>
          </w:p>
        </w:tc>
        <w:tc>
          <w:tcPr>
            <w:tcW w:w="1267" w:type="pct"/>
            <w:shd w:val="clear" w:color="auto" w:fill="auto"/>
          </w:tcPr>
          <w:p w14:paraId="05EE2563" w14:textId="77777777" w:rsidR="008559FE" w:rsidRPr="00BF081B"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Wspólnie opracowane strategie i plany działania</w:t>
            </w:r>
          </w:p>
        </w:tc>
        <w:tc>
          <w:tcPr>
            <w:tcW w:w="1000" w:type="pct"/>
          </w:tcPr>
          <w:p w14:paraId="1C1CF19A" w14:textId="77777777" w:rsidR="008559FE" w:rsidRPr="001B3B78"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Strategia/plan działania</w:t>
            </w:r>
          </w:p>
        </w:tc>
        <w:tc>
          <w:tcPr>
            <w:tcW w:w="652" w:type="pct"/>
            <w:shd w:val="clear" w:color="auto" w:fill="auto"/>
          </w:tcPr>
          <w:p w14:paraId="1D6D6D7B"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0A0DDBA5"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r>
      <w:tr w:rsidR="008559FE" w:rsidRPr="008727F2" w14:paraId="7EB32FEF" w14:textId="77777777" w:rsidTr="00A50167">
        <w:trPr>
          <w:trHeight w:val="579"/>
        </w:trPr>
        <w:tc>
          <w:tcPr>
            <w:tcW w:w="398" w:type="pct"/>
          </w:tcPr>
          <w:p w14:paraId="0A9D14AC" w14:textId="77777777" w:rsidR="008559FE" w:rsidRPr="001B3B78"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1</w:t>
            </w:r>
          </w:p>
        </w:tc>
        <w:tc>
          <w:tcPr>
            <w:tcW w:w="467" w:type="pct"/>
          </w:tcPr>
          <w:p w14:paraId="472EBB56"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1.2</w:t>
            </w:r>
          </w:p>
        </w:tc>
        <w:tc>
          <w:tcPr>
            <w:tcW w:w="534" w:type="pct"/>
          </w:tcPr>
          <w:p w14:paraId="66D5BC90"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84 RCO</w:t>
            </w:r>
          </w:p>
        </w:tc>
        <w:tc>
          <w:tcPr>
            <w:tcW w:w="1267" w:type="pct"/>
            <w:shd w:val="clear" w:color="auto" w:fill="auto"/>
          </w:tcPr>
          <w:p w14:paraId="30AFD6DA" w14:textId="77777777" w:rsidR="008559FE" w:rsidRPr="00BF081B"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Działania pilotażowe opracowane wspólnie i realizowane w ramach projektów</w:t>
            </w:r>
          </w:p>
        </w:tc>
        <w:tc>
          <w:tcPr>
            <w:tcW w:w="1000" w:type="pct"/>
          </w:tcPr>
          <w:p w14:paraId="64D22A4E" w14:textId="77777777" w:rsidR="008559FE" w:rsidRPr="001B3B78"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Działanie pilotażowe</w:t>
            </w:r>
          </w:p>
        </w:tc>
        <w:tc>
          <w:tcPr>
            <w:tcW w:w="652" w:type="pct"/>
            <w:shd w:val="clear" w:color="auto" w:fill="auto"/>
          </w:tcPr>
          <w:p w14:paraId="6DADEC9E"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445B5405"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r>
      <w:tr w:rsidR="008559FE" w:rsidRPr="008727F2" w14:paraId="13D2B210" w14:textId="77777777" w:rsidTr="00A50167">
        <w:trPr>
          <w:trHeight w:val="579"/>
        </w:trPr>
        <w:tc>
          <w:tcPr>
            <w:tcW w:w="398" w:type="pct"/>
          </w:tcPr>
          <w:p w14:paraId="3B42E826" w14:textId="77777777" w:rsidR="008559FE" w:rsidRPr="001B3B78"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1</w:t>
            </w:r>
          </w:p>
        </w:tc>
        <w:tc>
          <w:tcPr>
            <w:tcW w:w="467" w:type="pct"/>
          </w:tcPr>
          <w:p w14:paraId="10D0CB41"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1.2</w:t>
            </w:r>
          </w:p>
        </w:tc>
        <w:tc>
          <w:tcPr>
            <w:tcW w:w="534" w:type="pct"/>
          </w:tcPr>
          <w:p w14:paraId="35124119" w14:textId="77777777" w:rsidR="008559FE"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87 RCO</w:t>
            </w:r>
          </w:p>
        </w:tc>
        <w:tc>
          <w:tcPr>
            <w:tcW w:w="1267" w:type="pct"/>
            <w:shd w:val="clear" w:color="auto" w:fill="auto"/>
          </w:tcPr>
          <w:p w14:paraId="185836AC" w14:textId="77777777" w:rsidR="008559FE" w:rsidRPr="001B3B78"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Organizacje współpracujące ponad granicami</w:t>
            </w:r>
          </w:p>
        </w:tc>
        <w:tc>
          <w:tcPr>
            <w:tcW w:w="1000" w:type="pct"/>
          </w:tcPr>
          <w:p w14:paraId="0B362F1E" w14:textId="77777777" w:rsidR="008559FE" w:rsidRPr="001B3B78"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Organizacja</w:t>
            </w:r>
          </w:p>
        </w:tc>
        <w:tc>
          <w:tcPr>
            <w:tcW w:w="652" w:type="pct"/>
            <w:shd w:val="clear" w:color="auto" w:fill="auto"/>
          </w:tcPr>
          <w:p w14:paraId="38BA4214"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5C85CB3C"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r>
      <w:tr w:rsidR="008559FE" w:rsidRPr="008727F2" w14:paraId="051092F2" w14:textId="77777777" w:rsidTr="00A50167">
        <w:trPr>
          <w:trHeight w:val="579"/>
        </w:trPr>
        <w:tc>
          <w:tcPr>
            <w:tcW w:w="398" w:type="pct"/>
          </w:tcPr>
          <w:p w14:paraId="1505CD8E" w14:textId="77777777" w:rsidR="008559FE" w:rsidRPr="001B3B78"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1</w:t>
            </w:r>
          </w:p>
        </w:tc>
        <w:tc>
          <w:tcPr>
            <w:tcW w:w="467" w:type="pct"/>
          </w:tcPr>
          <w:p w14:paraId="1AAB8DD7"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1.2</w:t>
            </w:r>
          </w:p>
        </w:tc>
        <w:tc>
          <w:tcPr>
            <w:tcW w:w="534" w:type="pct"/>
          </w:tcPr>
          <w:p w14:paraId="426D2EFF" w14:textId="77777777" w:rsidR="008559FE"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116 RCO</w:t>
            </w:r>
          </w:p>
        </w:tc>
        <w:tc>
          <w:tcPr>
            <w:tcW w:w="1267" w:type="pct"/>
            <w:shd w:val="clear" w:color="auto" w:fill="auto"/>
          </w:tcPr>
          <w:p w14:paraId="71B0C7D2" w14:textId="77777777" w:rsidR="008559FE" w:rsidRPr="001B3B78"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Wspólnie opracowane rozwiązania</w:t>
            </w:r>
          </w:p>
        </w:tc>
        <w:tc>
          <w:tcPr>
            <w:tcW w:w="1000" w:type="pct"/>
          </w:tcPr>
          <w:p w14:paraId="25EEC5AB" w14:textId="77777777" w:rsidR="008559FE" w:rsidRPr="001B3B78"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Rozwiązanie</w:t>
            </w:r>
          </w:p>
        </w:tc>
        <w:tc>
          <w:tcPr>
            <w:tcW w:w="652" w:type="pct"/>
            <w:shd w:val="clear" w:color="auto" w:fill="auto"/>
          </w:tcPr>
          <w:p w14:paraId="5421E6B2"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339C0FA2"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r>
    </w:tbl>
    <w:p w14:paraId="323D2BF0" w14:textId="77777777" w:rsidR="000C45E3" w:rsidRDefault="000C45E3" w:rsidP="008559FE">
      <w:pPr>
        <w:spacing w:before="240" w:after="240" w:line="240" w:lineRule="auto"/>
        <w:ind w:left="0"/>
        <w:rPr>
          <w:rFonts w:asciiTheme="minorHAnsi" w:hAnsiTheme="minorHAnsi"/>
        </w:rPr>
      </w:pPr>
    </w:p>
    <w:p w14:paraId="69259EC4" w14:textId="77777777" w:rsidR="000C45E3" w:rsidRDefault="000C45E3">
      <w:pPr>
        <w:spacing w:before="0" w:line="240" w:lineRule="auto"/>
        <w:ind w:left="0" w:right="0"/>
        <w:jc w:val="left"/>
        <w:rPr>
          <w:rFonts w:asciiTheme="minorHAnsi" w:hAnsiTheme="minorHAnsi"/>
        </w:rPr>
      </w:pPr>
      <w:r>
        <w:rPr>
          <w:rFonts w:asciiTheme="minorHAnsi" w:hAnsiTheme="minorHAnsi"/>
        </w:rPr>
        <w:br w:type="page"/>
      </w:r>
    </w:p>
    <w:p w14:paraId="67E20044" w14:textId="6FCB666F" w:rsidR="008559FE" w:rsidRPr="009A0D85" w:rsidRDefault="008559FE" w:rsidP="008559FE">
      <w:pPr>
        <w:spacing w:before="240" w:after="240" w:line="240" w:lineRule="auto"/>
        <w:ind w:left="0"/>
        <w:rPr>
          <w:rFonts w:asciiTheme="minorHAnsi" w:hAnsiTheme="minorHAnsi"/>
          <w:szCs w:val="24"/>
        </w:rPr>
      </w:pPr>
      <w:r>
        <w:rPr>
          <w:rFonts w:asciiTheme="minorHAnsi" w:hAnsiTheme="minorHAnsi"/>
        </w:rPr>
        <w:lastRenderedPageBreak/>
        <w:t>Tabela 3: Wskaźniki wyników</w:t>
      </w:r>
    </w:p>
    <w:tbl>
      <w:tblPr>
        <w:tblStyle w:val="1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53"/>
        <w:gridCol w:w="1083"/>
        <w:gridCol w:w="1151"/>
        <w:gridCol w:w="1313"/>
        <w:gridCol w:w="1086"/>
        <w:gridCol w:w="777"/>
        <w:gridCol w:w="892"/>
        <w:gridCol w:w="738"/>
        <w:gridCol w:w="1266"/>
        <w:gridCol w:w="577"/>
      </w:tblGrid>
      <w:tr w:rsidR="008559FE" w:rsidRPr="008727F2" w14:paraId="07B5AF0C" w14:textId="77777777" w:rsidTr="00A50167">
        <w:trPr>
          <w:trHeight w:val="947"/>
        </w:trPr>
        <w:tc>
          <w:tcPr>
            <w:tcW w:w="393" w:type="pct"/>
          </w:tcPr>
          <w:p w14:paraId="64310CF0"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Priorytet </w:t>
            </w:r>
          </w:p>
        </w:tc>
        <w:tc>
          <w:tcPr>
            <w:tcW w:w="423" w:type="pct"/>
          </w:tcPr>
          <w:p w14:paraId="48CA4407"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szczegółowy</w:t>
            </w:r>
          </w:p>
        </w:tc>
        <w:tc>
          <w:tcPr>
            <w:tcW w:w="452" w:type="pct"/>
          </w:tcPr>
          <w:p w14:paraId="12A0AF84"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IDENTYFIKATOR</w:t>
            </w:r>
          </w:p>
        </w:tc>
        <w:tc>
          <w:tcPr>
            <w:tcW w:w="805" w:type="pct"/>
            <w:shd w:val="clear" w:color="auto" w:fill="auto"/>
          </w:tcPr>
          <w:p w14:paraId="397A0ECE"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Wskaźnik </w:t>
            </w:r>
          </w:p>
        </w:tc>
        <w:tc>
          <w:tcPr>
            <w:tcW w:w="629" w:type="pct"/>
          </w:tcPr>
          <w:p w14:paraId="1A96C2FD"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Jednostka miary</w:t>
            </w:r>
          </w:p>
        </w:tc>
        <w:tc>
          <w:tcPr>
            <w:tcW w:w="380" w:type="pct"/>
          </w:tcPr>
          <w:p w14:paraId="24C328B2"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Podstawa</w:t>
            </w:r>
          </w:p>
        </w:tc>
        <w:tc>
          <w:tcPr>
            <w:tcW w:w="503" w:type="pct"/>
          </w:tcPr>
          <w:p w14:paraId="6DFD04C3"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Rok odniesienia</w:t>
            </w:r>
          </w:p>
        </w:tc>
        <w:tc>
          <w:tcPr>
            <w:tcW w:w="377" w:type="pct"/>
            <w:shd w:val="clear" w:color="auto" w:fill="auto"/>
          </w:tcPr>
          <w:p w14:paraId="1EAC8D5A"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końcowy (2029)</w:t>
            </w:r>
          </w:p>
        </w:tc>
        <w:tc>
          <w:tcPr>
            <w:tcW w:w="562" w:type="pct"/>
            <w:shd w:val="clear" w:color="auto" w:fill="auto"/>
          </w:tcPr>
          <w:p w14:paraId="5CB7675F" w14:textId="77777777" w:rsidR="008559FE" w:rsidRPr="008503E7" w:rsidRDefault="008559FE" w:rsidP="008559FE">
            <w:pPr>
              <w:pBdr>
                <w:top w:val="nil"/>
                <w:left w:val="nil"/>
                <w:bottom w:val="nil"/>
                <w:right w:val="nil"/>
                <w:between w:val="nil"/>
              </w:pBdr>
              <w:spacing w:after="120" w:line="240" w:lineRule="auto"/>
              <w:ind w:left="0" w:right="0"/>
              <w:jc w:val="center"/>
              <w:rPr>
                <w:rFonts w:asciiTheme="minorHAnsi" w:hAnsiTheme="minorHAnsi"/>
                <w:b/>
                <w:color w:val="000000"/>
                <w:sz w:val="16"/>
                <w:szCs w:val="16"/>
              </w:rPr>
            </w:pPr>
            <w:r>
              <w:rPr>
                <w:rFonts w:asciiTheme="minorHAnsi" w:hAnsiTheme="minorHAnsi"/>
                <w:b/>
                <w:color w:val="000000"/>
                <w:sz w:val="16"/>
              </w:rPr>
              <w:t>Źródło danych</w:t>
            </w:r>
          </w:p>
        </w:tc>
        <w:tc>
          <w:tcPr>
            <w:tcW w:w="476" w:type="pct"/>
          </w:tcPr>
          <w:p w14:paraId="030591C4" w14:textId="77777777" w:rsidR="008559FE" w:rsidRPr="00570B26" w:rsidRDefault="008559FE" w:rsidP="008559FE">
            <w:pPr>
              <w:pBdr>
                <w:top w:val="nil"/>
                <w:left w:val="nil"/>
                <w:bottom w:val="nil"/>
                <w:right w:val="nil"/>
                <w:between w:val="nil"/>
              </w:pBdr>
              <w:spacing w:after="120" w:line="480" w:lineRule="auto"/>
              <w:ind w:left="0" w:right="0"/>
              <w:rPr>
                <w:rFonts w:asciiTheme="minorHAnsi" w:hAnsiTheme="minorHAnsi"/>
                <w:b/>
                <w:color w:val="000000"/>
                <w:sz w:val="16"/>
                <w:szCs w:val="16"/>
              </w:rPr>
            </w:pPr>
            <w:r>
              <w:rPr>
                <w:rFonts w:asciiTheme="minorHAnsi" w:hAnsiTheme="minorHAnsi"/>
                <w:b/>
                <w:color w:val="000000"/>
                <w:sz w:val="16"/>
              </w:rPr>
              <w:t>Uwagi</w:t>
            </w:r>
          </w:p>
        </w:tc>
      </w:tr>
      <w:tr w:rsidR="008559FE" w:rsidRPr="004854D7" w14:paraId="73CE7348" w14:textId="77777777" w:rsidTr="00A50167">
        <w:trPr>
          <w:trHeight w:val="629"/>
        </w:trPr>
        <w:tc>
          <w:tcPr>
            <w:tcW w:w="393" w:type="pct"/>
          </w:tcPr>
          <w:p w14:paraId="60092498" w14:textId="77777777" w:rsidR="008559FE" w:rsidRPr="004854D7"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1</w:t>
            </w:r>
          </w:p>
        </w:tc>
        <w:tc>
          <w:tcPr>
            <w:tcW w:w="423" w:type="pct"/>
          </w:tcPr>
          <w:p w14:paraId="59CDC5C2" w14:textId="77777777" w:rsidR="008559FE" w:rsidRPr="004854D7"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1.2</w:t>
            </w:r>
          </w:p>
        </w:tc>
        <w:tc>
          <w:tcPr>
            <w:tcW w:w="452" w:type="pct"/>
          </w:tcPr>
          <w:p w14:paraId="46287945" w14:textId="77777777" w:rsidR="008559FE" w:rsidRPr="004854D7"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79 RCR</w:t>
            </w:r>
          </w:p>
        </w:tc>
        <w:tc>
          <w:tcPr>
            <w:tcW w:w="805" w:type="pct"/>
            <w:shd w:val="clear" w:color="auto" w:fill="auto"/>
          </w:tcPr>
          <w:p w14:paraId="19C12515" w14:textId="77777777" w:rsidR="008559FE" w:rsidRPr="00BF081B"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Wspólne strategie i plany działania podejmowane przez organizacje</w:t>
            </w:r>
          </w:p>
        </w:tc>
        <w:tc>
          <w:tcPr>
            <w:tcW w:w="629" w:type="pct"/>
          </w:tcPr>
          <w:p w14:paraId="21B86861" w14:textId="77777777" w:rsidR="008559FE" w:rsidRPr="004854D7"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Wspólna strategia / plan działania</w:t>
            </w:r>
          </w:p>
        </w:tc>
        <w:tc>
          <w:tcPr>
            <w:tcW w:w="380" w:type="pct"/>
          </w:tcPr>
          <w:p w14:paraId="3A890B3C" w14:textId="77777777" w:rsidR="008559FE" w:rsidRPr="004854D7"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503" w:type="pct"/>
          </w:tcPr>
          <w:p w14:paraId="3680C6E7" w14:textId="77777777" w:rsidR="008559FE" w:rsidRPr="004854D7"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377" w:type="pct"/>
            <w:shd w:val="clear" w:color="auto" w:fill="auto"/>
          </w:tcPr>
          <w:p w14:paraId="055B580D" w14:textId="77777777" w:rsidR="008559FE" w:rsidRPr="004854D7"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p>
        </w:tc>
        <w:tc>
          <w:tcPr>
            <w:tcW w:w="562" w:type="pct"/>
            <w:shd w:val="clear" w:color="auto" w:fill="auto"/>
          </w:tcPr>
          <w:p w14:paraId="1C4D8CD1" w14:textId="77777777" w:rsidR="008559FE" w:rsidRPr="004854D7"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System monitorowania programu</w:t>
            </w:r>
          </w:p>
        </w:tc>
        <w:tc>
          <w:tcPr>
            <w:tcW w:w="476" w:type="pct"/>
          </w:tcPr>
          <w:p w14:paraId="661FFA33" w14:textId="77777777" w:rsidR="008559FE" w:rsidRPr="004854D7" w:rsidRDefault="008559FE" w:rsidP="008559FE">
            <w:pPr>
              <w:ind w:left="0" w:right="0"/>
              <w:rPr>
                <w:rFonts w:asciiTheme="minorHAnsi" w:hAnsiTheme="minorHAnsi"/>
                <w:color w:val="000000"/>
              </w:rPr>
            </w:pPr>
          </w:p>
        </w:tc>
      </w:tr>
      <w:tr w:rsidR="008559FE" w:rsidRPr="00D465BC" w14:paraId="0300D0F1" w14:textId="77777777" w:rsidTr="00A50167">
        <w:trPr>
          <w:trHeight w:val="629"/>
        </w:trPr>
        <w:tc>
          <w:tcPr>
            <w:tcW w:w="393" w:type="pct"/>
          </w:tcPr>
          <w:p w14:paraId="52297B8E"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1</w:t>
            </w:r>
          </w:p>
        </w:tc>
        <w:tc>
          <w:tcPr>
            <w:tcW w:w="423" w:type="pct"/>
          </w:tcPr>
          <w:p w14:paraId="1C75CDBB"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1.2</w:t>
            </w:r>
          </w:p>
        </w:tc>
        <w:tc>
          <w:tcPr>
            <w:tcW w:w="452" w:type="pct"/>
          </w:tcPr>
          <w:p w14:paraId="6E623BEC"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84 RCR</w:t>
            </w:r>
          </w:p>
        </w:tc>
        <w:tc>
          <w:tcPr>
            <w:tcW w:w="805" w:type="pct"/>
            <w:shd w:val="clear" w:color="auto" w:fill="auto"/>
          </w:tcPr>
          <w:p w14:paraId="49A1C764" w14:textId="77777777" w:rsidR="008559FE" w:rsidRPr="00BF081B"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Organizacje współpracujące ponad granicami po zakończeniu projektu</w:t>
            </w:r>
          </w:p>
        </w:tc>
        <w:tc>
          <w:tcPr>
            <w:tcW w:w="629" w:type="pct"/>
          </w:tcPr>
          <w:p w14:paraId="5E6B2E81"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Organizacja</w:t>
            </w:r>
          </w:p>
        </w:tc>
        <w:tc>
          <w:tcPr>
            <w:tcW w:w="380" w:type="pct"/>
          </w:tcPr>
          <w:p w14:paraId="50E3E946"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503" w:type="pct"/>
          </w:tcPr>
          <w:p w14:paraId="5278F72C"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377" w:type="pct"/>
            <w:shd w:val="clear" w:color="auto" w:fill="auto"/>
          </w:tcPr>
          <w:p w14:paraId="05AF3D89"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p>
        </w:tc>
        <w:tc>
          <w:tcPr>
            <w:tcW w:w="562" w:type="pct"/>
            <w:shd w:val="clear" w:color="auto" w:fill="auto"/>
          </w:tcPr>
          <w:p w14:paraId="2ED86F7C"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System monitorowania programu</w:t>
            </w:r>
          </w:p>
        </w:tc>
        <w:tc>
          <w:tcPr>
            <w:tcW w:w="476" w:type="pct"/>
          </w:tcPr>
          <w:p w14:paraId="4039C329" w14:textId="77777777" w:rsidR="008559FE" w:rsidRPr="00D465BC" w:rsidRDefault="008559FE" w:rsidP="008559FE">
            <w:pPr>
              <w:ind w:left="0" w:right="0"/>
              <w:rPr>
                <w:rFonts w:asciiTheme="minorHAnsi" w:hAnsiTheme="minorHAnsi"/>
                <w:color w:val="000000"/>
              </w:rPr>
            </w:pPr>
          </w:p>
        </w:tc>
      </w:tr>
      <w:tr w:rsidR="008559FE" w:rsidRPr="00D465BC" w14:paraId="3E3C6E0F" w14:textId="77777777" w:rsidTr="00A50167">
        <w:trPr>
          <w:trHeight w:val="629"/>
        </w:trPr>
        <w:tc>
          <w:tcPr>
            <w:tcW w:w="393" w:type="pct"/>
          </w:tcPr>
          <w:p w14:paraId="515C673F"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1</w:t>
            </w:r>
          </w:p>
        </w:tc>
        <w:tc>
          <w:tcPr>
            <w:tcW w:w="423" w:type="pct"/>
          </w:tcPr>
          <w:p w14:paraId="60F1B07B"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1.2</w:t>
            </w:r>
          </w:p>
        </w:tc>
        <w:tc>
          <w:tcPr>
            <w:tcW w:w="452" w:type="pct"/>
          </w:tcPr>
          <w:p w14:paraId="330C524D"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104 RCR</w:t>
            </w:r>
          </w:p>
        </w:tc>
        <w:tc>
          <w:tcPr>
            <w:tcW w:w="805" w:type="pct"/>
            <w:shd w:val="clear" w:color="auto" w:fill="auto"/>
          </w:tcPr>
          <w:p w14:paraId="7ABE11DC" w14:textId="77777777" w:rsidR="008559FE" w:rsidRPr="00BF081B"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Rozwiązania przyjmowane lub doskonalone przez organizacje</w:t>
            </w:r>
          </w:p>
        </w:tc>
        <w:tc>
          <w:tcPr>
            <w:tcW w:w="629" w:type="pct"/>
          </w:tcPr>
          <w:p w14:paraId="68C02679"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Rozwiązanie</w:t>
            </w:r>
          </w:p>
        </w:tc>
        <w:tc>
          <w:tcPr>
            <w:tcW w:w="380" w:type="pct"/>
          </w:tcPr>
          <w:p w14:paraId="2E90CC0C"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503" w:type="pct"/>
          </w:tcPr>
          <w:p w14:paraId="03F0A4E8"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377" w:type="pct"/>
            <w:shd w:val="clear" w:color="auto" w:fill="auto"/>
          </w:tcPr>
          <w:p w14:paraId="41F302C4"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p>
        </w:tc>
        <w:tc>
          <w:tcPr>
            <w:tcW w:w="562" w:type="pct"/>
            <w:shd w:val="clear" w:color="auto" w:fill="auto"/>
          </w:tcPr>
          <w:p w14:paraId="22BDF2AB"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System monitorowania programu</w:t>
            </w:r>
          </w:p>
        </w:tc>
        <w:tc>
          <w:tcPr>
            <w:tcW w:w="476" w:type="pct"/>
          </w:tcPr>
          <w:p w14:paraId="6C135F50" w14:textId="77777777" w:rsidR="008559FE" w:rsidRPr="00D465BC" w:rsidRDefault="008559FE" w:rsidP="008559FE">
            <w:pPr>
              <w:ind w:left="0" w:right="0"/>
              <w:rPr>
                <w:rFonts w:asciiTheme="minorHAnsi" w:hAnsiTheme="minorHAnsi"/>
                <w:color w:val="000000"/>
              </w:rPr>
            </w:pPr>
          </w:p>
        </w:tc>
      </w:tr>
    </w:tbl>
    <w:p w14:paraId="2F5701CD" w14:textId="77777777" w:rsidR="00875F09" w:rsidRDefault="00875F09" w:rsidP="009A0D85">
      <w:pPr>
        <w:spacing w:before="240" w:after="240" w:line="240" w:lineRule="auto"/>
        <w:ind w:left="709" w:hanging="709"/>
        <w:rPr>
          <w:rFonts w:asciiTheme="minorHAnsi" w:hAnsiTheme="minorHAnsi"/>
          <w:b/>
          <w:sz w:val="24"/>
          <w:szCs w:val="24"/>
          <w:lang w:val="en-GB"/>
        </w:rPr>
      </w:pPr>
    </w:p>
    <w:p w14:paraId="37ECF2D6" w14:textId="77777777" w:rsidR="009A0D85" w:rsidRPr="00570B26" w:rsidRDefault="009A0D85" w:rsidP="009A0D85">
      <w:pPr>
        <w:spacing w:before="240" w:after="240" w:line="240" w:lineRule="auto"/>
        <w:ind w:left="709" w:hanging="709"/>
        <w:rPr>
          <w:rFonts w:asciiTheme="minorHAnsi" w:hAnsiTheme="minorHAnsi"/>
          <w:b/>
          <w:sz w:val="24"/>
          <w:szCs w:val="24"/>
        </w:rPr>
      </w:pPr>
      <w:r>
        <w:rPr>
          <w:rFonts w:asciiTheme="minorHAnsi" w:hAnsiTheme="minorHAnsi"/>
          <w:b/>
          <w:sz w:val="24"/>
        </w:rPr>
        <w:t>2.1.2.3</w:t>
      </w:r>
      <w:r>
        <w:rPr>
          <w:rFonts w:asciiTheme="minorHAnsi" w:hAnsiTheme="minorHAnsi"/>
          <w:b/>
          <w:sz w:val="24"/>
        </w:rPr>
        <w:tab/>
        <w:t>Główne grupy docelowe</w:t>
      </w:r>
    </w:p>
    <w:p w14:paraId="182CBBA9" w14:textId="77777777" w:rsidR="009A0D85" w:rsidRPr="00D80606" w:rsidRDefault="009A0D85" w:rsidP="009A0D85">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iii, art. 17 ust. 9 lit. c punkt iv</w:t>
      </w:r>
    </w:p>
    <w:p w14:paraId="0727F38D" w14:textId="77777777" w:rsidR="00613588" w:rsidRPr="00D80606" w:rsidRDefault="00613588" w:rsidP="009A0D85">
      <w:pPr>
        <w:spacing w:before="240" w:after="240" w:line="240" w:lineRule="auto"/>
        <w:ind w:left="0"/>
        <w:rPr>
          <w:rFonts w:asciiTheme="minorHAnsi" w:hAnsiTheme="minorHAnsi"/>
          <w:color w:val="000000"/>
          <w:szCs w:val="24"/>
        </w:rPr>
      </w:pPr>
      <w:r w:rsidRPr="00D80606">
        <w:rPr>
          <w:rFonts w:asciiTheme="minorHAnsi" w:hAnsiTheme="minorHAnsi"/>
          <w:color w:val="000000"/>
        </w:rPr>
        <w:t>Pole tekstowe [7000]</w:t>
      </w:r>
    </w:p>
    <w:p w14:paraId="22B721B2" w14:textId="210B7A0A" w:rsidR="00875F09" w:rsidRPr="00D80606" w:rsidRDefault="00875F09" w:rsidP="00D80606">
      <w:pPr>
        <w:pBdr>
          <w:top w:val="single" w:sz="4" w:space="1" w:color="000000"/>
          <w:left w:val="single" w:sz="4" w:space="4" w:color="000000"/>
          <w:bottom w:val="single" w:sz="4" w:space="1" w:color="000000"/>
          <w:right w:val="single" w:sz="4" w:space="4" w:color="000000"/>
        </w:pBdr>
        <w:ind w:left="142"/>
        <w:jc w:val="left"/>
        <w:rPr>
          <w:rFonts w:asciiTheme="minorHAnsi" w:hAnsiTheme="minorHAnsi"/>
          <w:sz w:val="24"/>
          <w:szCs w:val="24"/>
        </w:rPr>
      </w:pPr>
      <w:r w:rsidRPr="00D80606">
        <w:rPr>
          <w:rFonts w:asciiTheme="minorHAnsi" w:hAnsiTheme="minorHAnsi"/>
          <w:sz w:val="24"/>
          <w:szCs w:val="24"/>
        </w:rPr>
        <w:t>Grupami docelowymi działań objętych wsparciem mogą być zarówno osoby prywatne, jak i organizacje, które są zaangażowane w ich realizację lub są ich beneficjentami. Konkretniej rzecz ujmując, grupy docelowe obejmują zarówno podmioty publiczne, jak i prywatne, takie jak przedsiębiorstwa i ich pracownicy (zwłaszcza w MŚP), (przyszli) przedsiębiorcy, organizacje klastrów, władze publiczne, pośrednicy, organizacje edukacyjne i szkoleniowe, prywatne i publiczne instytucje badawcze, agencje rozwoju regionalnego, izby handlowe, instytucje zajmujące się transferem technologii, organizacje pozarządowe, agencje innowacji, inkubatory przedsiębiorczości, podmioty turystyczne, instytucje finansowe, partnerzy społeczni i instytucje związane z rynkiem pracy oraz organizacje społeczeństwa obywatelskiego. Grupy docelowe obejmują również wszystkie grupy ludności, które skorzystają z ulepszonych środków rozwoju umiejętności na poziomie regionalnym i lokalnym.</w:t>
      </w:r>
    </w:p>
    <w:p w14:paraId="669A8AAB" w14:textId="77777777" w:rsidR="00875F09" w:rsidRPr="00680741" w:rsidRDefault="00875F09" w:rsidP="009A0D85">
      <w:pPr>
        <w:spacing w:before="240" w:after="240" w:line="240" w:lineRule="auto"/>
        <w:ind w:left="709" w:hanging="709"/>
        <w:rPr>
          <w:rFonts w:asciiTheme="minorHAnsi" w:hAnsiTheme="minorHAnsi"/>
          <w:b/>
          <w:sz w:val="24"/>
          <w:szCs w:val="24"/>
        </w:rPr>
      </w:pPr>
    </w:p>
    <w:p w14:paraId="51C6AE51" w14:textId="77777777" w:rsidR="009A0D85" w:rsidRPr="008727F2" w:rsidRDefault="009A0D85" w:rsidP="009A0D85">
      <w:pPr>
        <w:spacing w:before="240" w:after="240" w:line="240" w:lineRule="auto"/>
        <w:ind w:left="709" w:hanging="709"/>
        <w:rPr>
          <w:rFonts w:asciiTheme="minorHAnsi" w:hAnsiTheme="minorHAnsi"/>
          <w:b/>
          <w:sz w:val="24"/>
          <w:szCs w:val="24"/>
        </w:rPr>
      </w:pPr>
      <w:r>
        <w:rPr>
          <w:rFonts w:asciiTheme="minorHAnsi" w:hAnsiTheme="minorHAnsi"/>
          <w:b/>
          <w:sz w:val="24"/>
        </w:rPr>
        <w:t>2.1.2.4</w:t>
      </w:r>
      <w:r>
        <w:rPr>
          <w:rFonts w:asciiTheme="minorHAnsi" w:hAnsiTheme="minorHAnsi"/>
          <w:b/>
          <w:sz w:val="24"/>
        </w:rPr>
        <w:tab/>
        <w:t>Określenie szczególnych terytoriów docelowych, w tym planowego wykorzystania ZIT, RKSL i pozostałych narzędzi terytorialnych</w:t>
      </w:r>
    </w:p>
    <w:p w14:paraId="4E1A3E5B" w14:textId="77777777" w:rsidR="009A0D85" w:rsidRPr="00D80606" w:rsidRDefault="009A0D85" w:rsidP="009A0D85">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iv</w:t>
      </w:r>
    </w:p>
    <w:p w14:paraId="5FD6F63C" w14:textId="77777777" w:rsidR="00875F09" w:rsidRPr="00D80606" w:rsidRDefault="00875F09" w:rsidP="009A0D85">
      <w:pPr>
        <w:spacing w:before="240" w:after="240" w:line="240" w:lineRule="auto"/>
        <w:ind w:left="0"/>
        <w:rPr>
          <w:rFonts w:asciiTheme="minorHAnsi" w:hAnsiTheme="minorHAnsi"/>
          <w:color w:val="000000"/>
          <w:szCs w:val="24"/>
        </w:rPr>
      </w:pPr>
      <w:r w:rsidRPr="00D80606">
        <w:rPr>
          <w:rFonts w:asciiTheme="minorHAnsi" w:hAnsiTheme="minorHAnsi"/>
          <w:color w:val="000000"/>
        </w:rPr>
        <w:t>Pole tekstowe [7000]</w:t>
      </w:r>
    </w:p>
    <w:p w14:paraId="589BFE6A" w14:textId="066E52EC" w:rsidR="00B3274C" w:rsidRPr="00D80606" w:rsidRDefault="00875F09" w:rsidP="00D80606">
      <w:pPr>
        <w:pBdr>
          <w:top w:val="single" w:sz="4" w:space="1" w:color="000000"/>
          <w:left w:val="single" w:sz="4" w:space="4" w:color="000000"/>
          <w:bottom w:val="single" w:sz="4" w:space="1" w:color="000000"/>
          <w:right w:val="single" w:sz="4" w:space="4" w:color="000000"/>
        </w:pBdr>
        <w:ind w:left="0"/>
        <w:jc w:val="left"/>
        <w:rPr>
          <w:rFonts w:asciiTheme="minorHAnsi" w:hAnsiTheme="minorHAnsi"/>
          <w:sz w:val="24"/>
          <w:szCs w:val="24"/>
        </w:rPr>
      </w:pPr>
      <w:r w:rsidRPr="00D80606">
        <w:rPr>
          <w:rFonts w:asciiTheme="minorHAnsi" w:hAnsiTheme="minorHAnsi"/>
          <w:sz w:val="24"/>
          <w:szCs w:val="24"/>
        </w:rPr>
        <w:t>Działania mogą być realizowane na całym obszarze objętym programem i odnosić się do dowolnego rodzaju terytorium. Działania mogłyby dotyczyć zarówno terytoriów z brakami w rozwoju umiejętności (np. regiony peryferyjne i słabe strukturalnie, regiony stojące w obliczu upadku przemysłu, regiony kurczące się, regiony dotknięte drenażem mózgów), jak i regionów bardziej rozwiniętych. Umożliwi to wymianę i wzajemne uczenie się od siebie. Z kolei współpraca pomoże bardziej rozwiniętym regionom na dalszy rozwój (cyfrowych i zielonych) umiejętności ich siły roboczej, tak aby stały się bardziej konkurencyjne na globalnym rynku. Wszelkie możliwe działania muszą być dostosowane do specyficznych warunków terytorialnych i strategii inteligentnej specjalizacji na docelowych obszarach.</w:t>
      </w:r>
    </w:p>
    <w:p w14:paraId="2DE7B9F0" w14:textId="77777777" w:rsidR="00262A95" w:rsidRPr="00680741" w:rsidRDefault="00262A95" w:rsidP="009A0D85">
      <w:pPr>
        <w:spacing w:before="240" w:after="240" w:line="240" w:lineRule="auto"/>
        <w:ind w:left="709" w:hanging="709"/>
        <w:rPr>
          <w:rFonts w:asciiTheme="minorHAnsi" w:hAnsiTheme="minorHAnsi"/>
          <w:b/>
          <w:sz w:val="24"/>
          <w:szCs w:val="24"/>
        </w:rPr>
      </w:pPr>
    </w:p>
    <w:p w14:paraId="2DD507D4" w14:textId="77777777" w:rsidR="009A0D85" w:rsidRPr="008727F2" w:rsidRDefault="009A0D85" w:rsidP="009A0D85">
      <w:pPr>
        <w:spacing w:before="240" w:after="240" w:line="240" w:lineRule="auto"/>
        <w:ind w:left="709" w:hanging="709"/>
        <w:rPr>
          <w:rFonts w:asciiTheme="minorHAnsi" w:hAnsiTheme="minorHAnsi"/>
          <w:b/>
          <w:sz w:val="24"/>
          <w:szCs w:val="24"/>
        </w:rPr>
      </w:pPr>
      <w:r>
        <w:rPr>
          <w:rFonts w:asciiTheme="minorHAnsi" w:hAnsiTheme="minorHAnsi"/>
          <w:b/>
          <w:sz w:val="24"/>
        </w:rPr>
        <w:t>2.1.2.5</w:t>
      </w:r>
      <w:r>
        <w:rPr>
          <w:rFonts w:asciiTheme="minorHAnsi" w:hAnsiTheme="minorHAnsi"/>
          <w:b/>
          <w:sz w:val="24"/>
        </w:rPr>
        <w:tab/>
        <w:t>Planowane wykorzystanie instrumentów finansowych</w:t>
      </w:r>
    </w:p>
    <w:p w14:paraId="609A091C" w14:textId="77777777" w:rsidR="009A0D85" w:rsidRPr="00D80606" w:rsidRDefault="009A0D85" w:rsidP="009A0D85">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v</w:t>
      </w:r>
    </w:p>
    <w:p w14:paraId="105C60C0" w14:textId="77777777" w:rsidR="00875F09" w:rsidRPr="00D80606" w:rsidRDefault="00875F09" w:rsidP="009A0D85">
      <w:pPr>
        <w:spacing w:before="240" w:after="240" w:line="240" w:lineRule="auto"/>
        <w:ind w:left="0"/>
        <w:rPr>
          <w:rFonts w:asciiTheme="minorHAnsi" w:hAnsiTheme="minorHAnsi"/>
          <w:color w:val="000000"/>
          <w:szCs w:val="24"/>
        </w:rPr>
      </w:pPr>
      <w:r w:rsidRPr="00D80606">
        <w:rPr>
          <w:rFonts w:asciiTheme="minorHAnsi" w:hAnsiTheme="minorHAnsi"/>
          <w:color w:val="000000"/>
        </w:rPr>
        <w:t>Pole tekstowe [7000]</w:t>
      </w:r>
    </w:p>
    <w:p w14:paraId="42F8569A" w14:textId="77777777" w:rsidR="009A0D85" w:rsidRPr="00D80606" w:rsidRDefault="00875F09" w:rsidP="009A0D85">
      <w:pPr>
        <w:pBdr>
          <w:top w:val="single" w:sz="4" w:space="1" w:color="000000"/>
          <w:left w:val="single" w:sz="4" w:space="4" w:color="000000"/>
          <w:bottom w:val="single" w:sz="4" w:space="1" w:color="000000"/>
          <w:right w:val="single" w:sz="4" w:space="4" w:color="000000"/>
        </w:pBdr>
        <w:ind w:left="142"/>
        <w:rPr>
          <w:rFonts w:asciiTheme="minorHAnsi" w:hAnsiTheme="minorHAnsi"/>
          <w:sz w:val="24"/>
          <w:szCs w:val="24"/>
        </w:rPr>
      </w:pPr>
      <w:r w:rsidRPr="00D80606">
        <w:rPr>
          <w:rFonts w:asciiTheme="minorHAnsi" w:hAnsiTheme="minorHAnsi"/>
          <w:sz w:val="24"/>
          <w:szCs w:val="24"/>
        </w:rPr>
        <w:t>Nie dotyczy.</w:t>
      </w:r>
    </w:p>
    <w:p w14:paraId="4C1F3C45" w14:textId="77777777" w:rsidR="008559FE" w:rsidRPr="00680741" w:rsidRDefault="008559FE" w:rsidP="009A0D85">
      <w:pPr>
        <w:spacing w:before="240" w:after="240" w:line="240" w:lineRule="auto"/>
        <w:ind w:left="709" w:hanging="709"/>
        <w:rPr>
          <w:rFonts w:asciiTheme="minorHAnsi" w:hAnsiTheme="minorHAnsi"/>
          <w:b/>
          <w:sz w:val="24"/>
          <w:szCs w:val="24"/>
        </w:rPr>
      </w:pPr>
    </w:p>
    <w:p w14:paraId="6557F33D" w14:textId="77777777" w:rsidR="009A0D85" w:rsidRPr="008727F2" w:rsidRDefault="009A0D85" w:rsidP="009A0D85">
      <w:pPr>
        <w:spacing w:before="240" w:after="240" w:line="240" w:lineRule="auto"/>
        <w:ind w:left="709" w:hanging="709"/>
        <w:rPr>
          <w:rFonts w:asciiTheme="minorHAnsi" w:hAnsiTheme="minorHAnsi"/>
          <w:b/>
          <w:sz w:val="24"/>
          <w:szCs w:val="24"/>
        </w:rPr>
      </w:pPr>
      <w:r>
        <w:rPr>
          <w:rFonts w:asciiTheme="minorHAnsi" w:hAnsiTheme="minorHAnsi"/>
          <w:b/>
          <w:sz w:val="24"/>
        </w:rPr>
        <w:t>2.1.2.6</w:t>
      </w:r>
      <w:r>
        <w:rPr>
          <w:rFonts w:asciiTheme="minorHAnsi" w:hAnsiTheme="minorHAnsi"/>
          <w:b/>
          <w:sz w:val="24"/>
        </w:rPr>
        <w:tab/>
        <w:t>Orientacyjny podział zasobów programu UE według rodzaju interwencji</w:t>
      </w:r>
    </w:p>
    <w:p w14:paraId="7A1B52A2" w14:textId="77777777" w:rsidR="009A0D85" w:rsidRPr="00D80606" w:rsidRDefault="009A0D85" w:rsidP="009A0D85">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vi, art. 17 ust. 9 lit. c punkt v</w:t>
      </w:r>
    </w:p>
    <w:p w14:paraId="053E0B23" w14:textId="77777777" w:rsidR="009A0D85" w:rsidRPr="009A0D85" w:rsidRDefault="009A0D85" w:rsidP="009A0D85">
      <w:pPr>
        <w:spacing w:before="240" w:after="240" w:line="240" w:lineRule="auto"/>
        <w:ind w:left="0"/>
        <w:rPr>
          <w:rFonts w:asciiTheme="minorHAnsi" w:hAnsiTheme="minorHAnsi"/>
          <w:szCs w:val="24"/>
        </w:rPr>
      </w:pPr>
      <w:r>
        <w:rPr>
          <w:rFonts w:asciiTheme="minorHAnsi" w:hAnsiTheme="minorHAnsi"/>
        </w:rPr>
        <w:t>Tabela 4: Wymiar 1 – obszar interwencji</w:t>
      </w:r>
    </w:p>
    <w:tbl>
      <w:tblPr>
        <w:tblStyle w:val="16"/>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A0D85" w:rsidRPr="008727F2" w14:paraId="259CC66A" w14:textId="77777777" w:rsidTr="00D80606">
        <w:trPr>
          <w:tblHeader/>
        </w:trPr>
        <w:tc>
          <w:tcPr>
            <w:tcW w:w="1869" w:type="dxa"/>
          </w:tcPr>
          <w:p w14:paraId="383E01FA"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Priorytet nr</w:t>
            </w:r>
          </w:p>
        </w:tc>
        <w:tc>
          <w:tcPr>
            <w:tcW w:w="1657" w:type="dxa"/>
          </w:tcPr>
          <w:p w14:paraId="3DDE9981"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w:t>
            </w:r>
          </w:p>
        </w:tc>
        <w:tc>
          <w:tcPr>
            <w:tcW w:w="1898" w:type="dxa"/>
          </w:tcPr>
          <w:p w14:paraId="1FB3C0DB"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Cel szczegółowy</w:t>
            </w:r>
          </w:p>
        </w:tc>
        <w:tc>
          <w:tcPr>
            <w:tcW w:w="1204" w:type="dxa"/>
          </w:tcPr>
          <w:p w14:paraId="4DFA66FA"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Kod </w:t>
            </w:r>
          </w:p>
        </w:tc>
        <w:tc>
          <w:tcPr>
            <w:tcW w:w="2658" w:type="dxa"/>
          </w:tcPr>
          <w:p w14:paraId="1A4D615C"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Kwota (EUR)</w:t>
            </w:r>
          </w:p>
        </w:tc>
      </w:tr>
      <w:tr w:rsidR="0046094B" w:rsidRPr="008727F2" w14:paraId="56336993" w14:textId="77777777" w:rsidTr="00816A75">
        <w:tc>
          <w:tcPr>
            <w:tcW w:w="1869" w:type="dxa"/>
          </w:tcPr>
          <w:p w14:paraId="0A7488A2" w14:textId="77777777" w:rsidR="0046094B" w:rsidRPr="00570B26" w:rsidRDefault="0046094B" w:rsidP="0046094B">
            <w:pPr>
              <w:spacing w:after="120" w:line="240" w:lineRule="auto"/>
              <w:ind w:left="0" w:right="0"/>
              <w:jc w:val="center"/>
              <w:rPr>
                <w:rFonts w:asciiTheme="minorHAnsi" w:eastAsia="Times New Roman" w:hAnsiTheme="minorHAnsi" w:cs="Times New Roman"/>
                <w:b/>
                <w:color w:val="000000"/>
                <w:sz w:val="16"/>
                <w:szCs w:val="16"/>
              </w:rPr>
            </w:pPr>
            <w:r>
              <w:rPr>
                <w:rFonts w:asciiTheme="minorHAnsi" w:hAnsiTheme="minorHAnsi"/>
                <w:b/>
                <w:color w:val="000000"/>
                <w:sz w:val="20"/>
              </w:rPr>
              <w:t>1</w:t>
            </w:r>
          </w:p>
        </w:tc>
        <w:tc>
          <w:tcPr>
            <w:tcW w:w="1657" w:type="dxa"/>
          </w:tcPr>
          <w:p w14:paraId="33AA6434" w14:textId="77777777" w:rsidR="0046094B" w:rsidRPr="00570B26" w:rsidRDefault="0046094B" w:rsidP="0046094B">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20"/>
              </w:rPr>
              <w:t>EFRR</w:t>
            </w:r>
          </w:p>
        </w:tc>
        <w:tc>
          <w:tcPr>
            <w:tcW w:w="1898" w:type="dxa"/>
          </w:tcPr>
          <w:p w14:paraId="2AD2DEF5" w14:textId="77777777" w:rsidR="0046094B" w:rsidRPr="00570B26" w:rsidRDefault="0046094B" w:rsidP="0046094B">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20"/>
              </w:rPr>
              <w:t>Cel szczegółowy 1.2</w:t>
            </w:r>
          </w:p>
        </w:tc>
        <w:tc>
          <w:tcPr>
            <w:tcW w:w="1204" w:type="dxa"/>
          </w:tcPr>
          <w:p w14:paraId="76C01C17" w14:textId="39B1573B" w:rsidR="0046094B" w:rsidRPr="0046094B" w:rsidRDefault="0046094B" w:rsidP="00DF516E">
            <w:pPr>
              <w:spacing w:after="120" w:line="240" w:lineRule="auto"/>
              <w:ind w:left="0" w:right="0"/>
              <w:jc w:val="center"/>
              <w:rPr>
                <w:rFonts w:ascii="Trebuchet MS" w:eastAsia="Times New Roman" w:hAnsi="Trebuchet MS" w:cs="Times New Roman"/>
                <w:b/>
                <w:color w:val="000000"/>
                <w:sz w:val="20"/>
                <w:szCs w:val="16"/>
              </w:rPr>
            </w:pPr>
            <w:r>
              <w:rPr>
                <w:rFonts w:ascii="Trebuchet MS" w:hAnsi="Trebuchet MS"/>
                <w:sz w:val="20"/>
              </w:rPr>
              <w:t>10</w:t>
            </w:r>
          </w:p>
        </w:tc>
        <w:tc>
          <w:tcPr>
            <w:tcW w:w="2658" w:type="dxa"/>
          </w:tcPr>
          <w:p w14:paraId="43029C4F" w14:textId="77777777" w:rsidR="0046094B" w:rsidRPr="00570B26" w:rsidRDefault="0046094B" w:rsidP="0046094B">
            <w:pPr>
              <w:spacing w:after="120" w:line="240" w:lineRule="auto"/>
              <w:ind w:left="0" w:right="0"/>
              <w:rPr>
                <w:rFonts w:asciiTheme="minorHAnsi" w:eastAsia="Times New Roman" w:hAnsiTheme="minorHAnsi" w:cs="Times New Roman"/>
                <w:b/>
                <w:color w:val="000000"/>
                <w:sz w:val="16"/>
                <w:szCs w:val="16"/>
              </w:rPr>
            </w:pPr>
          </w:p>
        </w:tc>
      </w:tr>
      <w:tr w:rsidR="0046094B" w:rsidRPr="008727F2" w14:paraId="14EB6677" w14:textId="77777777" w:rsidTr="00816A75">
        <w:tc>
          <w:tcPr>
            <w:tcW w:w="1869" w:type="dxa"/>
          </w:tcPr>
          <w:p w14:paraId="239263FB" w14:textId="627BE0C0" w:rsidR="0046094B" w:rsidRPr="00875F09" w:rsidRDefault="0046094B" w:rsidP="0046094B">
            <w:pPr>
              <w:spacing w:after="120" w:line="240" w:lineRule="auto"/>
              <w:ind w:left="0" w:right="0"/>
              <w:jc w:val="center"/>
              <w:rPr>
                <w:rFonts w:asciiTheme="minorHAnsi" w:hAnsiTheme="minorHAnsi"/>
                <w:b/>
                <w:color w:val="000000"/>
                <w:szCs w:val="16"/>
              </w:rPr>
            </w:pPr>
            <w:r>
              <w:rPr>
                <w:rFonts w:asciiTheme="minorHAnsi" w:hAnsiTheme="minorHAnsi"/>
                <w:b/>
                <w:color w:val="000000"/>
                <w:sz w:val="20"/>
              </w:rPr>
              <w:t>1</w:t>
            </w:r>
          </w:p>
        </w:tc>
        <w:tc>
          <w:tcPr>
            <w:tcW w:w="1657" w:type="dxa"/>
          </w:tcPr>
          <w:p w14:paraId="4212633C" w14:textId="456A1432" w:rsidR="0046094B" w:rsidRPr="00875F09" w:rsidRDefault="0046094B" w:rsidP="0046094B">
            <w:pPr>
              <w:spacing w:after="120" w:line="240" w:lineRule="auto"/>
              <w:ind w:left="0" w:right="0"/>
              <w:rPr>
                <w:rFonts w:asciiTheme="minorHAnsi" w:hAnsiTheme="minorHAnsi"/>
                <w:b/>
                <w:color w:val="000000"/>
                <w:szCs w:val="16"/>
              </w:rPr>
            </w:pPr>
            <w:r>
              <w:rPr>
                <w:rFonts w:asciiTheme="minorHAnsi" w:hAnsiTheme="minorHAnsi"/>
                <w:b/>
                <w:color w:val="000000"/>
                <w:sz w:val="20"/>
              </w:rPr>
              <w:t>EFRR</w:t>
            </w:r>
          </w:p>
        </w:tc>
        <w:tc>
          <w:tcPr>
            <w:tcW w:w="1898" w:type="dxa"/>
          </w:tcPr>
          <w:p w14:paraId="5675C079" w14:textId="119591F7" w:rsidR="0046094B" w:rsidRDefault="0046094B" w:rsidP="0046094B">
            <w:pPr>
              <w:spacing w:after="120" w:line="240" w:lineRule="auto"/>
              <w:ind w:left="0" w:right="0"/>
              <w:rPr>
                <w:rFonts w:asciiTheme="minorHAnsi" w:hAnsiTheme="minorHAnsi"/>
                <w:b/>
                <w:color w:val="000000"/>
                <w:szCs w:val="16"/>
              </w:rPr>
            </w:pPr>
            <w:r>
              <w:rPr>
                <w:rFonts w:asciiTheme="minorHAnsi" w:hAnsiTheme="minorHAnsi"/>
                <w:b/>
                <w:color w:val="000000"/>
                <w:sz w:val="20"/>
              </w:rPr>
              <w:t>Cel szczegółowy 1.2</w:t>
            </w:r>
          </w:p>
        </w:tc>
        <w:tc>
          <w:tcPr>
            <w:tcW w:w="1204" w:type="dxa"/>
          </w:tcPr>
          <w:p w14:paraId="7E65CD53" w14:textId="636C386A" w:rsidR="0046094B" w:rsidRPr="0046094B" w:rsidRDefault="0046094B" w:rsidP="00DF516E">
            <w:pPr>
              <w:spacing w:after="120" w:line="240" w:lineRule="auto"/>
              <w:ind w:left="0" w:right="0"/>
              <w:jc w:val="center"/>
              <w:rPr>
                <w:rFonts w:ascii="Trebuchet MS" w:hAnsi="Trebuchet MS"/>
                <w:b/>
                <w:color w:val="000000"/>
                <w:sz w:val="20"/>
                <w:szCs w:val="16"/>
              </w:rPr>
            </w:pPr>
            <w:r>
              <w:rPr>
                <w:rFonts w:ascii="Trebuchet MS" w:hAnsi="Trebuchet MS"/>
                <w:sz w:val="20"/>
              </w:rPr>
              <w:t>11</w:t>
            </w:r>
          </w:p>
        </w:tc>
        <w:tc>
          <w:tcPr>
            <w:tcW w:w="2658" w:type="dxa"/>
          </w:tcPr>
          <w:p w14:paraId="2282F485" w14:textId="77777777" w:rsidR="0046094B" w:rsidRPr="00570B26" w:rsidRDefault="0046094B" w:rsidP="0046094B">
            <w:pPr>
              <w:spacing w:after="120" w:line="240" w:lineRule="auto"/>
              <w:ind w:left="0" w:right="0"/>
              <w:rPr>
                <w:rFonts w:asciiTheme="minorHAnsi" w:hAnsiTheme="minorHAnsi"/>
                <w:b/>
                <w:color w:val="000000"/>
                <w:sz w:val="16"/>
                <w:szCs w:val="16"/>
              </w:rPr>
            </w:pPr>
          </w:p>
        </w:tc>
      </w:tr>
      <w:tr w:rsidR="0046094B" w:rsidRPr="008727F2" w14:paraId="16E8C956" w14:textId="77777777" w:rsidTr="00816A75">
        <w:tc>
          <w:tcPr>
            <w:tcW w:w="1869" w:type="dxa"/>
          </w:tcPr>
          <w:p w14:paraId="5E9558BF" w14:textId="320D755E" w:rsidR="0046094B" w:rsidRPr="00875F09" w:rsidRDefault="0046094B" w:rsidP="0046094B">
            <w:pPr>
              <w:spacing w:after="120" w:line="240" w:lineRule="auto"/>
              <w:ind w:left="0" w:right="0"/>
              <w:jc w:val="center"/>
              <w:rPr>
                <w:rFonts w:asciiTheme="minorHAnsi" w:hAnsiTheme="minorHAnsi"/>
                <w:b/>
                <w:color w:val="000000"/>
                <w:szCs w:val="16"/>
              </w:rPr>
            </w:pPr>
            <w:r>
              <w:rPr>
                <w:rFonts w:asciiTheme="minorHAnsi" w:hAnsiTheme="minorHAnsi"/>
                <w:b/>
                <w:color w:val="000000"/>
                <w:sz w:val="20"/>
              </w:rPr>
              <w:t>1</w:t>
            </w:r>
          </w:p>
        </w:tc>
        <w:tc>
          <w:tcPr>
            <w:tcW w:w="1657" w:type="dxa"/>
          </w:tcPr>
          <w:p w14:paraId="227A8C47" w14:textId="495C594F" w:rsidR="0046094B" w:rsidRPr="00875F09" w:rsidRDefault="0046094B" w:rsidP="0046094B">
            <w:pPr>
              <w:spacing w:after="120" w:line="240" w:lineRule="auto"/>
              <w:ind w:left="0" w:right="0"/>
              <w:rPr>
                <w:rFonts w:asciiTheme="minorHAnsi" w:hAnsiTheme="minorHAnsi"/>
                <w:b/>
                <w:color w:val="000000"/>
                <w:szCs w:val="16"/>
              </w:rPr>
            </w:pPr>
            <w:r>
              <w:rPr>
                <w:rFonts w:asciiTheme="minorHAnsi" w:hAnsiTheme="minorHAnsi"/>
                <w:b/>
                <w:color w:val="000000"/>
                <w:sz w:val="20"/>
              </w:rPr>
              <w:t>EFRR</w:t>
            </w:r>
          </w:p>
        </w:tc>
        <w:tc>
          <w:tcPr>
            <w:tcW w:w="1898" w:type="dxa"/>
          </w:tcPr>
          <w:p w14:paraId="5264410E" w14:textId="76DB1472" w:rsidR="0046094B" w:rsidRDefault="0046094B" w:rsidP="0046094B">
            <w:pPr>
              <w:spacing w:after="120" w:line="240" w:lineRule="auto"/>
              <w:ind w:left="0" w:right="0"/>
              <w:rPr>
                <w:rFonts w:asciiTheme="minorHAnsi" w:hAnsiTheme="minorHAnsi"/>
                <w:b/>
                <w:color w:val="000000"/>
                <w:szCs w:val="16"/>
              </w:rPr>
            </w:pPr>
            <w:r>
              <w:rPr>
                <w:rFonts w:asciiTheme="minorHAnsi" w:hAnsiTheme="minorHAnsi"/>
                <w:b/>
                <w:color w:val="000000"/>
                <w:sz w:val="20"/>
              </w:rPr>
              <w:t>Cel szczegółowy 1.2</w:t>
            </w:r>
          </w:p>
        </w:tc>
        <w:tc>
          <w:tcPr>
            <w:tcW w:w="1204" w:type="dxa"/>
          </w:tcPr>
          <w:p w14:paraId="6B2097F1" w14:textId="49BD2D5F" w:rsidR="0046094B" w:rsidRPr="0046094B" w:rsidRDefault="0046094B" w:rsidP="00DF516E">
            <w:pPr>
              <w:spacing w:after="120" w:line="240" w:lineRule="auto"/>
              <w:ind w:left="0" w:right="0"/>
              <w:jc w:val="center"/>
              <w:rPr>
                <w:rFonts w:ascii="Trebuchet MS" w:hAnsi="Trebuchet MS"/>
                <w:b/>
                <w:color w:val="000000"/>
                <w:sz w:val="20"/>
                <w:szCs w:val="16"/>
              </w:rPr>
            </w:pPr>
            <w:r>
              <w:rPr>
                <w:rFonts w:ascii="Trebuchet MS" w:hAnsi="Trebuchet MS"/>
                <w:sz w:val="20"/>
              </w:rPr>
              <w:t>12</w:t>
            </w:r>
          </w:p>
        </w:tc>
        <w:tc>
          <w:tcPr>
            <w:tcW w:w="2658" w:type="dxa"/>
          </w:tcPr>
          <w:p w14:paraId="5C71DAEE" w14:textId="77777777" w:rsidR="0046094B" w:rsidRPr="00570B26" w:rsidRDefault="0046094B" w:rsidP="0046094B">
            <w:pPr>
              <w:spacing w:after="120" w:line="240" w:lineRule="auto"/>
              <w:ind w:left="0" w:right="0"/>
              <w:rPr>
                <w:rFonts w:asciiTheme="minorHAnsi" w:hAnsiTheme="minorHAnsi"/>
                <w:b/>
                <w:color w:val="000000"/>
                <w:sz w:val="16"/>
                <w:szCs w:val="16"/>
              </w:rPr>
            </w:pPr>
          </w:p>
        </w:tc>
      </w:tr>
      <w:tr w:rsidR="0046094B" w:rsidRPr="008727F2" w14:paraId="392B7B2F" w14:textId="77777777" w:rsidTr="00816A75">
        <w:tc>
          <w:tcPr>
            <w:tcW w:w="1869" w:type="dxa"/>
          </w:tcPr>
          <w:p w14:paraId="6EEF260B" w14:textId="4DAC5711" w:rsidR="0046094B" w:rsidRPr="00875F09" w:rsidRDefault="0046094B" w:rsidP="0046094B">
            <w:pPr>
              <w:spacing w:after="120" w:line="240" w:lineRule="auto"/>
              <w:ind w:left="0" w:right="0"/>
              <w:jc w:val="center"/>
              <w:rPr>
                <w:rFonts w:asciiTheme="minorHAnsi" w:hAnsiTheme="minorHAnsi"/>
                <w:b/>
                <w:color w:val="000000"/>
                <w:szCs w:val="16"/>
              </w:rPr>
            </w:pPr>
            <w:r>
              <w:rPr>
                <w:rFonts w:asciiTheme="minorHAnsi" w:hAnsiTheme="minorHAnsi"/>
                <w:b/>
                <w:color w:val="000000"/>
                <w:sz w:val="20"/>
              </w:rPr>
              <w:lastRenderedPageBreak/>
              <w:t>1</w:t>
            </w:r>
          </w:p>
        </w:tc>
        <w:tc>
          <w:tcPr>
            <w:tcW w:w="1657" w:type="dxa"/>
          </w:tcPr>
          <w:p w14:paraId="67936F40" w14:textId="6795188A" w:rsidR="0046094B" w:rsidRPr="00875F09" w:rsidRDefault="0046094B" w:rsidP="0046094B">
            <w:pPr>
              <w:spacing w:after="120" w:line="240" w:lineRule="auto"/>
              <w:ind w:left="0" w:right="0"/>
              <w:rPr>
                <w:rFonts w:asciiTheme="minorHAnsi" w:hAnsiTheme="minorHAnsi"/>
                <w:b/>
                <w:color w:val="000000"/>
                <w:szCs w:val="16"/>
              </w:rPr>
            </w:pPr>
            <w:r>
              <w:rPr>
                <w:rFonts w:asciiTheme="minorHAnsi" w:hAnsiTheme="minorHAnsi"/>
                <w:b/>
                <w:color w:val="000000"/>
                <w:sz w:val="20"/>
              </w:rPr>
              <w:t>EFRR</w:t>
            </w:r>
          </w:p>
        </w:tc>
        <w:tc>
          <w:tcPr>
            <w:tcW w:w="1898" w:type="dxa"/>
          </w:tcPr>
          <w:p w14:paraId="1E1FE2D0" w14:textId="5DDB5F84" w:rsidR="0046094B" w:rsidRDefault="0046094B" w:rsidP="0046094B">
            <w:pPr>
              <w:spacing w:after="120" w:line="240" w:lineRule="auto"/>
              <w:ind w:left="0" w:right="0"/>
              <w:rPr>
                <w:rFonts w:asciiTheme="minorHAnsi" w:hAnsiTheme="minorHAnsi"/>
                <w:b/>
                <w:color w:val="000000"/>
                <w:szCs w:val="16"/>
              </w:rPr>
            </w:pPr>
            <w:r>
              <w:rPr>
                <w:rFonts w:asciiTheme="minorHAnsi" w:hAnsiTheme="minorHAnsi"/>
                <w:b/>
                <w:color w:val="000000"/>
                <w:sz w:val="20"/>
              </w:rPr>
              <w:t>Cel szczegółowy 1.2</w:t>
            </w:r>
          </w:p>
        </w:tc>
        <w:tc>
          <w:tcPr>
            <w:tcW w:w="1204" w:type="dxa"/>
          </w:tcPr>
          <w:p w14:paraId="484D0301" w14:textId="798280CE" w:rsidR="0046094B" w:rsidRPr="0046094B" w:rsidRDefault="0046094B" w:rsidP="00DF516E">
            <w:pPr>
              <w:spacing w:after="120" w:line="240" w:lineRule="auto"/>
              <w:ind w:left="0" w:right="0"/>
              <w:jc w:val="center"/>
              <w:rPr>
                <w:rFonts w:ascii="Trebuchet MS" w:hAnsi="Trebuchet MS"/>
                <w:b/>
                <w:color w:val="000000"/>
                <w:sz w:val="20"/>
                <w:szCs w:val="16"/>
              </w:rPr>
            </w:pPr>
            <w:r>
              <w:rPr>
                <w:rFonts w:ascii="Trebuchet MS" w:hAnsi="Trebuchet MS"/>
                <w:sz w:val="20"/>
              </w:rPr>
              <w:t>13</w:t>
            </w:r>
          </w:p>
        </w:tc>
        <w:tc>
          <w:tcPr>
            <w:tcW w:w="2658" w:type="dxa"/>
          </w:tcPr>
          <w:p w14:paraId="4D79151B" w14:textId="77777777" w:rsidR="0046094B" w:rsidRPr="00570B26" w:rsidRDefault="0046094B" w:rsidP="0046094B">
            <w:pPr>
              <w:spacing w:after="120" w:line="240" w:lineRule="auto"/>
              <w:ind w:left="0" w:right="0"/>
              <w:rPr>
                <w:rFonts w:asciiTheme="minorHAnsi" w:hAnsiTheme="minorHAnsi"/>
                <w:b/>
                <w:color w:val="000000"/>
                <w:sz w:val="16"/>
                <w:szCs w:val="16"/>
              </w:rPr>
            </w:pPr>
          </w:p>
        </w:tc>
      </w:tr>
      <w:tr w:rsidR="0046094B" w:rsidRPr="008727F2" w14:paraId="3F5217C9" w14:textId="77777777" w:rsidTr="00816A75">
        <w:tc>
          <w:tcPr>
            <w:tcW w:w="1869" w:type="dxa"/>
          </w:tcPr>
          <w:p w14:paraId="5650396D" w14:textId="43EC2EAF" w:rsidR="0046094B" w:rsidRPr="00875F09" w:rsidRDefault="0046094B" w:rsidP="0046094B">
            <w:pPr>
              <w:spacing w:after="120" w:line="240" w:lineRule="auto"/>
              <w:ind w:left="0" w:right="0"/>
              <w:jc w:val="center"/>
              <w:rPr>
                <w:rFonts w:asciiTheme="minorHAnsi" w:hAnsiTheme="minorHAnsi"/>
                <w:b/>
                <w:color w:val="000000"/>
                <w:szCs w:val="16"/>
              </w:rPr>
            </w:pPr>
            <w:r>
              <w:rPr>
                <w:rFonts w:asciiTheme="minorHAnsi" w:hAnsiTheme="minorHAnsi"/>
                <w:b/>
                <w:color w:val="000000"/>
                <w:sz w:val="20"/>
              </w:rPr>
              <w:t>1</w:t>
            </w:r>
          </w:p>
        </w:tc>
        <w:tc>
          <w:tcPr>
            <w:tcW w:w="1657" w:type="dxa"/>
          </w:tcPr>
          <w:p w14:paraId="5EB7F18C" w14:textId="56C7C059" w:rsidR="0046094B" w:rsidRPr="00875F09" w:rsidRDefault="0046094B" w:rsidP="0046094B">
            <w:pPr>
              <w:spacing w:after="120" w:line="240" w:lineRule="auto"/>
              <w:ind w:left="0" w:right="0"/>
              <w:rPr>
                <w:rFonts w:asciiTheme="minorHAnsi" w:hAnsiTheme="minorHAnsi"/>
                <w:b/>
                <w:color w:val="000000"/>
                <w:szCs w:val="16"/>
              </w:rPr>
            </w:pPr>
            <w:r>
              <w:rPr>
                <w:rFonts w:asciiTheme="minorHAnsi" w:hAnsiTheme="minorHAnsi"/>
                <w:b/>
                <w:color w:val="000000"/>
                <w:sz w:val="20"/>
              </w:rPr>
              <w:t>EFRR</w:t>
            </w:r>
          </w:p>
        </w:tc>
        <w:tc>
          <w:tcPr>
            <w:tcW w:w="1898" w:type="dxa"/>
          </w:tcPr>
          <w:p w14:paraId="51BA77BA" w14:textId="482AE8D4" w:rsidR="0046094B" w:rsidRDefault="0046094B" w:rsidP="0046094B">
            <w:pPr>
              <w:spacing w:after="120" w:line="240" w:lineRule="auto"/>
              <w:ind w:left="0" w:right="0"/>
              <w:rPr>
                <w:rFonts w:asciiTheme="minorHAnsi" w:hAnsiTheme="minorHAnsi"/>
                <w:b/>
                <w:color w:val="000000"/>
                <w:szCs w:val="16"/>
              </w:rPr>
            </w:pPr>
            <w:r>
              <w:rPr>
                <w:rFonts w:asciiTheme="minorHAnsi" w:hAnsiTheme="minorHAnsi"/>
                <w:b/>
                <w:color w:val="000000"/>
                <w:sz w:val="20"/>
              </w:rPr>
              <w:t>Cel szczegółowy 1.2</w:t>
            </w:r>
          </w:p>
        </w:tc>
        <w:tc>
          <w:tcPr>
            <w:tcW w:w="1204" w:type="dxa"/>
          </w:tcPr>
          <w:p w14:paraId="798FFBAD" w14:textId="1E94633D" w:rsidR="0046094B" w:rsidRPr="0046094B" w:rsidRDefault="0046094B" w:rsidP="00DF516E">
            <w:pPr>
              <w:spacing w:after="120" w:line="240" w:lineRule="auto"/>
              <w:ind w:left="0" w:right="0"/>
              <w:jc w:val="center"/>
              <w:rPr>
                <w:rFonts w:ascii="Trebuchet MS" w:hAnsi="Trebuchet MS"/>
                <w:b/>
                <w:color w:val="000000"/>
                <w:sz w:val="20"/>
                <w:szCs w:val="16"/>
              </w:rPr>
            </w:pPr>
            <w:r>
              <w:rPr>
                <w:rFonts w:ascii="Trebuchet MS" w:hAnsi="Trebuchet MS"/>
                <w:sz w:val="20"/>
              </w:rPr>
              <w:t>15</w:t>
            </w:r>
          </w:p>
        </w:tc>
        <w:tc>
          <w:tcPr>
            <w:tcW w:w="2658" w:type="dxa"/>
          </w:tcPr>
          <w:p w14:paraId="23B70546" w14:textId="77777777" w:rsidR="0046094B" w:rsidRPr="00570B26" w:rsidRDefault="0046094B" w:rsidP="0046094B">
            <w:pPr>
              <w:spacing w:after="120" w:line="240" w:lineRule="auto"/>
              <w:ind w:left="0" w:right="0"/>
              <w:rPr>
                <w:rFonts w:asciiTheme="minorHAnsi" w:hAnsiTheme="minorHAnsi"/>
                <w:b/>
                <w:color w:val="000000"/>
                <w:sz w:val="16"/>
                <w:szCs w:val="16"/>
              </w:rPr>
            </w:pPr>
          </w:p>
        </w:tc>
      </w:tr>
      <w:tr w:rsidR="0046094B" w:rsidRPr="008727F2" w14:paraId="3DD819D5" w14:textId="77777777" w:rsidTr="00816A75">
        <w:tc>
          <w:tcPr>
            <w:tcW w:w="1869" w:type="dxa"/>
          </w:tcPr>
          <w:p w14:paraId="0002ADB6" w14:textId="3132E655" w:rsidR="0046094B" w:rsidRPr="00875F09" w:rsidRDefault="0046094B" w:rsidP="0046094B">
            <w:pPr>
              <w:spacing w:after="120" w:line="240" w:lineRule="auto"/>
              <w:ind w:left="0" w:right="0"/>
              <w:jc w:val="center"/>
              <w:rPr>
                <w:rFonts w:asciiTheme="minorHAnsi" w:hAnsiTheme="minorHAnsi"/>
                <w:b/>
                <w:color w:val="000000"/>
                <w:szCs w:val="16"/>
              </w:rPr>
            </w:pPr>
            <w:r>
              <w:rPr>
                <w:rFonts w:asciiTheme="minorHAnsi" w:hAnsiTheme="minorHAnsi"/>
                <w:b/>
                <w:color w:val="000000"/>
                <w:sz w:val="20"/>
              </w:rPr>
              <w:t>1</w:t>
            </w:r>
          </w:p>
        </w:tc>
        <w:tc>
          <w:tcPr>
            <w:tcW w:w="1657" w:type="dxa"/>
          </w:tcPr>
          <w:p w14:paraId="01CED9DD" w14:textId="08BB1224" w:rsidR="0046094B" w:rsidRPr="00875F09" w:rsidRDefault="0046094B" w:rsidP="0046094B">
            <w:pPr>
              <w:spacing w:after="120" w:line="240" w:lineRule="auto"/>
              <w:ind w:left="0" w:right="0"/>
              <w:rPr>
                <w:rFonts w:asciiTheme="minorHAnsi" w:hAnsiTheme="minorHAnsi"/>
                <w:b/>
                <w:color w:val="000000"/>
                <w:szCs w:val="16"/>
              </w:rPr>
            </w:pPr>
            <w:r>
              <w:rPr>
                <w:rFonts w:asciiTheme="minorHAnsi" w:hAnsiTheme="minorHAnsi"/>
                <w:b/>
                <w:color w:val="000000"/>
                <w:sz w:val="20"/>
              </w:rPr>
              <w:t>EFRR</w:t>
            </w:r>
          </w:p>
        </w:tc>
        <w:tc>
          <w:tcPr>
            <w:tcW w:w="1898" w:type="dxa"/>
          </w:tcPr>
          <w:p w14:paraId="7788B658" w14:textId="0BB39898" w:rsidR="0046094B" w:rsidRDefault="0046094B" w:rsidP="0046094B">
            <w:pPr>
              <w:spacing w:after="120" w:line="240" w:lineRule="auto"/>
              <w:ind w:left="0" w:right="0"/>
              <w:rPr>
                <w:rFonts w:asciiTheme="minorHAnsi" w:hAnsiTheme="minorHAnsi"/>
                <w:b/>
                <w:color w:val="000000"/>
                <w:szCs w:val="16"/>
              </w:rPr>
            </w:pPr>
            <w:r>
              <w:rPr>
                <w:rFonts w:asciiTheme="minorHAnsi" w:hAnsiTheme="minorHAnsi"/>
                <w:b/>
                <w:color w:val="000000"/>
                <w:sz w:val="20"/>
              </w:rPr>
              <w:t>Cel szczegółowy 1.2</w:t>
            </w:r>
          </w:p>
        </w:tc>
        <w:tc>
          <w:tcPr>
            <w:tcW w:w="1204" w:type="dxa"/>
          </w:tcPr>
          <w:p w14:paraId="52C84B72" w14:textId="3DAFCD23" w:rsidR="0046094B" w:rsidRPr="0046094B" w:rsidRDefault="0046094B" w:rsidP="00DF516E">
            <w:pPr>
              <w:spacing w:after="120" w:line="240" w:lineRule="auto"/>
              <w:ind w:left="0" w:right="0"/>
              <w:jc w:val="center"/>
              <w:rPr>
                <w:rFonts w:ascii="Trebuchet MS" w:hAnsi="Trebuchet MS"/>
                <w:b/>
                <w:color w:val="000000"/>
                <w:sz w:val="20"/>
                <w:szCs w:val="16"/>
              </w:rPr>
            </w:pPr>
            <w:r>
              <w:rPr>
                <w:rFonts w:ascii="Trebuchet MS" w:hAnsi="Trebuchet MS"/>
                <w:sz w:val="20"/>
              </w:rPr>
              <w:t>16</w:t>
            </w:r>
          </w:p>
        </w:tc>
        <w:tc>
          <w:tcPr>
            <w:tcW w:w="2658" w:type="dxa"/>
          </w:tcPr>
          <w:p w14:paraId="6903476D" w14:textId="77777777" w:rsidR="0046094B" w:rsidRPr="00570B26" w:rsidRDefault="0046094B" w:rsidP="0046094B">
            <w:pPr>
              <w:spacing w:after="120" w:line="240" w:lineRule="auto"/>
              <w:ind w:left="0" w:right="0"/>
              <w:rPr>
                <w:rFonts w:asciiTheme="minorHAnsi" w:hAnsiTheme="minorHAnsi"/>
                <w:b/>
                <w:color w:val="000000"/>
                <w:sz w:val="16"/>
                <w:szCs w:val="16"/>
              </w:rPr>
            </w:pPr>
          </w:p>
        </w:tc>
      </w:tr>
      <w:tr w:rsidR="0046094B" w:rsidRPr="008727F2" w14:paraId="54CBE0F2" w14:textId="77777777" w:rsidTr="00816A75">
        <w:tc>
          <w:tcPr>
            <w:tcW w:w="1869" w:type="dxa"/>
          </w:tcPr>
          <w:p w14:paraId="65EC0580" w14:textId="03F1A476" w:rsidR="0046094B" w:rsidRPr="00875F09" w:rsidRDefault="0046094B" w:rsidP="0046094B">
            <w:pPr>
              <w:spacing w:after="120" w:line="240" w:lineRule="auto"/>
              <w:ind w:left="0" w:right="0"/>
              <w:jc w:val="center"/>
              <w:rPr>
                <w:rFonts w:asciiTheme="minorHAnsi" w:hAnsiTheme="minorHAnsi"/>
                <w:b/>
                <w:color w:val="000000"/>
                <w:szCs w:val="16"/>
              </w:rPr>
            </w:pPr>
            <w:r>
              <w:rPr>
                <w:rFonts w:asciiTheme="minorHAnsi" w:hAnsiTheme="minorHAnsi"/>
                <w:b/>
                <w:color w:val="000000"/>
                <w:sz w:val="20"/>
              </w:rPr>
              <w:t>1</w:t>
            </w:r>
          </w:p>
        </w:tc>
        <w:tc>
          <w:tcPr>
            <w:tcW w:w="1657" w:type="dxa"/>
          </w:tcPr>
          <w:p w14:paraId="2A9BE58E" w14:textId="683F00E8" w:rsidR="0046094B" w:rsidRPr="00875F09" w:rsidRDefault="0046094B" w:rsidP="0046094B">
            <w:pPr>
              <w:spacing w:after="120" w:line="240" w:lineRule="auto"/>
              <w:ind w:left="0" w:right="0"/>
              <w:rPr>
                <w:rFonts w:asciiTheme="minorHAnsi" w:hAnsiTheme="minorHAnsi"/>
                <w:b/>
                <w:color w:val="000000"/>
                <w:szCs w:val="16"/>
              </w:rPr>
            </w:pPr>
            <w:r>
              <w:rPr>
                <w:rFonts w:asciiTheme="minorHAnsi" w:hAnsiTheme="minorHAnsi"/>
                <w:b/>
                <w:color w:val="000000"/>
                <w:sz w:val="20"/>
              </w:rPr>
              <w:t>EFRR</w:t>
            </w:r>
          </w:p>
        </w:tc>
        <w:tc>
          <w:tcPr>
            <w:tcW w:w="1898" w:type="dxa"/>
          </w:tcPr>
          <w:p w14:paraId="39C23B33" w14:textId="5412AD68" w:rsidR="0046094B" w:rsidRDefault="0046094B" w:rsidP="0046094B">
            <w:pPr>
              <w:spacing w:after="120" w:line="240" w:lineRule="auto"/>
              <w:ind w:left="0" w:right="0"/>
              <w:rPr>
                <w:rFonts w:asciiTheme="minorHAnsi" w:hAnsiTheme="minorHAnsi"/>
                <w:b/>
                <w:color w:val="000000"/>
                <w:szCs w:val="16"/>
              </w:rPr>
            </w:pPr>
            <w:r>
              <w:rPr>
                <w:rFonts w:asciiTheme="minorHAnsi" w:hAnsiTheme="minorHAnsi"/>
                <w:b/>
                <w:color w:val="000000"/>
                <w:sz w:val="20"/>
              </w:rPr>
              <w:t>Cel szczegółowy 1.2</w:t>
            </w:r>
          </w:p>
        </w:tc>
        <w:tc>
          <w:tcPr>
            <w:tcW w:w="1204" w:type="dxa"/>
          </w:tcPr>
          <w:p w14:paraId="6B65D95C" w14:textId="1C5D977A" w:rsidR="0046094B" w:rsidRPr="0046094B" w:rsidRDefault="0046094B" w:rsidP="00DF516E">
            <w:pPr>
              <w:spacing w:after="120" w:line="240" w:lineRule="auto"/>
              <w:ind w:left="0" w:right="0"/>
              <w:jc w:val="center"/>
              <w:rPr>
                <w:rFonts w:ascii="Trebuchet MS" w:hAnsi="Trebuchet MS"/>
                <w:b/>
                <w:color w:val="000000"/>
                <w:sz w:val="20"/>
                <w:szCs w:val="16"/>
              </w:rPr>
            </w:pPr>
            <w:r>
              <w:rPr>
                <w:rFonts w:ascii="Trebuchet MS" w:hAnsi="Trebuchet MS"/>
                <w:sz w:val="20"/>
              </w:rPr>
              <w:t>17</w:t>
            </w:r>
          </w:p>
        </w:tc>
        <w:tc>
          <w:tcPr>
            <w:tcW w:w="2658" w:type="dxa"/>
          </w:tcPr>
          <w:p w14:paraId="3D50835A" w14:textId="77777777" w:rsidR="0046094B" w:rsidRPr="00570B26" w:rsidRDefault="0046094B" w:rsidP="0046094B">
            <w:pPr>
              <w:spacing w:after="120" w:line="240" w:lineRule="auto"/>
              <w:ind w:left="0" w:right="0"/>
              <w:rPr>
                <w:rFonts w:asciiTheme="minorHAnsi" w:hAnsiTheme="minorHAnsi"/>
                <w:b/>
                <w:color w:val="000000"/>
                <w:sz w:val="16"/>
                <w:szCs w:val="16"/>
              </w:rPr>
            </w:pPr>
          </w:p>
        </w:tc>
      </w:tr>
      <w:tr w:rsidR="0046094B" w:rsidRPr="008727F2" w14:paraId="53EF9753" w14:textId="77777777" w:rsidTr="00816A75">
        <w:tc>
          <w:tcPr>
            <w:tcW w:w="1869" w:type="dxa"/>
          </w:tcPr>
          <w:p w14:paraId="5D7C8F3B" w14:textId="6B93428C" w:rsidR="0046094B" w:rsidRPr="00875F09" w:rsidRDefault="0046094B" w:rsidP="0046094B">
            <w:pPr>
              <w:spacing w:after="120" w:line="240" w:lineRule="auto"/>
              <w:ind w:left="0" w:right="0"/>
              <w:jc w:val="center"/>
              <w:rPr>
                <w:rFonts w:asciiTheme="minorHAnsi" w:hAnsiTheme="minorHAnsi"/>
                <w:b/>
                <w:color w:val="000000"/>
                <w:szCs w:val="16"/>
              </w:rPr>
            </w:pPr>
            <w:r>
              <w:rPr>
                <w:rFonts w:asciiTheme="minorHAnsi" w:hAnsiTheme="minorHAnsi"/>
                <w:b/>
                <w:color w:val="000000"/>
                <w:sz w:val="20"/>
              </w:rPr>
              <w:t>1</w:t>
            </w:r>
          </w:p>
        </w:tc>
        <w:tc>
          <w:tcPr>
            <w:tcW w:w="1657" w:type="dxa"/>
          </w:tcPr>
          <w:p w14:paraId="0E8FC099" w14:textId="0B6CF7EA" w:rsidR="0046094B" w:rsidRPr="00875F09" w:rsidRDefault="0046094B" w:rsidP="0046094B">
            <w:pPr>
              <w:spacing w:after="120" w:line="240" w:lineRule="auto"/>
              <w:ind w:left="0" w:right="0"/>
              <w:rPr>
                <w:rFonts w:asciiTheme="minorHAnsi" w:hAnsiTheme="minorHAnsi"/>
                <w:b/>
                <w:color w:val="000000"/>
                <w:szCs w:val="16"/>
              </w:rPr>
            </w:pPr>
            <w:r>
              <w:rPr>
                <w:rFonts w:asciiTheme="minorHAnsi" w:hAnsiTheme="minorHAnsi"/>
                <w:b/>
                <w:color w:val="000000"/>
                <w:sz w:val="20"/>
              </w:rPr>
              <w:t>EFRR</w:t>
            </w:r>
          </w:p>
        </w:tc>
        <w:tc>
          <w:tcPr>
            <w:tcW w:w="1898" w:type="dxa"/>
          </w:tcPr>
          <w:p w14:paraId="3BDC7238" w14:textId="6E6F73A4" w:rsidR="0046094B" w:rsidRDefault="0046094B" w:rsidP="0046094B">
            <w:pPr>
              <w:spacing w:after="120" w:line="240" w:lineRule="auto"/>
              <w:ind w:left="0" w:right="0"/>
              <w:rPr>
                <w:rFonts w:asciiTheme="minorHAnsi" w:hAnsiTheme="minorHAnsi"/>
                <w:b/>
                <w:color w:val="000000"/>
                <w:szCs w:val="16"/>
              </w:rPr>
            </w:pPr>
            <w:r>
              <w:rPr>
                <w:rFonts w:asciiTheme="minorHAnsi" w:hAnsiTheme="minorHAnsi"/>
                <w:b/>
                <w:color w:val="000000"/>
                <w:sz w:val="20"/>
              </w:rPr>
              <w:t>Cel szczegółowy 1.2</w:t>
            </w:r>
          </w:p>
        </w:tc>
        <w:tc>
          <w:tcPr>
            <w:tcW w:w="1204" w:type="dxa"/>
          </w:tcPr>
          <w:p w14:paraId="13169082" w14:textId="4D88DC0A" w:rsidR="0046094B" w:rsidRPr="0046094B" w:rsidRDefault="0046094B" w:rsidP="00DF516E">
            <w:pPr>
              <w:spacing w:after="120" w:line="240" w:lineRule="auto"/>
              <w:ind w:left="0" w:right="0"/>
              <w:jc w:val="center"/>
              <w:rPr>
                <w:rFonts w:ascii="Trebuchet MS" w:hAnsi="Trebuchet MS"/>
                <w:b/>
                <w:color w:val="000000"/>
                <w:sz w:val="20"/>
                <w:szCs w:val="16"/>
              </w:rPr>
            </w:pPr>
            <w:r>
              <w:rPr>
                <w:rFonts w:ascii="Trebuchet MS" w:hAnsi="Trebuchet MS"/>
                <w:sz w:val="20"/>
              </w:rPr>
              <w:t>18</w:t>
            </w:r>
          </w:p>
        </w:tc>
        <w:tc>
          <w:tcPr>
            <w:tcW w:w="2658" w:type="dxa"/>
          </w:tcPr>
          <w:p w14:paraId="63B28D9C" w14:textId="77777777" w:rsidR="0046094B" w:rsidRPr="00570B26" w:rsidRDefault="0046094B" w:rsidP="0046094B">
            <w:pPr>
              <w:spacing w:after="120" w:line="240" w:lineRule="auto"/>
              <w:ind w:left="0" w:right="0"/>
              <w:rPr>
                <w:rFonts w:asciiTheme="minorHAnsi" w:hAnsiTheme="minorHAnsi"/>
                <w:b/>
                <w:color w:val="000000"/>
                <w:sz w:val="16"/>
                <w:szCs w:val="16"/>
              </w:rPr>
            </w:pPr>
          </w:p>
        </w:tc>
      </w:tr>
    </w:tbl>
    <w:p w14:paraId="0D66154E" w14:textId="77777777" w:rsidR="009A0D85" w:rsidRPr="009A0D85" w:rsidRDefault="009A0D85" w:rsidP="009A0D85">
      <w:pPr>
        <w:spacing w:before="240" w:after="240" w:line="240" w:lineRule="auto"/>
        <w:ind w:left="0"/>
        <w:rPr>
          <w:rFonts w:asciiTheme="minorHAnsi" w:hAnsiTheme="minorHAnsi"/>
          <w:szCs w:val="24"/>
        </w:rPr>
      </w:pPr>
      <w:r>
        <w:rPr>
          <w:rFonts w:asciiTheme="minorHAnsi" w:hAnsiTheme="minorHAnsi"/>
        </w:rPr>
        <w:t>Tabela 5: Wymiar 2 – forma finansowania</w:t>
      </w:r>
    </w:p>
    <w:tbl>
      <w:tblPr>
        <w:tblStyle w:val="15"/>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A0D85" w:rsidRPr="008727F2" w14:paraId="295CE359" w14:textId="77777777" w:rsidTr="00816A75">
        <w:tc>
          <w:tcPr>
            <w:tcW w:w="1869" w:type="dxa"/>
          </w:tcPr>
          <w:p w14:paraId="204C1034"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Priorytet nr</w:t>
            </w:r>
          </w:p>
        </w:tc>
        <w:tc>
          <w:tcPr>
            <w:tcW w:w="1657" w:type="dxa"/>
          </w:tcPr>
          <w:p w14:paraId="21165D94"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w:t>
            </w:r>
          </w:p>
        </w:tc>
        <w:tc>
          <w:tcPr>
            <w:tcW w:w="1898" w:type="dxa"/>
          </w:tcPr>
          <w:p w14:paraId="7210C390"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Cel szczegółowy</w:t>
            </w:r>
          </w:p>
        </w:tc>
        <w:tc>
          <w:tcPr>
            <w:tcW w:w="1204" w:type="dxa"/>
          </w:tcPr>
          <w:p w14:paraId="082B727D"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Kod </w:t>
            </w:r>
          </w:p>
        </w:tc>
        <w:tc>
          <w:tcPr>
            <w:tcW w:w="2658" w:type="dxa"/>
          </w:tcPr>
          <w:p w14:paraId="05D3CC9A"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Kwota (EUR)</w:t>
            </w:r>
          </w:p>
        </w:tc>
      </w:tr>
      <w:tr w:rsidR="00875F09" w:rsidRPr="008727F2" w14:paraId="6AB43DA3" w14:textId="77777777" w:rsidTr="00816A75">
        <w:tc>
          <w:tcPr>
            <w:tcW w:w="1869" w:type="dxa"/>
          </w:tcPr>
          <w:p w14:paraId="6B8A9809" w14:textId="77777777" w:rsidR="00875F09" w:rsidRPr="00570B26" w:rsidRDefault="00875F09" w:rsidP="00875F09">
            <w:pPr>
              <w:spacing w:after="120" w:line="240" w:lineRule="auto"/>
              <w:ind w:left="0" w:right="0"/>
              <w:jc w:val="center"/>
              <w:rPr>
                <w:rFonts w:asciiTheme="minorHAnsi" w:eastAsia="Times New Roman" w:hAnsiTheme="minorHAnsi" w:cs="Times New Roman"/>
                <w:b/>
                <w:color w:val="000000"/>
                <w:sz w:val="16"/>
                <w:szCs w:val="16"/>
              </w:rPr>
            </w:pPr>
            <w:r>
              <w:rPr>
                <w:rFonts w:asciiTheme="minorHAnsi" w:hAnsiTheme="minorHAnsi"/>
                <w:b/>
                <w:color w:val="000000"/>
                <w:sz w:val="20"/>
              </w:rPr>
              <w:t>1</w:t>
            </w:r>
          </w:p>
        </w:tc>
        <w:tc>
          <w:tcPr>
            <w:tcW w:w="1657" w:type="dxa"/>
          </w:tcPr>
          <w:p w14:paraId="3EF76EC8" w14:textId="77777777" w:rsidR="00875F09" w:rsidRPr="00570B26" w:rsidRDefault="00875F09" w:rsidP="00875F0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20"/>
              </w:rPr>
              <w:t>EFRR</w:t>
            </w:r>
          </w:p>
        </w:tc>
        <w:tc>
          <w:tcPr>
            <w:tcW w:w="1898" w:type="dxa"/>
          </w:tcPr>
          <w:p w14:paraId="3561BC82" w14:textId="77777777" w:rsidR="00875F09" w:rsidRPr="00570B26" w:rsidRDefault="00875F09" w:rsidP="00875F0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20"/>
              </w:rPr>
              <w:t>Cel szczegółowy 1.2</w:t>
            </w:r>
          </w:p>
        </w:tc>
        <w:tc>
          <w:tcPr>
            <w:tcW w:w="1204" w:type="dxa"/>
          </w:tcPr>
          <w:p w14:paraId="01899681" w14:textId="14162AB9" w:rsidR="00875F09" w:rsidRPr="00DF516E" w:rsidRDefault="0046094B" w:rsidP="00DF516E">
            <w:pPr>
              <w:spacing w:after="120" w:line="240" w:lineRule="auto"/>
              <w:ind w:left="0" w:right="0"/>
              <w:jc w:val="center"/>
              <w:rPr>
                <w:rFonts w:ascii="Trebuchet MS" w:hAnsi="Trebuchet MS"/>
                <w:sz w:val="20"/>
              </w:rPr>
            </w:pPr>
            <w:r>
              <w:rPr>
                <w:rFonts w:ascii="Trebuchet MS" w:hAnsi="Trebuchet MS"/>
                <w:sz w:val="20"/>
              </w:rPr>
              <w:t>01</w:t>
            </w:r>
          </w:p>
        </w:tc>
        <w:tc>
          <w:tcPr>
            <w:tcW w:w="2658" w:type="dxa"/>
          </w:tcPr>
          <w:p w14:paraId="165F8D16" w14:textId="77777777" w:rsidR="00875F09" w:rsidRPr="00570B26" w:rsidRDefault="00875F09" w:rsidP="00875F09">
            <w:pPr>
              <w:spacing w:after="120" w:line="240" w:lineRule="auto"/>
              <w:ind w:left="0" w:right="0"/>
              <w:rPr>
                <w:rFonts w:asciiTheme="minorHAnsi" w:eastAsia="Times New Roman" w:hAnsiTheme="minorHAnsi" w:cs="Times New Roman"/>
                <w:b/>
                <w:color w:val="000000"/>
                <w:sz w:val="16"/>
                <w:szCs w:val="16"/>
              </w:rPr>
            </w:pPr>
          </w:p>
        </w:tc>
      </w:tr>
    </w:tbl>
    <w:p w14:paraId="1FAD87D9" w14:textId="77777777" w:rsidR="009A0D85" w:rsidRPr="009A0D85" w:rsidRDefault="009A0D85" w:rsidP="009A0D85">
      <w:pPr>
        <w:spacing w:before="240" w:after="240" w:line="240" w:lineRule="auto"/>
        <w:ind w:left="0"/>
        <w:rPr>
          <w:rFonts w:asciiTheme="minorHAnsi" w:hAnsiTheme="minorHAnsi"/>
          <w:szCs w:val="24"/>
        </w:rPr>
      </w:pPr>
      <w:r>
        <w:rPr>
          <w:rFonts w:asciiTheme="minorHAnsi" w:hAnsiTheme="minorHAnsi"/>
        </w:rPr>
        <w:t>Tabela 6: Wymiar 3 – mechanizm realizacji terytorialnej i koncentracja na terytorium</w:t>
      </w:r>
    </w:p>
    <w:tbl>
      <w:tblPr>
        <w:tblStyle w:val="14"/>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A0D85" w:rsidRPr="008727F2" w14:paraId="5883CC1B" w14:textId="77777777" w:rsidTr="00816A75">
        <w:tc>
          <w:tcPr>
            <w:tcW w:w="1869" w:type="dxa"/>
          </w:tcPr>
          <w:p w14:paraId="5F4141BC"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Priorytet nr</w:t>
            </w:r>
          </w:p>
        </w:tc>
        <w:tc>
          <w:tcPr>
            <w:tcW w:w="1657" w:type="dxa"/>
          </w:tcPr>
          <w:p w14:paraId="6583A216"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w:t>
            </w:r>
          </w:p>
        </w:tc>
        <w:tc>
          <w:tcPr>
            <w:tcW w:w="1898" w:type="dxa"/>
          </w:tcPr>
          <w:p w14:paraId="05EE0933"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Cel szczegółowy</w:t>
            </w:r>
          </w:p>
        </w:tc>
        <w:tc>
          <w:tcPr>
            <w:tcW w:w="1204" w:type="dxa"/>
          </w:tcPr>
          <w:p w14:paraId="17E3AFE3"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Kod </w:t>
            </w:r>
          </w:p>
        </w:tc>
        <w:tc>
          <w:tcPr>
            <w:tcW w:w="2658" w:type="dxa"/>
          </w:tcPr>
          <w:p w14:paraId="14DF6073"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Kwota (EUR)</w:t>
            </w:r>
          </w:p>
        </w:tc>
      </w:tr>
      <w:tr w:rsidR="00875F09" w:rsidRPr="008727F2" w14:paraId="0D01630A" w14:textId="77777777" w:rsidTr="00816A75">
        <w:tc>
          <w:tcPr>
            <w:tcW w:w="1869" w:type="dxa"/>
          </w:tcPr>
          <w:p w14:paraId="533A07B7" w14:textId="77777777" w:rsidR="00875F09" w:rsidRPr="00570B26" w:rsidRDefault="00875F09" w:rsidP="00BB1580">
            <w:pPr>
              <w:spacing w:after="120" w:line="240" w:lineRule="auto"/>
              <w:ind w:left="0" w:right="0"/>
              <w:jc w:val="center"/>
              <w:rPr>
                <w:rFonts w:asciiTheme="minorHAnsi" w:eastAsia="Times New Roman" w:hAnsiTheme="minorHAnsi" w:cs="Times New Roman"/>
                <w:b/>
                <w:color w:val="000000"/>
                <w:sz w:val="16"/>
                <w:szCs w:val="16"/>
              </w:rPr>
            </w:pPr>
            <w:r>
              <w:rPr>
                <w:rFonts w:asciiTheme="minorHAnsi" w:hAnsiTheme="minorHAnsi"/>
                <w:b/>
                <w:color w:val="000000"/>
                <w:sz w:val="20"/>
              </w:rPr>
              <w:t>1</w:t>
            </w:r>
          </w:p>
        </w:tc>
        <w:tc>
          <w:tcPr>
            <w:tcW w:w="1657" w:type="dxa"/>
          </w:tcPr>
          <w:p w14:paraId="7446E480" w14:textId="77777777" w:rsidR="00875F09" w:rsidRPr="00570B26" w:rsidRDefault="00875F09" w:rsidP="00875F0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20"/>
              </w:rPr>
              <w:t>EFRR</w:t>
            </w:r>
          </w:p>
        </w:tc>
        <w:tc>
          <w:tcPr>
            <w:tcW w:w="1898" w:type="dxa"/>
          </w:tcPr>
          <w:p w14:paraId="5EB8E75A" w14:textId="77777777" w:rsidR="00875F09" w:rsidRPr="00570B26" w:rsidRDefault="00875F09" w:rsidP="00875F0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20"/>
              </w:rPr>
              <w:t>Cel szczegółowy 1.2</w:t>
            </w:r>
          </w:p>
        </w:tc>
        <w:tc>
          <w:tcPr>
            <w:tcW w:w="1204" w:type="dxa"/>
          </w:tcPr>
          <w:p w14:paraId="7690546A" w14:textId="38DD1DB6" w:rsidR="00875F09" w:rsidRPr="00DF516E" w:rsidRDefault="0046094B" w:rsidP="00DF516E">
            <w:pPr>
              <w:spacing w:after="120" w:line="240" w:lineRule="auto"/>
              <w:ind w:left="0" w:right="0"/>
              <w:jc w:val="center"/>
              <w:rPr>
                <w:rFonts w:ascii="Trebuchet MS" w:hAnsi="Trebuchet MS"/>
                <w:sz w:val="20"/>
              </w:rPr>
            </w:pPr>
            <w:r>
              <w:rPr>
                <w:rFonts w:ascii="Trebuchet MS" w:hAnsi="Trebuchet MS"/>
                <w:sz w:val="20"/>
              </w:rPr>
              <w:t>48</w:t>
            </w:r>
          </w:p>
        </w:tc>
        <w:tc>
          <w:tcPr>
            <w:tcW w:w="2658" w:type="dxa"/>
          </w:tcPr>
          <w:p w14:paraId="1A0355DB" w14:textId="77777777" w:rsidR="00875F09" w:rsidRPr="00570B26" w:rsidRDefault="00875F09" w:rsidP="00875F09">
            <w:pPr>
              <w:spacing w:after="120" w:line="240" w:lineRule="auto"/>
              <w:ind w:left="0" w:right="0"/>
              <w:rPr>
                <w:rFonts w:asciiTheme="minorHAnsi" w:eastAsia="Times New Roman" w:hAnsiTheme="minorHAnsi" w:cs="Times New Roman"/>
                <w:b/>
                <w:color w:val="000000"/>
                <w:sz w:val="16"/>
                <w:szCs w:val="16"/>
              </w:rPr>
            </w:pPr>
          </w:p>
        </w:tc>
      </w:tr>
    </w:tbl>
    <w:p w14:paraId="09413E1E" w14:textId="77777777" w:rsidR="009A0D85" w:rsidRDefault="009A0D85">
      <w:pPr>
        <w:spacing w:before="0" w:line="240" w:lineRule="auto"/>
        <w:ind w:left="0" w:right="0"/>
        <w:jc w:val="left"/>
        <w:rPr>
          <w:rFonts w:asciiTheme="minorHAnsi" w:hAnsiTheme="minorHAnsi"/>
        </w:rPr>
      </w:pPr>
    </w:p>
    <w:p w14:paraId="26F8C351" w14:textId="77777777" w:rsidR="008559FE" w:rsidRDefault="008559FE">
      <w:pPr>
        <w:spacing w:before="0" w:line="240" w:lineRule="auto"/>
        <w:ind w:left="0" w:right="0"/>
        <w:jc w:val="left"/>
        <w:rPr>
          <w:rFonts w:asciiTheme="minorHAnsi" w:hAnsiTheme="minorHAnsi"/>
        </w:rPr>
      </w:pPr>
      <w:r>
        <w:br w:type="page"/>
      </w:r>
    </w:p>
    <w:p w14:paraId="3069B9AB" w14:textId="24A07E68" w:rsidR="009A0D85" w:rsidRPr="009D6F42" w:rsidRDefault="00E44B67" w:rsidP="00E44B67">
      <w:pPr>
        <w:tabs>
          <w:tab w:val="left" w:pos="567"/>
        </w:tabs>
        <w:spacing w:before="240" w:after="240" w:line="240" w:lineRule="auto"/>
        <w:ind w:left="360" w:right="0"/>
        <w:rPr>
          <w:rFonts w:asciiTheme="minorHAnsi" w:hAnsiTheme="minorHAnsi"/>
          <w:b/>
          <w:sz w:val="24"/>
          <w:szCs w:val="24"/>
        </w:rPr>
      </w:pPr>
      <w:r>
        <w:rPr>
          <w:rFonts w:asciiTheme="minorHAnsi" w:hAnsiTheme="minorHAnsi"/>
          <w:b/>
          <w:sz w:val="24"/>
        </w:rPr>
        <w:lastRenderedPageBreak/>
        <w:t>2</w:t>
      </w:r>
      <w:r w:rsidR="005C58DA">
        <w:rPr>
          <w:rFonts w:asciiTheme="minorHAnsi" w:hAnsiTheme="minorHAnsi"/>
          <w:b/>
          <w:sz w:val="24"/>
        </w:rPr>
        <w:t>.</w:t>
      </w:r>
      <w:r>
        <w:rPr>
          <w:rFonts w:asciiTheme="minorHAnsi" w:hAnsiTheme="minorHAnsi"/>
          <w:b/>
          <w:sz w:val="24"/>
        </w:rPr>
        <w:t>2. Tytuł priorytetu (dla każdego priorytetu)</w:t>
      </w:r>
    </w:p>
    <w:p w14:paraId="63049449" w14:textId="77777777" w:rsidR="009A0D85" w:rsidRPr="00D80606" w:rsidRDefault="009A0D85" w:rsidP="009A0D85">
      <w:pPr>
        <w:ind w:left="0"/>
        <w:rPr>
          <w:rFonts w:asciiTheme="minorHAnsi" w:hAnsiTheme="minorHAnsi"/>
          <w:color w:val="000000"/>
          <w:szCs w:val="24"/>
        </w:rPr>
      </w:pPr>
      <w:r w:rsidRPr="00D80606">
        <w:rPr>
          <w:rFonts w:asciiTheme="minorHAnsi" w:hAnsiTheme="minorHAnsi"/>
          <w:color w:val="000000"/>
        </w:rPr>
        <w:t>Podstawa: art. 17 ust. 4 lit. d</w:t>
      </w:r>
    </w:p>
    <w:p w14:paraId="41B99314" w14:textId="77777777" w:rsidR="009A0D85" w:rsidRPr="00D80606" w:rsidRDefault="009A0D85" w:rsidP="009A0D85">
      <w:pPr>
        <w:ind w:left="0"/>
        <w:rPr>
          <w:rFonts w:asciiTheme="minorHAnsi" w:hAnsiTheme="minorHAnsi"/>
        </w:rPr>
      </w:pPr>
      <w:r w:rsidRPr="00D80606">
        <w:rPr>
          <w:rFonts w:asciiTheme="minorHAnsi" w:hAnsiTheme="minorHAnsi"/>
        </w:rPr>
        <w:t>Pole tekstowe: [300]</w:t>
      </w:r>
    </w:p>
    <w:tbl>
      <w:tblPr>
        <w:tblStyle w:val="Tabela-Siatka"/>
        <w:tblW w:w="0" w:type="auto"/>
        <w:tblLook w:val="04A0" w:firstRow="1" w:lastRow="0" w:firstColumn="1" w:lastColumn="0" w:noHBand="0" w:noVBand="1"/>
      </w:tblPr>
      <w:tblGrid>
        <w:gridCol w:w="9060"/>
      </w:tblGrid>
      <w:tr w:rsidR="009A0D85" w:rsidRPr="00A557D8" w14:paraId="14974E39" w14:textId="77777777" w:rsidTr="00816A75">
        <w:tc>
          <w:tcPr>
            <w:tcW w:w="9060" w:type="dxa"/>
          </w:tcPr>
          <w:p w14:paraId="074C48F3" w14:textId="3715D064" w:rsidR="00EB1C9F" w:rsidRPr="00EB444C" w:rsidRDefault="00EB1C9F" w:rsidP="008C7F0C">
            <w:pPr>
              <w:pStyle w:val="CE-Headline3"/>
              <w:jc w:val="left"/>
            </w:pPr>
            <w:bookmarkStart w:id="98" w:name="_Toc71036604"/>
            <w:r>
              <w:t>Priorytet 2: Współpraca na rzecz bardziej zielonej Europy Środkowej</w:t>
            </w:r>
            <w:bookmarkEnd w:id="98"/>
            <w:r>
              <w:t xml:space="preserve"> </w:t>
            </w:r>
          </w:p>
        </w:tc>
      </w:tr>
    </w:tbl>
    <w:p w14:paraId="0BA0A02D" w14:textId="77777777" w:rsidR="009A0D85" w:rsidRPr="00680741" w:rsidRDefault="009A0D85" w:rsidP="009A0D85">
      <w:pPr>
        <w:ind w:left="0"/>
        <w:rPr>
          <w:rFonts w:asciiTheme="minorHAnsi" w:hAnsiTheme="minorHAnsi"/>
          <w:i/>
        </w:rPr>
      </w:pPr>
    </w:p>
    <w:p w14:paraId="63F2CD1B" w14:textId="77777777" w:rsidR="009A0D85" w:rsidRPr="008727F2" w:rsidRDefault="009A0D85" w:rsidP="009A0D85">
      <w:pPr>
        <w:spacing w:before="240" w:after="240" w:line="240" w:lineRule="auto"/>
        <w:ind w:left="709" w:hanging="709"/>
        <w:rPr>
          <w:rFonts w:asciiTheme="minorHAnsi" w:hAnsiTheme="minorHAnsi"/>
          <w:sz w:val="24"/>
          <w:szCs w:val="24"/>
        </w:rPr>
      </w:pPr>
      <w:r>
        <w:rPr>
          <w:rFonts w:asciiTheme="minorHAnsi" w:hAnsiTheme="minorHAnsi"/>
          <w:b/>
          <w:sz w:val="24"/>
        </w:rPr>
        <w:t>2.2.1.</w:t>
      </w:r>
      <w:r>
        <w:rPr>
          <w:rFonts w:asciiTheme="minorHAnsi" w:hAnsiTheme="minorHAnsi"/>
          <w:b/>
          <w:sz w:val="24"/>
        </w:rPr>
        <w:tab/>
        <w:t xml:space="preserve">Cel szczegółowy </w:t>
      </w:r>
      <w:r>
        <w:rPr>
          <w:rFonts w:asciiTheme="minorHAnsi" w:hAnsiTheme="minorHAnsi"/>
          <w:sz w:val="24"/>
        </w:rPr>
        <w:t xml:space="preserve"> (dla każdego wybranego celu szczegółowego, priorytetów, z wyłączeniem pomocy technicznej)</w:t>
      </w:r>
    </w:p>
    <w:p w14:paraId="74B3798B" w14:textId="77777777" w:rsidR="009A0D85" w:rsidRPr="00D80606" w:rsidRDefault="009A0D85" w:rsidP="009A0D85">
      <w:pPr>
        <w:ind w:left="0"/>
        <w:rPr>
          <w:rFonts w:asciiTheme="minorHAnsi" w:hAnsiTheme="minorHAnsi"/>
          <w:color w:val="000000"/>
        </w:rPr>
      </w:pPr>
      <w:r w:rsidRPr="00D80606">
        <w:rPr>
          <w:rFonts w:asciiTheme="minorHAnsi" w:hAnsiTheme="minorHAnsi"/>
          <w:color w:val="000000"/>
        </w:rPr>
        <w:t>Podstawa: art. 17 ust. 4 lit. e</w:t>
      </w:r>
    </w:p>
    <w:p w14:paraId="244AC98D" w14:textId="68AFE092" w:rsidR="007B183F" w:rsidRPr="00EB444C" w:rsidRDefault="007B183F" w:rsidP="00173920">
      <w:pPr>
        <w:pStyle w:val="CE-Headline4"/>
      </w:pPr>
      <w:bookmarkStart w:id="99" w:name="_Toc61245872"/>
      <w:bookmarkStart w:id="100" w:name="_Toc71036605"/>
      <w:r>
        <w:t xml:space="preserve">PO2 - </w:t>
      </w:r>
      <w:r>
        <w:tab/>
        <w:t>(i) Promowanie działań zwiększających efektywność energetyczną</w:t>
      </w:r>
      <w:bookmarkEnd w:id="99"/>
      <w:r>
        <w:t xml:space="preserve"> i zmniejszanie emisji gazów cieplarnianych</w:t>
      </w:r>
      <w:bookmarkEnd w:id="100"/>
    </w:p>
    <w:p w14:paraId="6422EA08" w14:textId="183C973A" w:rsidR="009A0D85" w:rsidRDefault="009A0D85" w:rsidP="009A0D85">
      <w:pPr>
        <w:spacing w:before="240" w:after="240" w:line="240" w:lineRule="auto"/>
        <w:ind w:left="709" w:hanging="709"/>
        <w:rPr>
          <w:rFonts w:asciiTheme="minorHAnsi" w:hAnsiTheme="minorHAnsi"/>
          <w:b/>
          <w:sz w:val="24"/>
          <w:szCs w:val="24"/>
        </w:rPr>
      </w:pPr>
      <w:r>
        <w:rPr>
          <w:rFonts w:asciiTheme="minorHAnsi" w:hAnsiTheme="minorHAnsi"/>
          <w:b/>
          <w:sz w:val="24"/>
        </w:rPr>
        <w:t>2.2.1.1 Powiązane rodzaje działań i ich planowany wkład w osiągnięcie odpowiednio celów szczegółowych i strategii makroregionalnych i strategii dotyczących basenów morskich</w:t>
      </w:r>
    </w:p>
    <w:p w14:paraId="2A791D82" w14:textId="77777777" w:rsidR="009A0D85" w:rsidRPr="00D80606" w:rsidRDefault="009A0D85" w:rsidP="009A0D85">
      <w:pPr>
        <w:ind w:left="0"/>
        <w:rPr>
          <w:rFonts w:asciiTheme="minorHAnsi" w:hAnsiTheme="minorHAnsi"/>
          <w:color w:val="000000"/>
        </w:rPr>
      </w:pPr>
      <w:r w:rsidRPr="00D80606">
        <w:rPr>
          <w:rFonts w:asciiTheme="minorHAnsi" w:hAnsiTheme="minorHAnsi"/>
          <w:color w:val="000000"/>
        </w:rPr>
        <w:t>Podstawa: art. 17 ust. 4 lit. e pkt i, artykuł 17 ust. 9 lit. c pkt ii</w:t>
      </w:r>
    </w:p>
    <w:p w14:paraId="036DCD96" w14:textId="77777777" w:rsidR="009A0D85" w:rsidRPr="00D80606" w:rsidRDefault="009A0D85" w:rsidP="009A0D85">
      <w:pPr>
        <w:ind w:left="0"/>
        <w:rPr>
          <w:rFonts w:asciiTheme="minorHAnsi" w:hAnsiTheme="minorHAnsi"/>
        </w:rPr>
      </w:pPr>
      <w:r w:rsidRPr="00D80606">
        <w:rPr>
          <w:rFonts w:asciiTheme="minorHAnsi" w:hAnsiTheme="minorHAnsi"/>
        </w:rPr>
        <w:t>Pole tekstowe [7000]</w:t>
      </w:r>
    </w:p>
    <w:tbl>
      <w:tblPr>
        <w:tblStyle w:val="Tabela-Siatka"/>
        <w:tblW w:w="0" w:type="auto"/>
        <w:tblLook w:val="04A0" w:firstRow="1" w:lastRow="0" w:firstColumn="1" w:lastColumn="0" w:noHBand="0" w:noVBand="1"/>
      </w:tblPr>
      <w:tblGrid>
        <w:gridCol w:w="9060"/>
      </w:tblGrid>
      <w:tr w:rsidR="009A0D85" w:rsidRPr="00A557D8" w14:paraId="38A412BA" w14:textId="77777777" w:rsidTr="00816A75">
        <w:tc>
          <w:tcPr>
            <w:tcW w:w="9060" w:type="dxa"/>
          </w:tcPr>
          <w:p w14:paraId="2674A04D" w14:textId="77777777" w:rsidR="009A0D85" w:rsidRPr="00D80606" w:rsidRDefault="00EB1C9F" w:rsidP="008C7F0C">
            <w:pPr>
              <w:ind w:left="0"/>
              <w:jc w:val="left"/>
              <w:rPr>
                <w:rFonts w:asciiTheme="minorHAnsi" w:hAnsiTheme="minorHAnsi"/>
                <w:b/>
                <w:color w:val="000000"/>
                <w:sz w:val="26"/>
                <w:szCs w:val="26"/>
              </w:rPr>
            </w:pPr>
            <w:r w:rsidRPr="00D80606">
              <w:rPr>
                <w:rFonts w:asciiTheme="minorHAnsi" w:hAnsiTheme="minorHAnsi"/>
                <w:b/>
                <w:color w:val="000000"/>
                <w:sz w:val="26"/>
                <w:szCs w:val="26"/>
              </w:rPr>
              <w:t>Cel szczegółowy 2.1: Wspieranie transformacji energetycznej dla neutralności klimatycznej</w:t>
            </w:r>
          </w:p>
          <w:p w14:paraId="63367546" w14:textId="77777777" w:rsidR="00EB1C9F" w:rsidRPr="00D80606" w:rsidRDefault="00EB1C9F" w:rsidP="00D80606">
            <w:pPr>
              <w:ind w:left="0" w:right="25"/>
              <w:jc w:val="left"/>
              <w:rPr>
                <w:rFonts w:asciiTheme="minorHAnsi" w:hAnsiTheme="minorHAnsi"/>
                <w:sz w:val="24"/>
                <w:szCs w:val="24"/>
              </w:rPr>
            </w:pPr>
            <w:r w:rsidRPr="00D80606">
              <w:rPr>
                <w:rFonts w:asciiTheme="minorHAnsi" w:hAnsiTheme="minorHAnsi"/>
                <w:b/>
                <w:sz w:val="24"/>
                <w:szCs w:val="24"/>
              </w:rPr>
              <w:t>Potrzeby terytorialne Europy Środkowej</w:t>
            </w:r>
            <w:r w:rsidRPr="00D80606">
              <w:rPr>
                <w:rFonts w:asciiTheme="minorHAnsi" w:hAnsiTheme="minorHAnsi"/>
                <w:sz w:val="24"/>
                <w:szCs w:val="24"/>
              </w:rPr>
              <w:t xml:space="preserve"> </w:t>
            </w:r>
          </w:p>
          <w:p w14:paraId="0F249488" w14:textId="6D098443" w:rsidR="0019186E" w:rsidRPr="00D80606" w:rsidRDefault="00DB0CC8" w:rsidP="00D80606">
            <w:pPr>
              <w:ind w:left="0" w:right="25"/>
              <w:jc w:val="left"/>
              <w:rPr>
                <w:rFonts w:asciiTheme="minorHAnsi" w:hAnsiTheme="minorHAnsi"/>
                <w:sz w:val="24"/>
                <w:szCs w:val="24"/>
              </w:rPr>
            </w:pPr>
            <w:r w:rsidRPr="00D80606">
              <w:rPr>
                <w:rFonts w:asciiTheme="minorHAnsi" w:hAnsiTheme="minorHAnsi"/>
                <w:sz w:val="24"/>
                <w:szCs w:val="24"/>
              </w:rPr>
              <w:t>W Europie Środkowej wiele regionów pozostaje wciąż uzależnionych w dużym stopniu od paliw kopalnych, w związku z czym emisje gazów cieplarnianych na ich obszarach przekraczają średnią wartość w UE. Stwierdza się znaczące rozbieżności pod względem wydajności energetycznej na poziomie regionalnym, a także pod względem wytwarzania i wykorzystania energii ze źródeł odnawialnych, co utrudnia realizację celów polityki energetycznej UE i celów klimatycznych Europejskiego Zielonego Ładu. Aby osiągnąć neutralność klimatyczną do 2050 roku, Europa Środkowa musi przekształcić swój system energetyczny. Kwestia ta jest przedmiotem kilku polityk związanych z klimatem, między innymi unijnej strategii wodorowej, która promuje produkcję czystego wodoru.</w:t>
            </w:r>
          </w:p>
          <w:p w14:paraId="3B3DED53" w14:textId="5C3BA3AC" w:rsidR="00DB0CC8" w:rsidRPr="00D80606" w:rsidRDefault="00411942" w:rsidP="00D80606">
            <w:pPr>
              <w:ind w:left="0" w:right="25"/>
              <w:jc w:val="left"/>
              <w:rPr>
                <w:rFonts w:asciiTheme="minorHAnsi" w:hAnsiTheme="minorHAnsi"/>
                <w:sz w:val="24"/>
                <w:szCs w:val="24"/>
              </w:rPr>
            </w:pPr>
            <w:r w:rsidRPr="00D80606">
              <w:rPr>
                <w:rFonts w:asciiTheme="minorHAnsi" w:hAnsiTheme="minorHAnsi"/>
                <w:sz w:val="24"/>
                <w:szCs w:val="24"/>
              </w:rPr>
              <w:t>Poprawa efektywności energetycznej może również przynieść wyraźne korzyści gospodarcze. Wobec powyższego regiony i miasta powinny intensyfikować swoje wysiłki i doskonalić polityki dotyczące zagadnień energetycznych we wszystkich sektorach, w tym w przemyśle i mieszkalnictwie.</w:t>
            </w:r>
            <w:r w:rsidRPr="00D80606">
              <w:rPr>
                <w:sz w:val="24"/>
                <w:szCs w:val="24"/>
              </w:rPr>
              <w:t xml:space="preserve"> </w:t>
            </w:r>
            <w:r w:rsidRPr="00D80606">
              <w:rPr>
                <w:rFonts w:asciiTheme="minorHAnsi" w:hAnsiTheme="minorHAnsi"/>
                <w:sz w:val="24"/>
                <w:szCs w:val="24"/>
              </w:rPr>
              <w:t xml:space="preserve">Produkcja energii odnawialnej może również oferować nowe możliwości rozwoju dla obszarów wiejskich i peryferyjnych. Współpraca transnarodowa ma odgrywać najważniejszą rolę w celu zapewnienia wsparcia i koordynacji przemian społeczno-gospodarczych na </w:t>
            </w:r>
            <w:r w:rsidRPr="00D80606">
              <w:rPr>
                <w:rFonts w:asciiTheme="minorHAnsi" w:hAnsiTheme="minorHAnsi"/>
                <w:sz w:val="24"/>
                <w:szCs w:val="24"/>
              </w:rPr>
              <w:lastRenderedPageBreak/>
              <w:t>rzecz przejścia do neutralnej pod względem klimatycznym Europy Środkowej.</w:t>
            </w:r>
          </w:p>
          <w:p w14:paraId="51C65C66" w14:textId="77777777" w:rsidR="00EB1C9F" w:rsidRPr="00D80606" w:rsidRDefault="00EB1C9F" w:rsidP="00D80606">
            <w:pPr>
              <w:ind w:left="0" w:right="25"/>
              <w:jc w:val="left"/>
              <w:rPr>
                <w:rFonts w:asciiTheme="minorHAnsi" w:hAnsiTheme="minorHAnsi"/>
                <w:b/>
                <w:sz w:val="24"/>
                <w:szCs w:val="24"/>
                <w:highlight w:val="yellow"/>
              </w:rPr>
            </w:pPr>
          </w:p>
          <w:p w14:paraId="41D38753" w14:textId="77777777" w:rsidR="00DB0CC8" w:rsidRPr="00D80606" w:rsidRDefault="00DB0CC8" w:rsidP="00D80606">
            <w:pPr>
              <w:ind w:left="0" w:right="25"/>
              <w:jc w:val="left"/>
              <w:rPr>
                <w:rFonts w:asciiTheme="minorHAnsi" w:hAnsiTheme="minorHAnsi"/>
                <w:b/>
                <w:sz w:val="24"/>
                <w:szCs w:val="24"/>
              </w:rPr>
            </w:pPr>
            <w:r w:rsidRPr="00D80606">
              <w:rPr>
                <w:rFonts w:asciiTheme="minorHAnsi" w:hAnsiTheme="minorHAnsi"/>
                <w:b/>
                <w:sz w:val="24"/>
                <w:szCs w:val="24"/>
              </w:rPr>
              <w:t xml:space="preserve">Działania w zakresie współpracy transnarodowej </w:t>
            </w:r>
          </w:p>
          <w:p w14:paraId="6AFB65EC" w14:textId="298A34C2" w:rsidR="00DB0CC8" w:rsidRPr="00D80606" w:rsidRDefault="00BB2292" w:rsidP="00D80606">
            <w:pPr>
              <w:ind w:left="0" w:right="25"/>
              <w:jc w:val="left"/>
              <w:rPr>
                <w:rFonts w:asciiTheme="minorHAnsi" w:hAnsiTheme="minorHAnsi"/>
                <w:sz w:val="24"/>
                <w:szCs w:val="24"/>
              </w:rPr>
            </w:pPr>
            <w:r w:rsidRPr="00D80606">
              <w:rPr>
                <w:rFonts w:asciiTheme="minorHAnsi" w:hAnsiTheme="minorHAnsi"/>
                <w:sz w:val="24"/>
                <w:szCs w:val="24"/>
              </w:rPr>
              <w:t>W ramach niniejszego celu szczegółowego wsparcie z programu Interreg Europa Środkowa będzie przyznawane na współpracę transnarodową ukierunkowaną na poprawę efektywności energetycznej i zrównoważonego wykorzystania energii ze źródeł odnawialnych na całym obszarze objętym programem. Dopuszczalne działania z zakresu współpracy wspólnych obejmują opracowanie i realizację strategii i planów działania, narzędzi, szkoleń, działań pilotażowych i powiązanych działań. Działania powinny służyć doskonaleniu polityk z zakresu energetyki, zwiększaniu zdolności i wsparciu regionów i miast Europy Środkowej w procesie wdrażania przystępnych cenowo rozwiązań zrównoważonej energetyki, które będą odpowiadać istniejącym w nich uwarunkowaniom terytorialnym.</w:t>
            </w:r>
          </w:p>
          <w:p w14:paraId="6FEEB458" w14:textId="790D1BD8" w:rsidR="00095F54" w:rsidRPr="00D80606" w:rsidRDefault="00095F54" w:rsidP="00D80606">
            <w:pPr>
              <w:ind w:left="0" w:right="25"/>
              <w:jc w:val="left"/>
              <w:rPr>
                <w:rFonts w:asciiTheme="minorHAnsi" w:hAnsiTheme="minorHAnsi"/>
                <w:sz w:val="24"/>
                <w:szCs w:val="24"/>
              </w:rPr>
            </w:pPr>
            <w:r w:rsidRPr="00D80606">
              <w:rPr>
                <w:rFonts w:asciiTheme="minorHAnsi" w:hAnsiTheme="minorHAnsi"/>
                <w:sz w:val="24"/>
                <w:szCs w:val="24"/>
              </w:rPr>
              <w:t>Działania związane z promowaniem produkcji energii odnawialnej powinny w szczególności uwzględniać ich wkład w politykę neutralności klimatycznej i potencjalne oddziaływanie na środowisko, np. na różnorodność biologiczną, gatunki i siedliska Natura 2000, hydromorfologię, wykorzystanie wody, hałas, wibracje i oddziaływanie elektromagnetyczne, jak również ochronę krajobrazu kulturowego i specyficzne problemy regionalne, o których mowa w odpowiednich konwencjach międzynarodowych (np. Konwencja Alpejska).</w:t>
            </w:r>
          </w:p>
          <w:p w14:paraId="06F2189F" w14:textId="599E807D" w:rsidR="009B0705" w:rsidRPr="00D80606" w:rsidRDefault="009B0705" w:rsidP="00D80606">
            <w:pPr>
              <w:ind w:left="0" w:right="25"/>
              <w:jc w:val="left"/>
              <w:rPr>
                <w:rFonts w:asciiTheme="minorHAnsi" w:hAnsiTheme="minorHAnsi"/>
                <w:sz w:val="24"/>
                <w:szCs w:val="24"/>
              </w:rPr>
            </w:pPr>
            <w:r w:rsidRPr="00D80606">
              <w:rPr>
                <w:rFonts w:asciiTheme="minorHAnsi" w:hAnsiTheme="minorHAnsi"/>
                <w:sz w:val="24"/>
                <w:szCs w:val="24"/>
              </w:rPr>
              <w:t>Ponadto w stosownych przypadkach należy rozważyć rozwiązania o obiegu zamkniętym, wykorzystanie i ponowne wykorzystanie zrównoważonych materiałów oraz integrację rozwiązań opartych na naturze.</w:t>
            </w:r>
          </w:p>
          <w:p w14:paraId="498208B8" w14:textId="44AE6B9E" w:rsidR="00DB0CC8" w:rsidRPr="00D80606" w:rsidRDefault="00E5384C" w:rsidP="00D80606">
            <w:pPr>
              <w:ind w:left="0" w:right="25"/>
              <w:jc w:val="left"/>
              <w:rPr>
                <w:rFonts w:asciiTheme="minorHAnsi" w:hAnsiTheme="minorHAnsi"/>
                <w:sz w:val="24"/>
                <w:szCs w:val="24"/>
              </w:rPr>
            </w:pPr>
            <w:r w:rsidRPr="00E5384C">
              <w:rPr>
                <w:rFonts w:asciiTheme="minorHAnsi" w:hAnsiTheme="minorHAnsi"/>
                <w:sz w:val="24"/>
                <w:szCs w:val="24"/>
              </w:rPr>
              <w:t>Konkretyzując</w:t>
            </w:r>
            <w:r w:rsidR="00DB0CC8" w:rsidRPr="00D80606">
              <w:rPr>
                <w:rFonts w:asciiTheme="minorHAnsi" w:hAnsiTheme="minorHAnsi"/>
                <w:sz w:val="24"/>
                <w:szCs w:val="24"/>
              </w:rPr>
              <w:t>, program będzie finansował działania, których celem będzie poprawa sytuacji w następujących dziedzinach (prezentowana lista nie jest katalogiem zamkniętym):</w:t>
            </w:r>
          </w:p>
          <w:p w14:paraId="34CDF1B7" w14:textId="77777777" w:rsidR="009B0D7D" w:rsidRPr="00D80606" w:rsidRDefault="009B0D7D" w:rsidP="00D80606">
            <w:pPr>
              <w:pStyle w:val="Akapitzlist"/>
              <w:numPr>
                <w:ilvl w:val="0"/>
                <w:numId w:val="40"/>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 xml:space="preserve">Inteligentna integracja rozwiązań neutralnych pod względem emisji dwutlenku węgla w różnych sektorach </w:t>
            </w:r>
          </w:p>
          <w:p w14:paraId="1C954999" w14:textId="31D8497E" w:rsidR="00DB0CC8" w:rsidRPr="00D80606" w:rsidRDefault="00C82910" w:rsidP="00D80606">
            <w:pPr>
              <w:pStyle w:val="Akapitzlist"/>
              <w:numPr>
                <w:ilvl w:val="0"/>
                <w:numId w:val="40"/>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 xml:space="preserve">Odnawialne źródła energii </w:t>
            </w:r>
          </w:p>
          <w:p w14:paraId="26352263" w14:textId="77777777" w:rsidR="00DB0CC8" w:rsidRPr="00D80606" w:rsidRDefault="00DB0CC8" w:rsidP="00D80606">
            <w:pPr>
              <w:pStyle w:val="Akapitzlist"/>
              <w:numPr>
                <w:ilvl w:val="0"/>
                <w:numId w:val="40"/>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 xml:space="preserve">Efektywność energetyczna budynków i infrastruktury publicznej </w:t>
            </w:r>
          </w:p>
          <w:p w14:paraId="5F750575" w14:textId="14436916" w:rsidR="00DB0CC8" w:rsidRPr="00D80606" w:rsidRDefault="006B26B1" w:rsidP="00D80606">
            <w:pPr>
              <w:pStyle w:val="Akapitzlist"/>
              <w:numPr>
                <w:ilvl w:val="0"/>
                <w:numId w:val="40"/>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Zmniejszenie emisji gazów cieplarnianych w przemyśle i innych sektorach</w:t>
            </w:r>
          </w:p>
          <w:p w14:paraId="275F3D03" w14:textId="77777777" w:rsidR="00DB0CC8" w:rsidRPr="00D80606" w:rsidRDefault="00DB0CC8" w:rsidP="00D80606">
            <w:pPr>
              <w:pStyle w:val="Akapitzlist"/>
              <w:numPr>
                <w:ilvl w:val="0"/>
                <w:numId w:val="40"/>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Planowanie energetyczne na szczeblu lokalnym i regionalnym</w:t>
            </w:r>
          </w:p>
          <w:p w14:paraId="0BB457F6" w14:textId="77777777" w:rsidR="00DB0CC8" w:rsidRPr="00D80606" w:rsidRDefault="00DB0CC8" w:rsidP="00D80606">
            <w:pPr>
              <w:pStyle w:val="Akapitzlist"/>
              <w:numPr>
                <w:ilvl w:val="0"/>
                <w:numId w:val="40"/>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Zarządzanie popytem na energię i zmiana zachowań</w:t>
            </w:r>
          </w:p>
          <w:p w14:paraId="209F30DE" w14:textId="77777777" w:rsidR="00DB0CC8" w:rsidRPr="00D80606" w:rsidRDefault="00DB0CC8" w:rsidP="00D80606">
            <w:pPr>
              <w:pStyle w:val="Akapitzlist"/>
              <w:numPr>
                <w:ilvl w:val="0"/>
                <w:numId w:val="40"/>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Systemy finansowania inwestycji w zakresie efektywności energetycznej i energii odnawialnej</w:t>
            </w:r>
          </w:p>
          <w:p w14:paraId="111417BC" w14:textId="5D3181CE" w:rsidR="00A02D84" w:rsidRPr="00D80606" w:rsidRDefault="00A02D84" w:rsidP="00D80606">
            <w:pPr>
              <w:pStyle w:val="Akapitzlist"/>
              <w:numPr>
                <w:ilvl w:val="0"/>
                <w:numId w:val="40"/>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Ubóstwo energetyczne</w:t>
            </w:r>
          </w:p>
          <w:p w14:paraId="40C22824" w14:textId="77777777" w:rsidR="00DB0CC8" w:rsidRPr="00D80606" w:rsidRDefault="00DB0CC8" w:rsidP="00D80606">
            <w:pPr>
              <w:ind w:left="0" w:right="25"/>
              <w:jc w:val="left"/>
              <w:rPr>
                <w:rFonts w:asciiTheme="minorHAnsi" w:hAnsiTheme="minorHAnsi"/>
                <w:sz w:val="24"/>
                <w:szCs w:val="24"/>
                <w:lang w:val="en-GB"/>
              </w:rPr>
            </w:pPr>
          </w:p>
          <w:p w14:paraId="738AD467" w14:textId="77777777" w:rsidR="00DB0CC8" w:rsidRPr="00D80606" w:rsidRDefault="00DB0CC8" w:rsidP="00D80606">
            <w:pPr>
              <w:spacing w:before="80" w:after="80"/>
              <w:ind w:left="0" w:right="0"/>
              <w:jc w:val="left"/>
              <w:rPr>
                <w:rFonts w:ascii="Trebuchet MS" w:eastAsiaTheme="minorHAnsi" w:hAnsi="Trebuchet MS" w:cstheme="minorBidi"/>
                <w:b/>
                <w:sz w:val="24"/>
                <w:szCs w:val="24"/>
                <w:u w:val="single"/>
              </w:rPr>
            </w:pPr>
            <w:r w:rsidRPr="00D80606">
              <w:rPr>
                <w:rFonts w:ascii="Trebuchet MS" w:hAnsi="Trebuchet MS"/>
                <w:b/>
                <w:sz w:val="24"/>
                <w:szCs w:val="24"/>
                <w:u w:val="single"/>
              </w:rPr>
              <w:t>Przykłady wspieranych działań (prezentowana lista nie jest katalogiem zamkniętym):</w:t>
            </w:r>
          </w:p>
          <w:p w14:paraId="30035FC4" w14:textId="0BD86E0B" w:rsidR="00DB0CC8" w:rsidRPr="00D80606" w:rsidRDefault="00DB0CC8" w:rsidP="00D80606">
            <w:pPr>
              <w:pStyle w:val="Akapitzlist"/>
              <w:numPr>
                <w:ilvl w:val="0"/>
                <w:numId w:val="41"/>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Wspieranie rozwoju spójnych ram politycznych na poziomie lokalnym i regionalnym w celu przejścia na gospodarkę i społeczeństwo neutralne klimatycznie w Europie Środkowej</w:t>
            </w:r>
          </w:p>
          <w:p w14:paraId="0C7DAEDC" w14:textId="77777777" w:rsidR="00DB0CC8" w:rsidRPr="00D80606" w:rsidRDefault="00DB0CC8" w:rsidP="00D80606">
            <w:pPr>
              <w:pStyle w:val="Akapitzlist"/>
              <w:numPr>
                <w:ilvl w:val="0"/>
                <w:numId w:val="41"/>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Zwiększanie zdolności odpowiednich interesariuszy oraz wspieranie wymiany wiedzy i dobrych praktyk w zakresie łagodzenia zmian klimatycznych na szczeblu lokalnym i regionalnym, zwłaszcza między regionami o podobnych cechach terytorialnych w odniesieniu do praktycznej realizacji planów działań na rzecz klimatu</w:t>
            </w:r>
          </w:p>
          <w:p w14:paraId="4CA9DA6E" w14:textId="7C8CCD15" w:rsidR="00DB0CC8" w:rsidRPr="00D80606" w:rsidRDefault="00DB0CC8" w:rsidP="00D80606">
            <w:pPr>
              <w:pStyle w:val="Akapitzlist"/>
              <w:numPr>
                <w:ilvl w:val="0"/>
                <w:numId w:val="41"/>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Wspieranie efektywnych pod względem kosztów środków i działań pilotażowych, które zwiększają efektywność energetyczną i poprawiają integrację zrównoważonych odnawialnych źródeł energii w MŚP i w różnych sektorach (np. w sektorze budowlanym, przemyśle, rolnictwie, leśnictwie)</w:t>
            </w:r>
          </w:p>
          <w:p w14:paraId="2B2D83C1" w14:textId="265E2554" w:rsidR="00DB0CC8" w:rsidRPr="00D80606" w:rsidRDefault="00DB0CC8" w:rsidP="00D80606">
            <w:pPr>
              <w:pStyle w:val="Akapitzlist"/>
              <w:numPr>
                <w:ilvl w:val="0"/>
                <w:numId w:val="41"/>
              </w:numPr>
              <w:ind w:right="23"/>
              <w:contextualSpacing w:val="0"/>
              <w:jc w:val="left"/>
              <w:rPr>
                <w:rFonts w:asciiTheme="minorHAnsi" w:hAnsiTheme="minorHAnsi"/>
                <w:sz w:val="24"/>
                <w:szCs w:val="24"/>
              </w:rPr>
            </w:pPr>
            <w:r w:rsidRPr="00D80606">
              <w:rPr>
                <w:rFonts w:asciiTheme="minorHAnsi" w:hAnsiTheme="minorHAnsi"/>
                <w:sz w:val="24"/>
                <w:szCs w:val="24"/>
              </w:rPr>
              <w:t>Wdrażanie działań pilotażowych w celu testowania innowacyjnych i neutralnych dla klimatu rozwiązań poprzez np. podejmowanie i wykorzystywanie wyników badań i rozwoju w zakresie efektywnej energetycznie renowacji oraz ogrzewaniu i chłodzeniu budynków (w tym budynków dziedzictwa kulturowego)</w:t>
            </w:r>
          </w:p>
          <w:p w14:paraId="0C245C22" w14:textId="1D4418DB" w:rsidR="00DB0CC8" w:rsidRPr="00D80606" w:rsidRDefault="00DB0CC8" w:rsidP="00D80606">
            <w:pPr>
              <w:pStyle w:val="Akapitzlist"/>
              <w:numPr>
                <w:ilvl w:val="0"/>
                <w:numId w:val="41"/>
              </w:numPr>
              <w:ind w:right="23"/>
              <w:contextualSpacing w:val="0"/>
              <w:jc w:val="left"/>
              <w:rPr>
                <w:rFonts w:asciiTheme="minorHAnsi" w:hAnsiTheme="minorHAnsi"/>
                <w:sz w:val="24"/>
                <w:szCs w:val="24"/>
              </w:rPr>
            </w:pPr>
            <w:r w:rsidRPr="00D80606">
              <w:rPr>
                <w:rFonts w:asciiTheme="minorHAnsi" w:hAnsiTheme="minorHAnsi"/>
                <w:sz w:val="24"/>
                <w:szCs w:val="24"/>
              </w:rPr>
              <w:t>Opracowywanie i wdrażanie koncepcji inteligentnych miast i inteligentnych regionów, w tym poprawa efektywności energetycznej lokalnych sieci ciepłowniczych, w celu wspierania społeczeństw i terytoriów neutralnych pod względem emisji dwutlenku węgla</w:t>
            </w:r>
          </w:p>
          <w:p w14:paraId="69EF2FBC" w14:textId="7A648BDD" w:rsidR="00DB0CC8" w:rsidRPr="00D80606" w:rsidRDefault="00DD769C" w:rsidP="00D80606">
            <w:pPr>
              <w:pStyle w:val="Akapitzlist"/>
              <w:numPr>
                <w:ilvl w:val="0"/>
                <w:numId w:val="41"/>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Działania pilotażowe w zakresie testowania produkcji zdecentralizowanej energii odnawialnej oraz wspieranie wzmocnienia pozycji konsumentów i społeczności korzystających z energii odnawialnej, zwłaszcza na obszarach wiejskich, z uwzględnieniem na przykład zrównoważonego zarządzania wycofanymi z eksploatacji panelami słonecznymi</w:t>
            </w:r>
          </w:p>
          <w:p w14:paraId="18071FA8" w14:textId="19D2C6B5" w:rsidR="00DB0CC8" w:rsidRPr="00D80606" w:rsidRDefault="00DB0CC8" w:rsidP="00D80606">
            <w:pPr>
              <w:pStyle w:val="Akapitzlist"/>
              <w:numPr>
                <w:ilvl w:val="0"/>
                <w:numId w:val="41"/>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Poprawa zarządzania zapotrzebowaniem na energię i wspieranie zmian zachowań konsumentów w celu zmniejszenia zużycia energii oraz wspierania zrównoważonego i efektywnego pod względem wykorzystania zasobów wykorzystania energii</w:t>
            </w:r>
          </w:p>
          <w:p w14:paraId="58E13609" w14:textId="797A665D" w:rsidR="00652D04" w:rsidRPr="00D80606" w:rsidRDefault="00652D04" w:rsidP="00D80606">
            <w:pPr>
              <w:pStyle w:val="Akapitzlist"/>
              <w:numPr>
                <w:ilvl w:val="0"/>
                <w:numId w:val="41"/>
              </w:numPr>
              <w:ind w:right="23"/>
              <w:contextualSpacing w:val="0"/>
              <w:jc w:val="left"/>
              <w:rPr>
                <w:rFonts w:asciiTheme="minorHAnsi" w:hAnsiTheme="minorHAnsi"/>
                <w:sz w:val="24"/>
                <w:szCs w:val="24"/>
              </w:rPr>
            </w:pPr>
            <w:r w:rsidRPr="00D80606">
              <w:rPr>
                <w:rFonts w:asciiTheme="minorHAnsi" w:hAnsiTheme="minorHAnsi"/>
                <w:sz w:val="24"/>
                <w:szCs w:val="24"/>
              </w:rPr>
              <w:t>Wspieranie produkcji i wykorzystania zaawansowanych biopaliw, w szczególności biopaliw drugiej (produkowanych z upraw niespożywczych, takich jak biopaliwa celulozowe i biomasa odpadowa) i trzeciej generacji (biomasa z alg)</w:t>
            </w:r>
          </w:p>
          <w:p w14:paraId="7A9E5CB7" w14:textId="3F896B57" w:rsidR="00B41D1F" w:rsidRPr="00D80606" w:rsidRDefault="00B41D1F" w:rsidP="00D80606">
            <w:pPr>
              <w:pStyle w:val="Akapitzlist"/>
              <w:numPr>
                <w:ilvl w:val="0"/>
                <w:numId w:val="41"/>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 xml:space="preserve">Wspieranie polityki i strategii mających na celu przezwyciężenie barier we </w:t>
            </w:r>
            <w:r w:rsidRPr="00D80606">
              <w:rPr>
                <w:rFonts w:asciiTheme="minorHAnsi" w:hAnsiTheme="minorHAnsi"/>
                <w:sz w:val="24"/>
                <w:szCs w:val="24"/>
              </w:rPr>
              <w:lastRenderedPageBreak/>
              <w:t xml:space="preserve">wprowadzaniu rozwiązań w zakresie wychwytywania, wykorzystywania i składowania dwutlenku węgla w celu ograniczenia emisji gazów cieplarnianych </w:t>
            </w:r>
          </w:p>
          <w:p w14:paraId="64563A22" w14:textId="1DF7DFD4" w:rsidR="00DB0CC8" w:rsidRPr="00D80606" w:rsidRDefault="00DB0CC8" w:rsidP="00D80606">
            <w:pPr>
              <w:pStyle w:val="Akapitzlist"/>
              <w:numPr>
                <w:ilvl w:val="0"/>
                <w:numId w:val="41"/>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 xml:space="preserve">Opracowanie i wprowadzenie nowych lub ulepszonych systemów zachęt, które skłonią do ograniczenia emisji gazów cieplarnianych ze źródeł przemysłowych na poziomie lokalnym i regionalnym oraz wzmocnią zrównoważone wykorzystanie odnawialnych źródeł energii (w tym wodoru) i rozwiązań w zakresie magazynowania energii </w:t>
            </w:r>
          </w:p>
          <w:p w14:paraId="2904B007" w14:textId="6BAB0974" w:rsidR="00D53AD5" w:rsidRPr="00D80606" w:rsidRDefault="00D53AD5" w:rsidP="00D80606">
            <w:pPr>
              <w:pStyle w:val="Akapitzlist"/>
              <w:numPr>
                <w:ilvl w:val="0"/>
                <w:numId w:val="41"/>
              </w:numPr>
              <w:ind w:right="23"/>
              <w:contextualSpacing w:val="0"/>
              <w:jc w:val="left"/>
              <w:rPr>
                <w:rFonts w:asciiTheme="minorHAnsi" w:hAnsiTheme="minorHAnsi"/>
                <w:sz w:val="24"/>
                <w:szCs w:val="24"/>
              </w:rPr>
            </w:pPr>
            <w:r w:rsidRPr="00D80606">
              <w:rPr>
                <w:rFonts w:asciiTheme="minorHAnsi" w:hAnsiTheme="minorHAnsi"/>
                <w:sz w:val="24"/>
                <w:szCs w:val="24"/>
              </w:rPr>
              <w:t>Wspieranie wprowadzania korporacyjnych celów w zakresie łagodzenia zmian klimatycznych i włączania ich do istniejących narzędzi zarządzania przedsiębiorstwem (np. analityki) oraz procesu podejmowania decyzji (np. na etapie rozwoju produktu)</w:t>
            </w:r>
          </w:p>
          <w:p w14:paraId="5B011CD7" w14:textId="2BE238E9" w:rsidR="00DB0CC8" w:rsidRPr="00D80606" w:rsidRDefault="00DB0CC8" w:rsidP="00D80606">
            <w:pPr>
              <w:pStyle w:val="Akapitzlist"/>
              <w:numPr>
                <w:ilvl w:val="0"/>
                <w:numId w:val="41"/>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Zachęcanie do inwestycji, w szczególności funduszy prywatnych, w celu wdrożenia środków efektywności energetycznej i wykorzystania odnawialnych źródeł energii w różnych sektorach, w tym w sektorze przemysłowym, usługowym i mieszkaniowym</w:t>
            </w:r>
          </w:p>
          <w:p w14:paraId="54BC52EC" w14:textId="77777777" w:rsidR="00DB0CC8" w:rsidRPr="00D80606" w:rsidRDefault="00DB0CC8" w:rsidP="00D80606">
            <w:pPr>
              <w:pStyle w:val="Akapitzlist"/>
              <w:numPr>
                <w:ilvl w:val="0"/>
                <w:numId w:val="41"/>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Wspieranie gromadzenia zintegrowanych danych dotyczących zarządzania energią oraz interoperacyjności danych dzięki technologiom cyfrowym, a także koordynacja standardów i aspektów regulacyjnych</w:t>
            </w:r>
          </w:p>
          <w:p w14:paraId="50779F67" w14:textId="77777777" w:rsidR="001969C8" w:rsidRPr="00D80606" w:rsidRDefault="001969C8" w:rsidP="00D80606">
            <w:pPr>
              <w:ind w:left="0" w:right="25"/>
              <w:jc w:val="left"/>
              <w:rPr>
                <w:rFonts w:asciiTheme="minorHAnsi" w:hAnsiTheme="minorHAnsi"/>
                <w:sz w:val="24"/>
                <w:szCs w:val="24"/>
              </w:rPr>
            </w:pPr>
          </w:p>
          <w:p w14:paraId="65EEAB44" w14:textId="1686F004" w:rsidR="004D3966" w:rsidRPr="00D80606" w:rsidRDefault="00DB0CC8" w:rsidP="00D80606">
            <w:pPr>
              <w:ind w:left="0" w:right="25"/>
              <w:jc w:val="left"/>
              <w:rPr>
                <w:rFonts w:asciiTheme="minorHAnsi" w:hAnsiTheme="minorHAnsi"/>
                <w:sz w:val="24"/>
                <w:szCs w:val="24"/>
              </w:rPr>
            </w:pPr>
            <w:r w:rsidRPr="00D80606">
              <w:rPr>
                <w:rFonts w:asciiTheme="minorHAnsi" w:hAnsiTheme="minorHAnsi"/>
                <w:sz w:val="24"/>
                <w:szCs w:val="24"/>
              </w:rPr>
              <w:t xml:space="preserve">W ramach działań należy dążyć do synergii z innymi instrumentami europejskimi, w szczególności związanymi z Zielonym Ładem. Należy opierać się na wynikach badań i innowacyjnych technologiach opracowanych w ramach programów takich jak Horyzont Europa, LIFE itp. oraz stymulować inwestycje w infrastrukturę za pośrednictwem sektora prywatnego i unijnych instrumentów finansowych, takich jak np. krajowe i regionalne programy EFRR, instrument „Łącząc Europę” (CEF), </w:t>
            </w:r>
            <w:r w:rsidRPr="008A72BA">
              <w:rPr>
                <w:rFonts w:asciiTheme="minorHAnsi" w:hAnsiTheme="minorHAnsi"/>
                <w:sz w:val="24"/>
                <w:szCs w:val="24"/>
              </w:rPr>
              <w:t>InvestEU</w:t>
            </w:r>
            <w:r w:rsidRPr="00D80606">
              <w:rPr>
                <w:rFonts w:asciiTheme="minorHAnsi" w:hAnsiTheme="minorHAnsi"/>
                <w:sz w:val="24"/>
                <w:szCs w:val="24"/>
              </w:rPr>
              <w:t xml:space="preserve">, </w:t>
            </w:r>
            <w:r w:rsidR="00272202">
              <w:rPr>
                <w:rFonts w:asciiTheme="minorHAnsi" w:hAnsiTheme="minorHAnsi"/>
                <w:sz w:val="24"/>
                <w:szCs w:val="24"/>
              </w:rPr>
              <w:t>F</w:t>
            </w:r>
            <w:r w:rsidRPr="00D80606">
              <w:rPr>
                <w:rFonts w:asciiTheme="minorHAnsi" w:hAnsiTheme="minorHAnsi"/>
                <w:sz w:val="24"/>
                <w:szCs w:val="24"/>
              </w:rPr>
              <w:t xml:space="preserve">undusz </w:t>
            </w:r>
            <w:r w:rsidR="00272202">
              <w:rPr>
                <w:rFonts w:asciiTheme="minorHAnsi" w:hAnsiTheme="minorHAnsi"/>
                <w:sz w:val="24"/>
                <w:szCs w:val="24"/>
              </w:rPr>
              <w:t>na rzecz Sprawiedliwej Transformacji</w:t>
            </w:r>
            <w:r w:rsidRPr="00D80606">
              <w:rPr>
                <w:rFonts w:asciiTheme="minorHAnsi" w:hAnsiTheme="minorHAnsi"/>
                <w:sz w:val="24"/>
                <w:szCs w:val="24"/>
              </w:rPr>
              <w:t xml:space="preserve"> lub EBI. W stosownych przypadkach należy również rozważyć synergie i komplementarność z EFS+, np. w związku z rozwojem zielonych umiejętności i zielonych miejsc pracy, oraz z EFRROW w odniesieniu do zwiększenia efektywności wykorzystania energii w rolnictwie.</w:t>
            </w:r>
          </w:p>
          <w:p w14:paraId="701313CE" w14:textId="1EC2586F" w:rsidR="003C1BA9" w:rsidRPr="00D80606" w:rsidRDefault="00DB0CC8" w:rsidP="00D80606">
            <w:pPr>
              <w:ind w:left="0" w:right="25"/>
              <w:jc w:val="left"/>
              <w:rPr>
                <w:rFonts w:asciiTheme="minorHAnsi" w:hAnsiTheme="minorHAnsi"/>
                <w:sz w:val="24"/>
                <w:szCs w:val="24"/>
              </w:rPr>
            </w:pPr>
            <w:r w:rsidRPr="00D80606">
              <w:rPr>
                <w:rFonts w:asciiTheme="minorHAnsi" w:hAnsiTheme="minorHAnsi"/>
                <w:sz w:val="24"/>
                <w:szCs w:val="24"/>
              </w:rPr>
              <w:t xml:space="preserve">Ponadto działania powinny uwzględniać plany działania w ramach strategii makroregionalnych, a także odpowiednie inicjatywy UE i KE, takie jak łączność energetyczna w Europie Środkowej i Południowo-Wschodniej (CESEC), Porozumienie Zielonych Miast i Porozumienie Burmistrzów na rzecz Klimatu i Energii oraz Agenda Miejska UE. Zachęca się również do udziału w już istniejących regionalnych forach współpracy na rzecz zarządzania unią energetyczną oraz do przyłączenia się do dialogu energetycznego dotyczącego optymalizacji polityki energetycznej i klimatycznej. </w:t>
            </w:r>
          </w:p>
          <w:p w14:paraId="321ACE97" w14:textId="77777777" w:rsidR="000B4D10" w:rsidRPr="00D80606" w:rsidRDefault="000B4D10" w:rsidP="00D80606">
            <w:pPr>
              <w:ind w:left="0" w:right="25"/>
              <w:jc w:val="left"/>
              <w:rPr>
                <w:rFonts w:asciiTheme="minorHAnsi" w:hAnsiTheme="minorHAnsi"/>
                <w:sz w:val="24"/>
                <w:szCs w:val="24"/>
              </w:rPr>
            </w:pPr>
          </w:p>
          <w:p w14:paraId="497433D9" w14:textId="77777777" w:rsidR="000B4D10" w:rsidRPr="00D80606" w:rsidRDefault="000B4D10" w:rsidP="00D80606">
            <w:pPr>
              <w:ind w:left="0" w:right="25"/>
              <w:jc w:val="left"/>
              <w:rPr>
                <w:rFonts w:asciiTheme="minorHAnsi" w:hAnsiTheme="minorHAnsi"/>
                <w:b/>
                <w:sz w:val="24"/>
                <w:szCs w:val="24"/>
              </w:rPr>
            </w:pPr>
            <w:r w:rsidRPr="00D80606">
              <w:rPr>
                <w:rFonts w:asciiTheme="minorHAnsi" w:hAnsiTheme="minorHAnsi"/>
                <w:b/>
                <w:sz w:val="24"/>
                <w:szCs w:val="24"/>
              </w:rPr>
              <w:lastRenderedPageBreak/>
              <w:t xml:space="preserve">Planowane wyniki </w:t>
            </w:r>
          </w:p>
          <w:p w14:paraId="09F5E021" w14:textId="6B8BA66B" w:rsidR="009A0D85" w:rsidRPr="00D8434F" w:rsidRDefault="0091685D" w:rsidP="00FA23B4">
            <w:pPr>
              <w:ind w:left="0" w:right="25"/>
              <w:jc w:val="left"/>
              <w:rPr>
                <w:rFonts w:asciiTheme="minorHAnsi" w:hAnsiTheme="minorHAnsi"/>
                <w:i/>
                <w:color w:val="000000"/>
              </w:rPr>
            </w:pPr>
            <w:r w:rsidRPr="00D80606">
              <w:rPr>
                <w:rFonts w:asciiTheme="minorHAnsi" w:hAnsiTheme="minorHAnsi"/>
                <w:sz w:val="24"/>
                <w:szCs w:val="24"/>
              </w:rPr>
              <w:t>Działania w ramach współpracy transnarodowej przyczynią się do zwiększenia zdolności regionów i miast Europy Środkowej w celu realizacji polityk zwiększania efektywności energetycznej i działań w różnych sektorach. Działania pilotażowe potwierdzą wykonalność rozwiązań zwiększających efektywność energetyczną, które będą przyczyniać się do zmiany sposobu postępowania, znoszenia barier i wykorzystania dalszych inwestycji na rzecz ich wdrożenia na szeroką skalę w Europie Środkowej. Doprowadzą w końcu do ograniczenia emisji gazów cieplarnianych na rzecz osiągnięcia neutralności pod względem efektu cieplarnianego i będą przyczyniać się do łagodzenia zmian klimatu</w:t>
            </w:r>
            <w:r w:rsidR="00A53FF2" w:rsidRPr="00D80606">
              <w:rPr>
                <w:rFonts w:asciiTheme="minorHAnsi" w:hAnsiTheme="minorHAnsi"/>
                <w:sz w:val="24"/>
                <w:szCs w:val="24"/>
              </w:rPr>
              <w:t>.</w:t>
            </w:r>
            <w:r>
              <w:rPr>
                <w:rFonts w:asciiTheme="minorHAnsi" w:hAnsiTheme="minorHAnsi"/>
              </w:rPr>
              <w:t xml:space="preserve"> </w:t>
            </w:r>
          </w:p>
        </w:tc>
      </w:tr>
    </w:tbl>
    <w:p w14:paraId="096F4104" w14:textId="77777777" w:rsidR="009A0D85" w:rsidRPr="00680741" w:rsidRDefault="009A0D85" w:rsidP="009A0D85">
      <w:pPr>
        <w:rPr>
          <w:rFonts w:asciiTheme="minorHAnsi" w:hAnsiTheme="minorHAnsi"/>
          <w:i/>
          <w:color w:val="000000"/>
        </w:rPr>
      </w:pPr>
    </w:p>
    <w:p w14:paraId="0C1DE8F5" w14:textId="77777777" w:rsidR="009A0D85" w:rsidRPr="00D80606" w:rsidRDefault="009A0D85" w:rsidP="009A0D85">
      <w:pPr>
        <w:spacing w:before="240" w:after="240" w:line="240" w:lineRule="auto"/>
        <w:ind w:left="0"/>
        <w:rPr>
          <w:rFonts w:asciiTheme="minorHAnsi" w:hAnsiTheme="minorHAnsi"/>
          <w:b/>
          <w:sz w:val="24"/>
          <w:szCs w:val="24"/>
        </w:rPr>
      </w:pPr>
      <w:r w:rsidRPr="00D80606">
        <w:rPr>
          <w:rFonts w:asciiTheme="minorHAnsi" w:hAnsiTheme="minorHAnsi"/>
          <w:b/>
          <w:sz w:val="24"/>
          <w:szCs w:val="24"/>
        </w:rPr>
        <w:t>Dla programów INTERACT i ESPON:</w:t>
      </w:r>
    </w:p>
    <w:p w14:paraId="727EC2D0" w14:textId="77777777" w:rsidR="009A0D85" w:rsidRPr="00D80606" w:rsidRDefault="009A0D85" w:rsidP="009A0D85">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9 lit. c punkt i</w:t>
      </w:r>
    </w:p>
    <w:p w14:paraId="04048E2B" w14:textId="77777777" w:rsidR="009A0D85" w:rsidRPr="00D80606" w:rsidRDefault="009A0D85" w:rsidP="009A0D85">
      <w:pPr>
        <w:spacing w:before="240" w:after="240" w:line="240" w:lineRule="auto"/>
        <w:ind w:left="0"/>
        <w:rPr>
          <w:rFonts w:asciiTheme="minorHAnsi" w:hAnsiTheme="minorHAnsi"/>
          <w:color w:val="000000"/>
          <w:szCs w:val="24"/>
        </w:rPr>
      </w:pPr>
      <w:r w:rsidRPr="00D80606">
        <w:rPr>
          <w:rFonts w:asciiTheme="minorHAnsi" w:hAnsiTheme="minorHAnsi"/>
          <w:color w:val="000000"/>
        </w:rPr>
        <w:t>Definicja pojedynczego beneficjenta lub zamkniętej listy beneficjentów i procedura przyznawania środków finansowych.</w:t>
      </w:r>
    </w:p>
    <w:p w14:paraId="3DCEAA9D" w14:textId="77777777" w:rsidR="00B5185B" w:rsidRPr="00D80606" w:rsidRDefault="00B5185B" w:rsidP="009A0D85">
      <w:pPr>
        <w:spacing w:before="240" w:after="240" w:line="240" w:lineRule="auto"/>
        <w:ind w:left="0"/>
        <w:rPr>
          <w:rFonts w:asciiTheme="minorHAnsi" w:hAnsiTheme="minorHAnsi"/>
          <w:color w:val="000000"/>
          <w:szCs w:val="24"/>
        </w:rPr>
      </w:pPr>
      <w:r w:rsidRPr="00D80606">
        <w:rPr>
          <w:rFonts w:asciiTheme="minorHAnsi" w:hAnsiTheme="minorHAnsi"/>
          <w:color w:val="000000"/>
        </w:rPr>
        <w:t>Pole tekstowe [7000]</w:t>
      </w:r>
    </w:p>
    <w:p w14:paraId="3C741C35" w14:textId="77777777" w:rsidR="009A0D85" w:rsidRPr="00D80606" w:rsidRDefault="00004898" w:rsidP="009A0D85">
      <w:pPr>
        <w:pBdr>
          <w:top w:val="single" w:sz="4" w:space="1" w:color="000000"/>
          <w:left w:val="single" w:sz="4" w:space="4" w:color="000000"/>
          <w:bottom w:val="single" w:sz="4" w:space="1" w:color="000000"/>
          <w:right w:val="single" w:sz="4" w:space="4" w:color="000000"/>
        </w:pBdr>
        <w:ind w:left="142"/>
        <w:rPr>
          <w:rFonts w:asciiTheme="minorHAnsi" w:hAnsiTheme="minorHAnsi"/>
          <w:color w:val="000000"/>
          <w:sz w:val="24"/>
          <w:szCs w:val="24"/>
        </w:rPr>
      </w:pPr>
      <w:r w:rsidRPr="00D80606">
        <w:rPr>
          <w:rFonts w:asciiTheme="minorHAnsi" w:hAnsiTheme="minorHAnsi"/>
          <w:color w:val="000000"/>
          <w:sz w:val="24"/>
          <w:szCs w:val="24"/>
        </w:rPr>
        <w:t>Nie dotyczy.</w:t>
      </w:r>
    </w:p>
    <w:p w14:paraId="4D6AE88E" w14:textId="77777777" w:rsidR="00B5185B" w:rsidRPr="00680741" w:rsidRDefault="00B5185B" w:rsidP="009A0D85">
      <w:pPr>
        <w:spacing w:before="240" w:after="240" w:line="240" w:lineRule="auto"/>
        <w:ind w:left="709" w:hanging="709"/>
        <w:rPr>
          <w:rFonts w:asciiTheme="minorHAnsi" w:hAnsiTheme="minorHAnsi"/>
          <w:b/>
          <w:sz w:val="24"/>
          <w:szCs w:val="24"/>
        </w:rPr>
      </w:pPr>
    </w:p>
    <w:p w14:paraId="19687E7C" w14:textId="77777777" w:rsidR="009A0D85" w:rsidRPr="008727F2" w:rsidRDefault="009A0D85" w:rsidP="009A0D85">
      <w:pPr>
        <w:spacing w:before="240" w:after="240" w:line="240" w:lineRule="auto"/>
        <w:ind w:left="709" w:hanging="709"/>
        <w:rPr>
          <w:rFonts w:asciiTheme="minorHAnsi" w:hAnsiTheme="minorHAnsi"/>
          <w:b/>
          <w:sz w:val="24"/>
          <w:szCs w:val="24"/>
        </w:rPr>
      </w:pPr>
      <w:r>
        <w:rPr>
          <w:rFonts w:asciiTheme="minorHAnsi" w:hAnsiTheme="minorHAnsi"/>
          <w:b/>
          <w:sz w:val="24"/>
        </w:rPr>
        <w:t>2.2.1.2</w:t>
      </w:r>
      <w:r>
        <w:rPr>
          <w:rFonts w:asciiTheme="minorHAnsi" w:hAnsiTheme="minorHAnsi"/>
          <w:b/>
          <w:sz w:val="24"/>
        </w:rPr>
        <w:tab/>
        <w:t>Wskaźniki</w:t>
      </w:r>
    </w:p>
    <w:p w14:paraId="58C907EE" w14:textId="77777777" w:rsidR="009A0D85" w:rsidRPr="00D80606" w:rsidRDefault="009A0D85" w:rsidP="009A0D85">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ii, art. 17 ust. 9 lit. c punkt iii</w:t>
      </w:r>
    </w:p>
    <w:p w14:paraId="334207BC" w14:textId="77777777" w:rsidR="008559FE" w:rsidRPr="009A0D85" w:rsidRDefault="008559FE" w:rsidP="008559FE">
      <w:pPr>
        <w:spacing w:before="240" w:after="240" w:line="240" w:lineRule="auto"/>
        <w:ind w:left="0"/>
        <w:rPr>
          <w:rFonts w:asciiTheme="minorHAnsi" w:hAnsiTheme="minorHAnsi"/>
          <w:szCs w:val="24"/>
        </w:rPr>
      </w:pPr>
      <w:r>
        <w:rPr>
          <w:rFonts w:asciiTheme="minorHAnsi" w:hAnsiTheme="minorHAnsi"/>
        </w:rPr>
        <w:t>Tabela 2: Wskaźniki produktów</w:t>
      </w:r>
    </w:p>
    <w:tbl>
      <w:tblPr>
        <w:tblStyle w:val="18"/>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4"/>
        <w:gridCol w:w="1331"/>
        <w:gridCol w:w="1418"/>
        <w:gridCol w:w="2202"/>
        <w:gridCol w:w="1688"/>
        <w:gridCol w:w="1018"/>
        <w:gridCol w:w="1075"/>
      </w:tblGrid>
      <w:tr w:rsidR="008559FE" w:rsidRPr="008727F2" w14:paraId="23224790" w14:textId="77777777" w:rsidTr="00FA23B4">
        <w:trPr>
          <w:trHeight w:val="836"/>
        </w:trPr>
        <w:tc>
          <w:tcPr>
            <w:tcW w:w="398" w:type="pct"/>
          </w:tcPr>
          <w:p w14:paraId="072F7BB6"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Priorytet </w:t>
            </w:r>
          </w:p>
        </w:tc>
        <w:tc>
          <w:tcPr>
            <w:tcW w:w="467" w:type="pct"/>
          </w:tcPr>
          <w:p w14:paraId="43A9A260"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szczegółowy</w:t>
            </w:r>
          </w:p>
        </w:tc>
        <w:tc>
          <w:tcPr>
            <w:tcW w:w="534" w:type="pct"/>
          </w:tcPr>
          <w:p w14:paraId="5DC70BA0"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IDENTYFIKATOR</w:t>
            </w:r>
          </w:p>
          <w:p w14:paraId="3815CF4B"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[5]</w:t>
            </w:r>
          </w:p>
        </w:tc>
        <w:tc>
          <w:tcPr>
            <w:tcW w:w="1267" w:type="pct"/>
            <w:shd w:val="clear" w:color="auto" w:fill="auto"/>
          </w:tcPr>
          <w:p w14:paraId="37BE45BD"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Wskaźnik </w:t>
            </w:r>
          </w:p>
        </w:tc>
        <w:tc>
          <w:tcPr>
            <w:tcW w:w="1000" w:type="pct"/>
          </w:tcPr>
          <w:p w14:paraId="1986472B"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Jednostka miary</w:t>
            </w:r>
          </w:p>
          <w:p w14:paraId="4F64F87D"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[255]</w:t>
            </w:r>
          </w:p>
        </w:tc>
        <w:tc>
          <w:tcPr>
            <w:tcW w:w="652" w:type="pct"/>
            <w:shd w:val="clear" w:color="auto" w:fill="auto"/>
          </w:tcPr>
          <w:p w14:paraId="6F9DB244"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Kamień milowy (2024)</w:t>
            </w:r>
          </w:p>
          <w:p w14:paraId="0FCCD943"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[200]</w:t>
            </w:r>
          </w:p>
        </w:tc>
        <w:tc>
          <w:tcPr>
            <w:tcW w:w="682" w:type="pct"/>
            <w:shd w:val="clear" w:color="auto" w:fill="auto"/>
          </w:tcPr>
          <w:p w14:paraId="40B78AE0"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końcowy (2029)</w:t>
            </w:r>
          </w:p>
          <w:p w14:paraId="5C577B4E"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[200]</w:t>
            </w:r>
          </w:p>
        </w:tc>
      </w:tr>
      <w:tr w:rsidR="008559FE" w:rsidRPr="001B3725" w14:paraId="542CB192" w14:textId="77777777" w:rsidTr="00FA23B4">
        <w:trPr>
          <w:trHeight w:val="579"/>
        </w:trPr>
        <w:tc>
          <w:tcPr>
            <w:tcW w:w="398" w:type="pct"/>
          </w:tcPr>
          <w:p w14:paraId="75202C30" w14:textId="77777777" w:rsidR="008559FE" w:rsidRPr="001B3B78" w:rsidRDefault="00D71C22"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467" w:type="pct"/>
          </w:tcPr>
          <w:p w14:paraId="6E4C1536"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2.1</w:t>
            </w:r>
          </w:p>
        </w:tc>
        <w:tc>
          <w:tcPr>
            <w:tcW w:w="534" w:type="pct"/>
          </w:tcPr>
          <w:p w14:paraId="77D6A87B"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83 RCO</w:t>
            </w:r>
          </w:p>
        </w:tc>
        <w:tc>
          <w:tcPr>
            <w:tcW w:w="1267" w:type="pct"/>
            <w:shd w:val="clear" w:color="auto" w:fill="auto"/>
          </w:tcPr>
          <w:p w14:paraId="010A7E3C" w14:textId="77777777" w:rsidR="008559FE" w:rsidRPr="00196825"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Wspólnie opracowane strategie i plany działania</w:t>
            </w:r>
          </w:p>
        </w:tc>
        <w:tc>
          <w:tcPr>
            <w:tcW w:w="1000" w:type="pct"/>
          </w:tcPr>
          <w:p w14:paraId="0A99678B" w14:textId="77777777" w:rsidR="008559FE" w:rsidRPr="001B3B78"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Strategia/plan działania</w:t>
            </w:r>
          </w:p>
        </w:tc>
        <w:tc>
          <w:tcPr>
            <w:tcW w:w="652" w:type="pct"/>
            <w:shd w:val="clear" w:color="auto" w:fill="auto"/>
          </w:tcPr>
          <w:p w14:paraId="3A25E543"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5AD90F4C"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r>
      <w:tr w:rsidR="008559FE" w:rsidRPr="008727F2" w14:paraId="45733BB7" w14:textId="77777777" w:rsidTr="00FA23B4">
        <w:trPr>
          <w:trHeight w:val="579"/>
        </w:trPr>
        <w:tc>
          <w:tcPr>
            <w:tcW w:w="398" w:type="pct"/>
          </w:tcPr>
          <w:p w14:paraId="51A51B82" w14:textId="77777777" w:rsidR="008559FE" w:rsidRPr="001B3B78" w:rsidRDefault="00D71C22"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467" w:type="pct"/>
          </w:tcPr>
          <w:p w14:paraId="461D3287"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2.1</w:t>
            </w:r>
          </w:p>
        </w:tc>
        <w:tc>
          <w:tcPr>
            <w:tcW w:w="534" w:type="pct"/>
          </w:tcPr>
          <w:p w14:paraId="692838E3"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84 RCO</w:t>
            </w:r>
          </w:p>
        </w:tc>
        <w:tc>
          <w:tcPr>
            <w:tcW w:w="1267" w:type="pct"/>
            <w:shd w:val="clear" w:color="auto" w:fill="auto"/>
          </w:tcPr>
          <w:p w14:paraId="471B401F" w14:textId="77777777" w:rsidR="008559FE" w:rsidRPr="00196825"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Działania pilotażowe opracowane wspólnie i realizowane w ramach projektów</w:t>
            </w:r>
          </w:p>
        </w:tc>
        <w:tc>
          <w:tcPr>
            <w:tcW w:w="1000" w:type="pct"/>
          </w:tcPr>
          <w:p w14:paraId="7B77AF10" w14:textId="77777777" w:rsidR="008559FE" w:rsidRPr="001B3B78"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Działanie pilotażowe</w:t>
            </w:r>
          </w:p>
        </w:tc>
        <w:tc>
          <w:tcPr>
            <w:tcW w:w="652" w:type="pct"/>
            <w:shd w:val="clear" w:color="auto" w:fill="auto"/>
          </w:tcPr>
          <w:p w14:paraId="3983F5CB"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167945B0"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r>
      <w:tr w:rsidR="008559FE" w:rsidRPr="008727F2" w14:paraId="59E34649" w14:textId="77777777" w:rsidTr="00FA23B4">
        <w:trPr>
          <w:trHeight w:val="579"/>
        </w:trPr>
        <w:tc>
          <w:tcPr>
            <w:tcW w:w="398" w:type="pct"/>
          </w:tcPr>
          <w:p w14:paraId="70C6BFF5" w14:textId="77777777" w:rsidR="008559FE" w:rsidRPr="001B3B78" w:rsidRDefault="00D71C22"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467" w:type="pct"/>
          </w:tcPr>
          <w:p w14:paraId="13BF0A1A"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2.1</w:t>
            </w:r>
          </w:p>
        </w:tc>
        <w:tc>
          <w:tcPr>
            <w:tcW w:w="534" w:type="pct"/>
          </w:tcPr>
          <w:p w14:paraId="22F330BC" w14:textId="77777777" w:rsidR="008559FE"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87 RCO</w:t>
            </w:r>
          </w:p>
        </w:tc>
        <w:tc>
          <w:tcPr>
            <w:tcW w:w="1267" w:type="pct"/>
            <w:shd w:val="clear" w:color="auto" w:fill="auto"/>
          </w:tcPr>
          <w:p w14:paraId="66A152FE" w14:textId="77777777" w:rsidR="008559FE" w:rsidRPr="001B3B78"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Organizacje współpracujące ponad granicami</w:t>
            </w:r>
          </w:p>
        </w:tc>
        <w:tc>
          <w:tcPr>
            <w:tcW w:w="1000" w:type="pct"/>
          </w:tcPr>
          <w:p w14:paraId="55F9CB0A" w14:textId="77777777" w:rsidR="008559FE" w:rsidRPr="001B3B78"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Organizacja</w:t>
            </w:r>
          </w:p>
        </w:tc>
        <w:tc>
          <w:tcPr>
            <w:tcW w:w="652" w:type="pct"/>
            <w:shd w:val="clear" w:color="auto" w:fill="auto"/>
          </w:tcPr>
          <w:p w14:paraId="6AEF26A2"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73A9F32F"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r>
      <w:tr w:rsidR="008559FE" w:rsidRPr="008727F2" w14:paraId="072F680E" w14:textId="77777777" w:rsidTr="00FA23B4">
        <w:trPr>
          <w:trHeight w:val="579"/>
        </w:trPr>
        <w:tc>
          <w:tcPr>
            <w:tcW w:w="398" w:type="pct"/>
          </w:tcPr>
          <w:p w14:paraId="7F0C543A" w14:textId="77777777" w:rsidR="008559FE" w:rsidRPr="001B3B78" w:rsidRDefault="00D71C22"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467" w:type="pct"/>
          </w:tcPr>
          <w:p w14:paraId="170842FD"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 xml:space="preserve">Cel szczegółowy </w:t>
            </w:r>
            <w:r>
              <w:rPr>
                <w:rFonts w:asciiTheme="minorHAnsi" w:hAnsiTheme="minorHAnsi"/>
                <w:color w:val="000000"/>
              </w:rPr>
              <w:lastRenderedPageBreak/>
              <w:t>2.1</w:t>
            </w:r>
          </w:p>
        </w:tc>
        <w:tc>
          <w:tcPr>
            <w:tcW w:w="534" w:type="pct"/>
          </w:tcPr>
          <w:p w14:paraId="32FE9896" w14:textId="77777777" w:rsidR="008559FE"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lastRenderedPageBreak/>
              <w:t>116 RCO</w:t>
            </w:r>
          </w:p>
        </w:tc>
        <w:tc>
          <w:tcPr>
            <w:tcW w:w="1267" w:type="pct"/>
            <w:shd w:val="clear" w:color="auto" w:fill="auto"/>
          </w:tcPr>
          <w:p w14:paraId="6C308091" w14:textId="77777777" w:rsidR="008559FE" w:rsidRPr="001B3B78"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Wspólnie opracowane rozwiązania</w:t>
            </w:r>
          </w:p>
        </w:tc>
        <w:tc>
          <w:tcPr>
            <w:tcW w:w="1000" w:type="pct"/>
          </w:tcPr>
          <w:p w14:paraId="1BC11EDC" w14:textId="77777777" w:rsidR="008559FE" w:rsidRPr="001B3B78"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Rozwiązanie</w:t>
            </w:r>
          </w:p>
        </w:tc>
        <w:tc>
          <w:tcPr>
            <w:tcW w:w="652" w:type="pct"/>
            <w:shd w:val="clear" w:color="auto" w:fill="auto"/>
          </w:tcPr>
          <w:p w14:paraId="5AC98BDA"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0107114D" w14:textId="77777777" w:rsidR="008559FE" w:rsidRPr="001B3B78" w:rsidRDefault="008559FE" w:rsidP="008559FE">
            <w:pPr>
              <w:pBdr>
                <w:top w:val="nil"/>
                <w:left w:val="nil"/>
                <w:bottom w:val="nil"/>
                <w:right w:val="nil"/>
                <w:between w:val="nil"/>
              </w:pBdr>
              <w:spacing w:after="120" w:line="240" w:lineRule="auto"/>
              <w:ind w:left="0" w:right="0"/>
              <w:rPr>
                <w:rFonts w:asciiTheme="minorHAnsi" w:hAnsiTheme="minorHAnsi"/>
                <w:color w:val="000000"/>
              </w:rPr>
            </w:pPr>
          </w:p>
        </w:tc>
      </w:tr>
    </w:tbl>
    <w:p w14:paraId="40B79397" w14:textId="77777777" w:rsidR="008559FE" w:rsidRPr="009A0D85" w:rsidRDefault="008559FE" w:rsidP="008559FE">
      <w:pPr>
        <w:spacing w:before="240" w:after="240" w:line="240" w:lineRule="auto"/>
        <w:ind w:left="0"/>
        <w:rPr>
          <w:rFonts w:asciiTheme="minorHAnsi" w:hAnsiTheme="minorHAnsi"/>
          <w:szCs w:val="24"/>
        </w:rPr>
      </w:pPr>
      <w:r>
        <w:rPr>
          <w:rFonts w:asciiTheme="minorHAnsi" w:hAnsiTheme="minorHAnsi"/>
        </w:rPr>
        <w:lastRenderedPageBreak/>
        <w:t>Tabela 3: Wskaźniki wyników</w:t>
      </w:r>
    </w:p>
    <w:tbl>
      <w:tblPr>
        <w:tblStyle w:val="1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53"/>
        <w:gridCol w:w="1083"/>
        <w:gridCol w:w="1151"/>
        <w:gridCol w:w="1313"/>
        <w:gridCol w:w="1086"/>
        <w:gridCol w:w="777"/>
        <w:gridCol w:w="892"/>
        <w:gridCol w:w="738"/>
        <w:gridCol w:w="1266"/>
        <w:gridCol w:w="577"/>
      </w:tblGrid>
      <w:tr w:rsidR="008559FE" w:rsidRPr="008727F2" w14:paraId="48D85FB8" w14:textId="77777777" w:rsidTr="00FA23B4">
        <w:trPr>
          <w:trHeight w:val="947"/>
        </w:trPr>
        <w:tc>
          <w:tcPr>
            <w:tcW w:w="393" w:type="pct"/>
          </w:tcPr>
          <w:p w14:paraId="5DA5D72A"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Priorytet </w:t>
            </w:r>
          </w:p>
        </w:tc>
        <w:tc>
          <w:tcPr>
            <w:tcW w:w="423" w:type="pct"/>
          </w:tcPr>
          <w:p w14:paraId="3E3C5D8B"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szczegółowy</w:t>
            </w:r>
          </w:p>
        </w:tc>
        <w:tc>
          <w:tcPr>
            <w:tcW w:w="452" w:type="pct"/>
          </w:tcPr>
          <w:p w14:paraId="2CDD7DEE"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IDENTYFIKATOR</w:t>
            </w:r>
          </w:p>
        </w:tc>
        <w:tc>
          <w:tcPr>
            <w:tcW w:w="805" w:type="pct"/>
            <w:shd w:val="clear" w:color="auto" w:fill="auto"/>
          </w:tcPr>
          <w:p w14:paraId="4834E488"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Wskaźnik </w:t>
            </w:r>
          </w:p>
        </w:tc>
        <w:tc>
          <w:tcPr>
            <w:tcW w:w="629" w:type="pct"/>
          </w:tcPr>
          <w:p w14:paraId="303023C7"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Jednostka miary</w:t>
            </w:r>
          </w:p>
        </w:tc>
        <w:tc>
          <w:tcPr>
            <w:tcW w:w="380" w:type="pct"/>
          </w:tcPr>
          <w:p w14:paraId="41D95220"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Podstawa</w:t>
            </w:r>
          </w:p>
        </w:tc>
        <w:tc>
          <w:tcPr>
            <w:tcW w:w="503" w:type="pct"/>
          </w:tcPr>
          <w:p w14:paraId="49305E61"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Rok odniesienia</w:t>
            </w:r>
          </w:p>
        </w:tc>
        <w:tc>
          <w:tcPr>
            <w:tcW w:w="377" w:type="pct"/>
            <w:shd w:val="clear" w:color="auto" w:fill="auto"/>
          </w:tcPr>
          <w:p w14:paraId="5FA19763" w14:textId="77777777" w:rsidR="008559FE" w:rsidRPr="00570B26" w:rsidRDefault="008559FE" w:rsidP="008559FE">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końcowy (2029)</w:t>
            </w:r>
          </w:p>
        </w:tc>
        <w:tc>
          <w:tcPr>
            <w:tcW w:w="562" w:type="pct"/>
            <w:shd w:val="clear" w:color="auto" w:fill="auto"/>
          </w:tcPr>
          <w:p w14:paraId="55399D3C" w14:textId="77777777" w:rsidR="008559FE" w:rsidRPr="008503E7" w:rsidRDefault="008559FE" w:rsidP="008559FE">
            <w:pPr>
              <w:pBdr>
                <w:top w:val="nil"/>
                <w:left w:val="nil"/>
                <w:bottom w:val="nil"/>
                <w:right w:val="nil"/>
                <w:between w:val="nil"/>
              </w:pBdr>
              <w:spacing w:after="120" w:line="240" w:lineRule="auto"/>
              <w:ind w:left="0" w:right="0"/>
              <w:jc w:val="center"/>
              <w:rPr>
                <w:rFonts w:asciiTheme="minorHAnsi" w:hAnsiTheme="minorHAnsi"/>
                <w:b/>
                <w:color w:val="000000"/>
                <w:sz w:val="16"/>
                <w:szCs w:val="16"/>
              </w:rPr>
            </w:pPr>
            <w:r>
              <w:rPr>
                <w:rFonts w:asciiTheme="minorHAnsi" w:hAnsiTheme="minorHAnsi"/>
                <w:b/>
                <w:color w:val="000000"/>
                <w:sz w:val="16"/>
              </w:rPr>
              <w:t>Źródło danych</w:t>
            </w:r>
          </w:p>
        </w:tc>
        <w:tc>
          <w:tcPr>
            <w:tcW w:w="476" w:type="pct"/>
          </w:tcPr>
          <w:p w14:paraId="1E51F2B2" w14:textId="77777777" w:rsidR="008559FE" w:rsidRPr="00570B26" w:rsidRDefault="008559FE" w:rsidP="008559FE">
            <w:pPr>
              <w:pBdr>
                <w:top w:val="nil"/>
                <w:left w:val="nil"/>
                <w:bottom w:val="nil"/>
                <w:right w:val="nil"/>
                <w:between w:val="nil"/>
              </w:pBdr>
              <w:spacing w:after="120" w:line="480" w:lineRule="auto"/>
              <w:ind w:left="0" w:right="0"/>
              <w:rPr>
                <w:rFonts w:asciiTheme="minorHAnsi" w:hAnsiTheme="minorHAnsi"/>
                <w:b/>
                <w:color w:val="000000"/>
                <w:sz w:val="16"/>
                <w:szCs w:val="16"/>
              </w:rPr>
            </w:pPr>
            <w:r>
              <w:rPr>
                <w:rFonts w:asciiTheme="minorHAnsi" w:hAnsiTheme="minorHAnsi"/>
                <w:b/>
                <w:color w:val="000000"/>
                <w:sz w:val="16"/>
              </w:rPr>
              <w:t>Uwagi</w:t>
            </w:r>
          </w:p>
        </w:tc>
      </w:tr>
      <w:tr w:rsidR="008559FE" w:rsidRPr="004854D7" w14:paraId="6DE771ED" w14:textId="77777777" w:rsidTr="00FA23B4">
        <w:trPr>
          <w:trHeight w:val="629"/>
        </w:trPr>
        <w:tc>
          <w:tcPr>
            <w:tcW w:w="393" w:type="pct"/>
          </w:tcPr>
          <w:p w14:paraId="2FDCF381" w14:textId="77777777" w:rsidR="008559FE" w:rsidRPr="004854D7" w:rsidRDefault="00D71C22"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423" w:type="pct"/>
          </w:tcPr>
          <w:p w14:paraId="4A7677A6" w14:textId="77777777" w:rsidR="008559FE" w:rsidRPr="004854D7"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2.1</w:t>
            </w:r>
          </w:p>
        </w:tc>
        <w:tc>
          <w:tcPr>
            <w:tcW w:w="452" w:type="pct"/>
          </w:tcPr>
          <w:p w14:paraId="3DD908B3" w14:textId="77777777" w:rsidR="008559FE" w:rsidRPr="004854D7"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79 RCR</w:t>
            </w:r>
          </w:p>
        </w:tc>
        <w:tc>
          <w:tcPr>
            <w:tcW w:w="805" w:type="pct"/>
            <w:shd w:val="clear" w:color="auto" w:fill="auto"/>
          </w:tcPr>
          <w:p w14:paraId="4A2F9C5C" w14:textId="77777777" w:rsidR="008559FE" w:rsidRPr="00196825"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Wspólne strategie i plany działania podejmowane przez organizacje</w:t>
            </w:r>
          </w:p>
        </w:tc>
        <w:tc>
          <w:tcPr>
            <w:tcW w:w="629" w:type="pct"/>
          </w:tcPr>
          <w:p w14:paraId="1F8E4D64" w14:textId="77777777" w:rsidR="008559FE" w:rsidRPr="004854D7"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Wspólna strategia / plan działania</w:t>
            </w:r>
          </w:p>
        </w:tc>
        <w:tc>
          <w:tcPr>
            <w:tcW w:w="380" w:type="pct"/>
          </w:tcPr>
          <w:p w14:paraId="313BB23F" w14:textId="77777777" w:rsidR="008559FE" w:rsidRPr="004854D7"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503" w:type="pct"/>
          </w:tcPr>
          <w:p w14:paraId="5A31E836" w14:textId="77777777" w:rsidR="008559FE" w:rsidRPr="004854D7"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377" w:type="pct"/>
            <w:shd w:val="clear" w:color="auto" w:fill="auto"/>
          </w:tcPr>
          <w:p w14:paraId="47A64AD7" w14:textId="77777777" w:rsidR="008559FE" w:rsidRPr="004854D7"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p>
        </w:tc>
        <w:tc>
          <w:tcPr>
            <w:tcW w:w="562" w:type="pct"/>
            <w:shd w:val="clear" w:color="auto" w:fill="auto"/>
          </w:tcPr>
          <w:p w14:paraId="5191F12C" w14:textId="77777777" w:rsidR="008559FE" w:rsidRPr="004854D7"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System monitorowania programu</w:t>
            </w:r>
          </w:p>
        </w:tc>
        <w:tc>
          <w:tcPr>
            <w:tcW w:w="476" w:type="pct"/>
          </w:tcPr>
          <w:p w14:paraId="66DE015E" w14:textId="77777777" w:rsidR="008559FE" w:rsidRPr="004854D7" w:rsidRDefault="008559FE" w:rsidP="008559FE">
            <w:pPr>
              <w:ind w:left="0" w:right="0"/>
              <w:rPr>
                <w:rFonts w:asciiTheme="minorHAnsi" w:hAnsiTheme="minorHAnsi"/>
                <w:color w:val="000000"/>
              </w:rPr>
            </w:pPr>
          </w:p>
        </w:tc>
      </w:tr>
      <w:tr w:rsidR="008559FE" w:rsidRPr="00D465BC" w14:paraId="7233CF61" w14:textId="77777777" w:rsidTr="00FA23B4">
        <w:trPr>
          <w:trHeight w:val="629"/>
        </w:trPr>
        <w:tc>
          <w:tcPr>
            <w:tcW w:w="393" w:type="pct"/>
          </w:tcPr>
          <w:p w14:paraId="630A77D3" w14:textId="77777777" w:rsidR="008559FE" w:rsidRPr="00D465BC" w:rsidRDefault="00D71C22"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423" w:type="pct"/>
          </w:tcPr>
          <w:p w14:paraId="23A3B4B1"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2.1</w:t>
            </w:r>
          </w:p>
        </w:tc>
        <w:tc>
          <w:tcPr>
            <w:tcW w:w="452" w:type="pct"/>
          </w:tcPr>
          <w:p w14:paraId="5A57B860"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84 RCR</w:t>
            </w:r>
          </w:p>
        </w:tc>
        <w:tc>
          <w:tcPr>
            <w:tcW w:w="805" w:type="pct"/>
            <w:shd w:val="clear" w:color="auto" w:fill="auto"/>
          </w:tcPr>
          <w:p w14:paraId="72491F0D" w14:textId="77777777" w:rsidR="008559FE" w:rsidRPr="00196825"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Organizacje współpracujące ponad granicami po zakończeniu projektu</w:t>
            </w:r>
          </w:p>
        </w:tc>
        <w:tc>
          <w:tcPr>
            <w:tcW w:w="629" w:type="pct"/>
          </w:tcPr>
          <w:p w14:paraId="7A39304D"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Organizacja</w:t>
            </w:r>
          </w:p>
        </w:tc>
        <w:tc>
          <w:tcPr>
            <w:tcW w:w="380" w:type="pct"/>
          </w:tcPr>
          <w:p w14:paraId="7EFF0077"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503" w:type="pct"/>
          </w:tcPr>
          <w:p w14:paraId="17C1D73C"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377" w:type="pct"/>
            <w:shd w:val="clear" w:color="auto" w:fill="auto"/>
          </w:tcPr>
          <w:p w14:paraId="026AD1F9"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p>
        </w:tc>
        <w:tc>
          <w:tcPr>
            <w:tcW w:w="562" w:type="pct"/>
            <w:shd w:val="clear" w:color="auto" w:fill="auto"/>
          </w:tcPr>
          <w:p w14:paraId="5705E146"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System monitorowania programu</w:t>
            </w:r>
          </w:p>
        </w:tc>
        <w:tc>
          <w:tcPr>
            <w:tcW w:w="476" w:type="pct"/>
          </w:tcPr>
          <w:p w14:paraId="17A00D88" w14:textId="77777777" w:rsidR="008559FE" w:rsidRPr="00D465BC" w:rsidRDefault="008559FE" w:rsidP="008559FE">
            <w:pPr>
              <w:ind w:left="0" w:right="0"/>
              <w:rPr>
                <w:rFonts w:asciiTheme="minorHAnsi" w:hAnsiTheme="minorHAnsi"/>
                <w:color w:val="000000"/>
              </w:rPr>
            </w:pPr>
          </w:p>
        </w:tc>
      </w:tr>
      <w:tr w:rsidR="008559FE" w:rsidRPr="00D465BC" w14:paraId="588C2E4F" w14:textId="77777777" w:rsidTr="00FA23B4">
        <w:trPr>
          <w:trHeight w:val="629"/>
        </w:trPr>
        <w:tc>
          <w:tcPr>
            <w:tcW w:w="393" w:type="pct"/>
          </w:tcPr>
          <w:p w14:paraId="48A7A630" w14:textId="77777777" w:rsidR="008559FE" w:rsidRPr="00D465BC" w:rsidRDefault="00D71C22"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423" w:type="pct"/>
          </w:tcPr>
          <w:p w14:paraId="629F5348"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2.1</w:t>
            </w:r>
          </w:p>
        </w:tc>
        <w:tc>
          <w:tcPr>
            <w:tcW w:w="452" w:type="pct"/>
          </w:tcPr>
          <w:p w14:paraId="154AD4D0"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104 RCR</w:t>
            </w:r>
          </w:p>
        </w:tc>
        <w:tc>
          <w:tcPr>
            <w:tcW w:w="805" w:type="pct"/>
            <w:shd w:val="clear" w:color="auto" w:fill="auto"/>
          </w:tcPr>
          <w:p w14:paraId="72D2F95D" w14:textId="77777777" w:rsidR="008559FE" w:rsidRPr="00196825" w:rsidRDefault="008559FE" w:rsidP="008559FE">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Rozwiązania przyjmowane lub doskonalone przez organizacje</w:t>
            </w:r>
          </w:p>
        </w:tc>
        <w:tc>
          <w:tcPr>
            <w:tcW w:w="629" w:type="pct"/>
          </w:tcPr>
          <w:p w14:paraId="22B561C5"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Rozwiązanie</w:t>
            </w:r>
          </w:p>
        </w:tc>
        <w:tc>
          <w:tcPr>
            <w:tcW w:w="380" w:type="pct"/>
          </w:tcPr>
          <w:p w14:paraId="23747525"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503" w:type="pct"/>
          </w:tcPr>
          <w:p w14:paraId="45BED738"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377" w:type="pct"/>
            <w:shd w:val="clear" w:color="auto" w:fill="auto"/>
          </w:tcPr>
          <w:p w14:paraId="455363D3" w14:textId="77777777" w:rsidR="008559FE" w:rsidRPr="00D465BC" w:rsidRDefault="008559FE" w:rsidP="008559FE">
            <w:pPr>
              <w:pBdr>
                <w:top w:val="nil"/>
                <w:left w:val="nil"/>
                <w:bottom w:val="nil"/>
                <w:right w:val="nil"/>
                <w:between w:val="nil"/>
              </w:pBdr>
              <w:spacing w:after="120" w:line="240" w:lineRule="auto"/>
              <w:ind w:left="0" w:right="0"/>
              <w:jc w:val="center"/>
              <w:rPr>
                <w:rFonts w:asciiTheme="minorHAnsi" w:hAnsiTheme="minorHAnsi"/>
                <w:color w:val="000000"/>
              </w:rPr>
            </w:pPr>
          </w:p>
        </w:tc>
        <w:tc>
          <w:tcPr>
            <w:tcW w:w="562" w:type="pct"/>
            <w:shd w:val="clear" w:color="auto" w:fill="auto"/>
          </w:tcPr>
          <w:p w14:paraId="2B295F62" w14:textId="77777777" w:rsidR="008559FE" w:rsidRPr="00D465BC" w:rsidRDefault="008559FE" w:rsidP="008559FE">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System monitorowania programu</w:t>
            </w:r>
          </w:p>
        </w:tc>
        <w:tc>
          <w:tcPr>
            <w:tcW w:w="476" w:type="pct"/>
          </w:tcPr>
          <w:p w14:paraId="6D3D023F" w14:textId="77777777" w:rsidR="008559FE" w:rsidRPr="00D465BC" w:rsidRDefault="008559FE" w:rsidP="008559FE">
            <w:pPr>
              <w:ind w:left="0" w:right="0"/>
              <w:rPr>
                <w:rFonts w:asciiTheme="minorHAnsi" w:hAnsiTheme="minorHAnsi"/>
                <w:color w:val="000000"/>
              </w:rPr>
            </w:pPr>
          </w:p>
        </w:tc>
      </w:tr>
    </w:tbl>
    <w:p w14:paraId="14D97D9E" w14:textId="77777777" w:rsidR="00B5185B" w:rsidRDefault="00B5185B" w:rsidP="009A0D85">
      <w:pPr>
        <w:spacing w:before="240" w:after="240" w:line="240" w:lineRule="auto"/>
        <w:ind w:left="709" w:hanging="709"/>
        <w:rPr>
          <w:rFonts w:asciiTheme="minorHAnsi" w:hAnsiTheme="minorHAnsi"/>
          <w:b/>
          <w:sz w:val="24"/>
          <w:szCs w:val="24"/>
          <w:lang w:val="en-GB"/>
        </w:rPr>
      </w:pPr>
    </w:p>
    <w:p w14:paraId="76B4E5F8" w14:textId="77777777" w:rsidR="009A0D85" w:rsidRPr="00570B26" w:rsidRDefault="009A0D85" w:rsidP="009A0D85">
      <w:pPr>
        <w:spacing w:before="240" w:after="240" w:line="240" w:lineRule="auto"/>
        <w:ind w:left="709" w:hanging="709"/>
        <w:rPr>
          <w:rFonts w:asciiTheme="minorHAnsi" w:hAnsiTheme="minorHAnsi"/>
          <w:b/>
          <w:sz w:val="24"/>
          <w:szCs w:val="24"/>
        </w:rPr>
      </w:pPr>
      <w:r>
        <w:rPr>
          <w:rFonts w:asciiTheme="minorHAnsi" w:hAnsiTheme="minorHAnsi"/>
          <w:b/>
          <w:sz w:val="24"/>
        </w:rPr>
        <w:t>2.2.1.3</w:t>
      </w:r>
      <w:r>
        <w:rPr>
          <w:rFonts w:asciiTheme="minorHAnsi" w:hAnsiTheme="minorHAnsi"/>
          <w:b/>
          <w:sz w:val="24"/>
        </w:rPr>
        <w:tab/>
        <w:t>Główne grupy docelowe</w:t>
      </w:r>
    </w:p>
    <w:p w14:paraId="14E7578D" w14:textId="77777777" w:rsidR="009A0D85" w:rsidRPr="00D80606" w:rsidRDefault="009A0D85" w:rsidP="009A0D85">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iii, art. 17 ust. 9 lit. c punkt iv</w:t>
      </w:r>
    </w:p>
    <w:p w14:paraId="0A168AD3" w14:textId="77777777" w:rsidR="00B5185B" w:rsidRPr="00D80606" w:rsidRDefault="00B5185B" w:rsidP="009A0D85">
      <w:pPr>
        <w:spacing w:before="240" w:after="240" w:line="240" w:lineRule="auto"/>
        <w:ind w:left="0"/>
        <w:rPr>
          <w:rFonts w:asciiTheme="minorHAnsi" w:hAnsiTheme="minorHAnsi"/>
          <w:color w:val="000000"/>
          <w:szCs w:val="24"/>
        </w:rPr>
      </w:pPr>
      <w:r w:rsidRPr="00D80606">
        <w:rPr>
          <w:rFonts w:asciiTheme="minorHAnsi" w:hAnsiTheme="minorHAnsi"/>
          <w:color w:val="000000"/>
        </w:rPr>
        <w:t>Pole tekstowe [7000]</w:t>
      </w:r>
    </w:p>
    <w:p w14:paraId="1DD888E3" w14:textId="3ACC3A83" w:rsidR="00B5185B" w:rsidRPr="00D80606" w:rsidRDefault="00B5185B" w:rsidP="00D80606">
      <w:pPr>
        <w:pBdr>
          <w:top w:val="single" w:sz="4" w:space="1" w:color="000000"/>
          <w:left w:val="single" w:sz="4" w:space="4" w:color="000000"/>
          <w:bottom w:val="single" w:sz="4" w:space="1" w:color="000000"/>
          <w:right w:val="single" w:sz="4" w:space="4" w:color="000000"/>
        </w:pBdr>
        <w:ind w:left="142"/>
        <w:jc w:val="left"/>
        <w:rPr>
          <w:rFonts w:asciiTheme="minorHAnsi" w:hAnsiTheme="minorHAnsi"/>
          <w:sz w:val="24"/>
          <w:szCs w:val="24"/>
        </w:rPr>
      </w:pPr>
      <w:r w:rsidRPr="00D80606">
        <w:rPr>
          <w:rFonts w:asciiTheme="minorHAnsi" w:hAnsiTheme="minorHAnsi"/>
          <w:sz w:val="24"/>
          <w:szCs w:val="24"/>
        </w:rPr>
        <w:t>Grupami docelowymi działań objętych wsparciem mogą być zarówno osoby prywatne, jak i organizacje, które są zaangażowane w ich realizację lub są ich beneficjentami. W konsekwencji będą one odczuwać impuls do podejmowania rozwiązań prowadzących do poprawy efektywności energetycznej, zwiększonego wykorzystania energii odnawialnej i bardziej neutralnej klimatycznie Europy Środkowej. Grupy docelowe obejmują zarówno podmioty publiczne, jak i prywatne, takie jak decydenci i planiści, agencje energetyczne, operatorzy i dystrybutorzy, dostawcy infrastruktury oraz inne lokalne i regionalne podmioty energetyczne, a także różne sektory gospodarki, w tym MŚP. W skład grup docelowych wchodzą również wszystkie grupy ludności, które odniosą korzyści z poprawy regionalnej i lokalnej wydajności energetycznej.</w:t>
      </w:r>
    </w:p>
    <w:p w14:paraId="2E53AB80" w14:textId="77777777" w:rsidR="00B5185B" w:rsidRPr="00680741" w:rsidRDefault="00B5185B" w:rsidP="009A0D85">
      <w:pPr>
        <w:spacing w:before="240" w:after="240" w:line="240" w:lineRule="auto"/>
        <w:ind w:left="709" w:hanging="709"/>
        <w:rPr>
          <w:rFonts w:asciiTheme="minorHAnsi" w:hAnsiTheme="minorHAnsi"/>
          <w:b/>
          <w:sz w:val="24"/>
          <w:szCs w:val="24"/>
        </w:rPr>
      </w:pPr>
    </w:p>
    <w:p w14:paraId="5AE71069" w14:textId="77777777" w:rsidR="009A0D85" w:rsidRPr="008727F2" w:rsidRDefault="009A0D85" w:rsidP="009A0D85">
      <w:pPr>
        <w:spacing w:before="240" w:after="240" w:line="240" w:lineRule="auto"/>
        <w:ind w:left="709" w:hanging="709"/>
        <w:rPr>
          <w:rFonts w:asciiTheme="minorHAnsi" w:hAnsiTheme="minorHAnsi"/>
          <w:b/>
          <w:sz w:val="24"/>
          <w:szCs w:val="24"/>
        </w:rPr>
      </w:pPr>
      <w:r>
        <w:rPr>
          <w:rFonts w:asciiTheme="minorHAnsi" w:hAnsiTheme="minorHAnsi"/>
          <w:b/>
          <w:sz w:val="24"/>
        </w:rPr>
        <w:t>2.2.1.4</w:t>
      </w:r>
      <w:r>
        <w:rPr>
          <w:rFonts w:asciiTheme="minorHAnsi" w:hAnsiTheme="minorHAnsi"/>
          <w:b/>
          <w:sz w:val="24"/>
        </w:rPr>
        <w:tab/>
        <w:t>Określenie szczególnych terytoriów docelowych, w tym planowego wykorzystania ZIT, RKSL i pozostałych narzędzi terytorialnych</w:t>
      </w:r>
    </w:p>
    <w:p w14:paraId="6D6D6DD9" w14:textId="77777777" w:rsidR="009A0D85" w:rsidRPr="00D80606" w:rsidRDefault="009A0D85" w:rsidP="009A0D85">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iv</w:t>
      </w:r>
    </w:p>
    <w:p w14:paraId="1A1C18A4" w14:textId="77777777" w:rsidR="00B5185B" w:rsidRPr="00D80606" w:rsidRDefault="00B5185B" w:rsidP="009A0D85">
      <w:pPr>
        <w:spacing w:before="240" w:after="240" w:line="240" w:lineRule="auto"/>
        <w:ind w:left="0"/>
        <w:rPr>
          <w:rFonts w:asciiTheme="minorHAnsi" w:hAnsiTheme="minorHAnsi"/>
          <w:color w:val="000000"/>
          <w:szCs w:val="24"/>
        </w:rPr>
      </w:pPr>
      <w:r w:rsidRPr="00D80606">
        <w:rPr>
          <w:rFonts w:asciiTheme="minorHAnsi" w:hAnsiTheme="minorHAnsi"/>
          <w:color w:val="000000"/>
        </w:rPr>
        <w:t>Pole tekstowe [7000]</w:t>
      </w:r>
    </w:p>
    <w:p w14:paraId="42EA1A54" w14:textId="2C901B59" w:rsidR="00196825" w:rsidRPr="00D80606" w:rsidRDefault="00B5185B" w:rsidP="00D80606">
      <w:pPr>
        <w:pBdr>
          <w:top w:val="single" w:sz="4" w:space="1" w:color="000000"/>
          <w:left w:val="single" w:sz="4" w:space="4" w:color="000000"/>
          <w:bottom w:val="single" w:sz="4" w:space="1" w:color="000000"/>
          <w:right w:val="single" w:sz="4" w:space="4" w:color="000000"/>
        </w:pBdr>
        <w:ind w:left="142"/>
        <w:jc w:val="left"/>
        <w:rPr>
          <w:rFonts w:asciiTheme="minorHAnsi" w:hAnsiTheme="minorHAnsi"/>
          <w:sz w:val="24"/>
          <w:szCs w:val="24"/>
        </w:rPr>
      </w:pPr>
      <w:r w:rsidRPr="00D80606">
        <w:rPr>
          <w:rFonts w:asciiTheme="minorHAnsi" w:hAnsiTheme="minorHAnsi"/>
          <w:sz w:val="24"/>
          <w:szCs w:val="24"/>
        </w:rPr>
        <w:t xml:space="preserve">Działania mogą być realizowane na całym obszarze objętym programem i odnosić się do dowolnego rodzaju terytorium, tj. zarówno do obszarów wiejskich jak i miejskich. Działania mogą dotyczyć obszarów, które osiągają gorsze wyniki w zakresie efektywności energetycznej i wykorzystania energii odnawialnej lub które mają braki w zakresie działań na rzecz osiągnięcia neutralności klimatycznej, ale również dla regionów lepiej pod tym względem rozwiniętych. Umożliwi to wymianę i wzajemne uczenie się od siebie. Współpraca pozwoli również tym lepiej rozwiniętym regionom na dalszą poprawę ich wydajności energetycznej. </w:t>
      </w:r>
    </w:p>
    <w:p w14:paraId="2A00DEAF" w14:textId="7BAACE94" w:rsidR="009A0D85" w:rsidRPr="00D80606" w:rsidRDefault="00196825" w:rsidP="00D80606">
      <w:pPr>
        <w:pBdr>
          <w:top w:val="single" w:sz="4" w:space="1" w:color="000000"/>
          <w:left w:val="single" w:sz="4" w:space="4" w:color="000000"/>
          <w:bottom w:val="single" w:sz="4" w:space="1" w:color="000000"/>
          <w:right w:val="single" w:sz="4" w:space="4" w:color="000000"/>
        </w:pBdr>
        <w:ind w:left="142"/>
        <w:jc w:val="left"/>
        <w:rPr>
          <w:rFonts w:asciiTheme="minorHAnsi" w:hAnsiTheme="minorHAnsi"/>
          <w:sz w:val="24"/>
          <w:szCs w:val="24"/>
        </w:rPr>
      </w:pPr>
      <w:r w:rsidRPr="00D80606">
        <w:rPr>
          <w:rFonts w:asciiTheme="minorHAnsi" w:hAnsiTheme="minorHAnsi"/>
          <w:sz w:val="24"/>
          <w:szCs w:val="24"/>
        </w:rPr>
        <w:t>Wszelkie możliwe działania muszą uwzględniać specyficzne cechy terytorialne obszarów docelowych i być dostosowane do odpowiednich strategii terytorialnych na odpowiednim poziomie zarządzania (lokalnym, regionalnym, krajowym).</w:t>
      </w:r>
    </w:p>
    <w:p w14:paraId="715AC7FE" w14:textId="1A2613FB" w:rsidR="009451BD" w:rsidRPr="00D80606" w:rsidRDefault="009451BD" w:rsidP="00D80606">
      <w:pPr>
        <w:pBdr>
          <w:top w:val="single" w:sz="4" w:space="1" w:color="000000"/>
          <w:left w:val="single" w:sz="4" w:space="4" w:color="000000"/>
          <w:bottom w:val="single" w:sz="4" w:space="1" w:color="000000"/>
          <w:right w:val="single" w:sz="4" w:space="4" w:color="000000"/>
        </w:pBdr>
        <w:ind w:left="142"/>
        <w:jc w:val="left"/>
        <w:rPr>
          <w:rFonts w:asciiTheme="minorHAnsi" w:hAnsiTheme="minorHAnsi"/>
          <w:sz w:val="24"/>
          <w:szCs w:val="24"/>
        </w:rPr>
      </w:pPr>
    </w:p>
    <w:p w14:paraId="7E6BB510" w14:textId="77777777" w:rsidR="004131E9" w:rsidRPr="00680741" w:rsidRDefault="004131E9" w:rsidP="009A0D85">
      <w:pPr>
        <w:spacing w:before="240" w:after="240" w:line="240" w:lineRule="auto"/>
        <w:ind w:left="709" w:hanging="709"/>
        <w:rPr>
          <w:rFonts w:asciiTheme="minorHAnsi" w:hAnsiTheme="minorHAnsi"/>
          <w:b/>
          <w:sz w:val="24"/>
          <w:szCs w:val="24"/>
        </w:rPr>
      </w:pPr>
    </w:p>
    <w:p w14:paraId="050E30AF" w14:textId="77777777" w:rsidR="009A0D85" w:rsidRPr="008727F2" w:rsidRDefault="009D6F42" w:rsidP="009A0D85">
      <w:pPr>
        <w:spacing w:before="240" w:after="240" w:line="240" w:lineRule="auto"/>
        <w:ind w:left="709" w:hanging="709"/>
        <w:rPr>
          <w:rFonts w:asciiTheme="minorHAnsi" w:hAnsiTheme="minorHAnsi"/>
          <w:b/>
          <w:sz w:val="24"/>
          <w:szCs w:val="24"/>
        </w:rPr>
      </w:pPr>
      <w:r>
        <w:rPr>
          <w:rFonts w:asciiTheme="minorHAnsi" w:hAnsiTheme="minorHAnsi"/>
          <w:b/>
          <w:sz w:val="24"/>
        </w:rPr>
        <w:t>2.2.1.5</w:t>
      </w:r>
      <w:r>
        <w:rPr>
          <w:rFonts w:asciiTheme="minorHAnsi" w:hAnsiTheme="minorHAnsi"/>
          <w:b/>
          <w:sz w:val="24"/>
        </w:rPr>
        <w:tab/>
        <w:t>Planowane wykorzystanie instrumentów finansowych</w:t>
      </w:r>
    </w:p>
    <w:p w14:paraId="0C6E6572" w14:textId="77777777" w:rsidR="009A0D85" w:rsidRPr="00D80606" w:rsidRDefault="009A0D85" w:rsidP="009A0D85">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v</w:t>
      </w:r>
    </w:p>
    <w:p w14:paraId="02367EEA" w14:textId="77777777" w:rsidR="00B5185B" w:rsidRPr="00570B26" w:rsidRDefault="00B5185B" w:rsidP="009A0D85">
      <w:pPr>
        <w:spacing w:before="240" w:after="240" w:line="240" w:lineRule="auto"/>
        <w:ind w:left="0"/>
        <w:rPr>
          <w:rFonts w:asciiTheme="minorHAnsi" w:hAnsiTheme="minorHAnsi"/>
          <w:i/>
          <w:color w:val="000000"/>
          <w:szCs w:val="24"/>
        </w:rPr>
      </w:pPr>
      <w:r w:rsidRPr="00D80606">
        <w:rPr>
          <w:rFonts w:asciiTheme="minorHAnsi" w:hAnsiTheme="minorHAnsi"/>
          <w:color w:val="000000"/>
        </w:rPr>
        <w:t>Pole tekstowe [7000]</w:t>
      </w:r>
    </w:p>
    <w:p w14:paraId="7FAF88D5" w14:textId="77777777" w:rsidR="009A0D85" w:rsidRPr="00D80606" w:rsidRDefault="00004898" w:rsidP="009A0D85">
      <w:pPr>
        <w:pBdr>
          <w:top w:val="single" w:sz="4" w:space="1" w:color="000000"/>
          <w:left w:val="single" w:sz="4" w:space="4" w:color="000000"/>
          <w:bottom w:val="single" w:sz="4" w:space="1" w:color="000000"/>
          <w:right w:val="single" w:sz="4" w:space="4" w:color="000000"/>
        </w:pBdr>
        <w:ind w:left="142"/>
        <w:rPr>
          <w:rFonts w:asciiTheme="minorHAnsi" w:hAnsiTheme="minorHAnsi"/>
          <w:sz w:val="24"/>
          <w:szCs w:val="24"/>
        </w:rPr>
      </w:pPr>
      <w:r w:rsidRPr="00D80606">
        <w:rPr>
          <w:rFonts w:asciiTheme="minorHAnsi" w:hAnsiTheme="minorHAnsi"/>
          <w:sz w:val="24"/>
          <w:szCs w:val="24"/>
        </w:rPr>
        <w:t>Nie dotyczy.</w:t>
      </w:r>
    </w:p>
    <w:p w14:paraId="0C214B92" w14:textId="77777777" w:rsidR="009A0D85" w:rsidRPr="00680741" w:rsidRDefault="009A0D85" w:rsidP="009A0D85">
      <w:pPr>
        <w:spacing w:before="240" w:after="240" w:line="240" w:lineRule="auto"/>
        <w:ind w:left="709" w:hanging="709"/>
        <w:rPr>
          <w:rFonts w:asciiTheme="minorHAnsi" w:hAnsiTheme="minorHAnsi"/>
          <w:b/>
          <w:sz w:val="24"/>
          <w:szCs w:val="24"/>
        </w:rPr>
      </w:pPr>
    </w:p>
    <w:p w14:paraId="745CD1B7" w14:textId="77777777" w:rsidR="009A0D85" w:rsidRPr="008727F2" w:rsidRDefault="009A0D85" w:rsidP="009A0D85">
      <w:pPr>
        <w:spacing w:before="240" w:after="240" w:line="240" w:lineRule="auto"/>
        <w:ind w:left="709" w:hanging="709"/>
        <w:rPr>
          <w:rFonts w:asciiTheme="minorHAnsi" w:hAnsiTheme="minorHAnsi"/>
          <w:b/>
          <w:sz w:val="24"/>
          <w:szCs w:val="24"/>
        </w:rPr>
      </w:pPr>
      <w:r>
        <w:rPr>
          <w:rFonts w:asciiTheme="minorHAnsi" w:hAnsiTheme="minorHAnsi"/>
          <w:b/>
          <w:sz w:val="24"/>
        </w:rPr>
        <w:t>2.2.1.6</w:t>
      </w:r>
      <w:r>
        <w:rPr>
          <w:rFonts w:asciiTheme="minorHAnsi" w:hAnsiTheme="minorHAnsi"/>
          <w:b/>
          <w:sz w:val="24"/>
        </w:rPr>
        <w:tab/>
        <w:t>Orientacyjny podział zasobów programu UE według rodzaju interwencji</w:t>
      </w:r>
    </w:p>
    <w:p w14:paraId="27E643BB" w14:textId="77777777" w:rsidR="009A0D85" w:rsidRPr="00D80606" w:rsidRDefault="009A0D85" w:rsidP="009A0D85">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vi, art. 17 ust. 9 lit. c punkt v</w:t>
      </w:r>
    </w:p>
    <w:p w14:paraId="47C1264A" w14:textId="77777777" w:rsidR="009A0D85" w:rsidRPr="009A0D85" w:rsidRDefault="009A0D85" w:rsidP="009A0D85">
      <w:pPr>
        <w:spacing w:before="240" w:after="240" w:line="240" w:lineRule="auto"/>
        <w:ind w:left="0"/>
        <w:rPr>
          <w:rFonts w:asciiTheme="minorHAnsi" w:hAnsiTheme="minorHAnsi"/>
          <w:szCs w:val="24"/>
        </w:rPr>
      </w:pPr>
      <w:r>
        <w:rPr>
          <w:rFonts w:asciiTheme="minorHAnsi" w:hAnsiTheme="minorHAnsi"/>
        </w:rPr>
        <w:t>Tabela 4: Wymiar 1 – obszar interwencji</w:t>
      </w:r>
    </w:p>
    <w:tbl>
      <w:tblPr>
        <w:tblStyle w:val="16"/>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A0D85" w:rsidRPr="008727F2" w14:paraId="213B1F9A" w14:textId="77777777" w:rsidTr="00D80606">
        <w:trPr>
          <w:tblHeader/>
        </w:trPr>
        <w:tc>
          <w:tcPr>
            <w:tcW w:w="1869" w:type="dxa"/>
          </w:tcPr>
          <w:p w14:paraId="57E6B80D"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Priorytet nr</w:t>
            </w:r>
          </w:p>
        </w:tc>
        <w:tc>
          <w:tcPr>
            <w:tcW w:w="1657" w:type="dxa"/>
          </w:tcPr>
          <w:p w14:paraId="492FBC63"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w:t>
            </w:r>
          </w:p>
        </w:tc>
        <w:tc>
          <w:tcPr>
            <w:tcW w:w="1898" w:type="dxa"/>
          </w:tcPr>
          <w:p w14:paraId="475B10DC"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Cel szczegółowy</w:t>
            </w:r>
          </w:p>
        </w:tc>
        <w:tc>
          <w:tcPr>
            <w:tcW w:w="1204" w:type="dxa"/>
          </w:tcPr>
          <w:p w14:paraId="0BA29B2C"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Kod </w:t>
            </w:r>
          </w:p>
        </w:tc>
        <w:tc>
          <w:tcPr>
            <w:tcW w:w="2658" w:type="dxa"/>
          </w:tcPr>
          <w:p w14:paraId="782792E4"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Kwota (EUR)</w:t>
            </w:r>
          </w:p>
        </w:tc>
      </w:tr>
      <w:tr w:rsidR="00566239" w:rsidRPr="00B5185B" w14:paraId="3A114CC2" w14:textId="77777777" w:rsidTr="00816A75">
        <w:tc>
          <w:tcPr>
            <w:tcW w:w="1869" w:type="dxa"/>
          </w:tcPr>
          <w:p w14:paraId="74382AA3" w14:textId="77777777" w:rsidR="00566239" w:rsidRPr="00B5185B" w:rsidRDefault="00566239" w:rsidP="00566239">
            <w:pPr>
              <w:spacing w:after="120" w:line="240" w:lineRule="auto"/>
              <w:ind w:left="0" w:right="0"/>
              <w:jc w:val="center"/>
              <w:rPr>
                <w:rFonts w:asciiTheme="minorHAnsi" w:eastAsia="Times New Roman" w:hAnsiTheme="minorHAnsi" w:cs="Times New Roman"/>
                <w:color w:val="000000"/>
                <w:sz w:val="20"/>
                <w:szCs w:val="16"/>
              </w:rPr>
            </w:pPr>
            <w:r>
              <w:rPr>
                <w:rFonts w:asciiTheme="minorHAnsi" w:hAnsiTheme="minorHAnsi"/>
                <w:color w:val="000000"/>
                <w:sz w:val="20"/>
              </w:rPr>
              <w:t>2</w:t>
            </w:r>
          </w:p>
        </w:tc>
        <w:tc>
          <w:tcPr>
            <w:tcW w:w="1657" w:type="dxa"/>
          </w:tcPr>
          <w:p w14:paraId="29C8AB4C" w14:textId="77777777" w:rsidR="00566239" w:rsidRPr="00B5185B" w:rsidRDefault="00566239" w:rsidP="00566239">
            <w:pPr>
              <w:spacing w:after="120" w:line="240" w:lineRule="auto"/>
              <w:ind w:left="0" w:right="0"/>
              <w:rPr>
                <w:rFonts w:asciiTheme="minorHAnsi" w:eastAsia="Times New Roman" w:hAnsiTheme="minorHAnsi" w:cs="Times New Roman"/>
                <w:color w:val="000000"/>
                <w:sz w:val="20"/>
                <w:szCs w:val="16"/>
              </w:rPr>
            </w:pPr>
            <w:r>
              <w:rPr>
                <w:rFonts w:asciiTheme="minorHAnsi" w:hAnsiTheme="minorHAnsi"/>
                <w:color w:val="000000"/>
                <w:sz w:val="20"/>
              </w:rPr>
              <w:t>EFRR</w:t>
            </w:r>
          </w:p>
        </w:tc>
        <w:tc>
          <w:tcPr>
            <w:tcW w:w="1898" w:type="dxa"/>
          </w:tcPr>
          <w:p w14:paraId="126054A9" w14:textId="77777777" w:rsidR="00566239" w:rsidRPr="00B5185B" w:rsidRDefault="00566239" w:rsidP="00566239">
            <w:pPr>
              <w:spacing w:after="120" w:line="240" w:lineRule="auto"/>
              <w:ind w:left="0" w:right="0"/>
              <w:rPr>
                <w:rFonts w:asciiTheme="minorHAnsi" w:eastAsia="Times New Roman" w:hAnsiTheme="minorHAnsi" w:cs="Times New Roman"/>
                <w:color w:val="000000"/>
                <w:sz w:val="20"/>
                <w:szCs w:val="16"/>
              </w:rPr>
            </w:pPr>
            <w:r>
              <w:rPr>
                <w:rFonts w:asciiTheme="minorHAnsi" w:hAnsiTheme="minorHAnsi"/>
                <w:color w:val="000000"/>
                <w:sz w:val="20"/>
              </w:rPr>
              <w:t>Cel szczegółowy 2.1</w:t>
            </w:r>
          </w:p>
        </w:tc>
        <w:tc>
          <w:tcPr>
            <w:tcW w:w="1204" w:type="dxa"/>
          </w:tcPr>
          <w:p w14:paraId="149C86E7" w14:textId="1492EF15" w:rsidR="00566239" w:rsidRPr="00566239" w:rsidRDefault="00566239" w:rsidP="002B6588">
            <w:pPr>
              <w:spacing w:after="120" w:line="240" w:lineRule="auto"/>
              <w:ind w:left="0" w:right="0"/>
              <w:jc w:val="center"/>
              <w:rPr>
                <w:rFonts w:ascii="Trebuchet MS" w:eastAsia="Times New Roman" w:hAnsi="Trebuchet MS" w:cs="Times New Roman"/>
                <w:color w:val="000000"/>
                <w:sz w:val="20"/>
                <w:szCs w:val="16"/>
              </w:rPr>
            </w:pPr>
            <w:r>
              <w:rPr>
                <w:rFonts w:ascii="Trebuchet MS" w:hAnsi="Trebuchet MS"/>
                <w:sz w:val="20"/>
              </w:rPr>
              <w:t>24</w:t>
            </w:r>
          </w:p>
        </w:tc>
        <w:tc>
          <w:tcPr>
            <w:tcW w:w="2658" w:type="dxa"/>
          </w:tcPr>
          <w:p w14:paraId="53F00589" w14:textId="77777777" w:rsidR="00566239" w:rsidRPr="00B5185B" w:rsidRDefault="00566239" w:rsidP="00566239">
            <w:pPr>
              <w:spacing w:after="120" w:line="240" w:lineRule="auto"/>
              <w:ind w:left="0" w:right="0"/>
              <w:rPr>
                <w:rFonts w:asciiTheme="minorHAnsi" w:eastAsia="Times New Roman" w:hAnsiTheme="minorHAnsi" w:cs="Times New Roman"/>
                <w:color w:val="000000"/>
                <w:sz w:val="20"/>
                <w:szCs w:val="16"/>
              </w:rPr>
            </w:pPr>
          </w:p>
        </w:tc>
      </w:tr>
      <w:tr w:rsidR="00566239" w:rsidRPr="00B5185B" w14:paraId="60E013C6" w14:textId="77777777" w:rsidTr="00816A75">
        <w:tc>
          <w:tcPr>
            <w:tcW w:w="1869" w:type="dxa"/>
          </w:tcPr>
          <w:p w14:paraId="4E8859BE" w14:textId="65D0FA8C" w:rsidR="00566239" w:rsidRPr="00B5185B" w:rsidRDefault="00566239" w:rsidP="00566239">
            <w:pPr>
              <w:spacing w:after="120" w:line="240" w:lineRule="auto"/>
              <w:ind w:left="0" w:right="0"/>
              <w:jc w:val="center"/>
              <w:rPr>
                <w:rFonts w:asciiTheme="minorHAnsi" w:hAnsiTheme="minorHAnsi"/>
                <w:color w:val="000000"/>
                <w:szCs w:val="16"/>
              </w:rPr>
            </w:pPr>
            <w:r>
              <w:rPr>
                <w:rFonts w:asciiTheme="minorHAnsi" w:hAnsiTheme="minorHAnsi"/>
                <w:color w:val="000000"/>
                <w:sz w:val="20"/>
              </w:rPr>
              <w:t>2</w:t>
            </w:r>
          </w:p>
        </w:tc>
        <w:tc>
          <w:tcPr>
            <w:tcW w:w="1657" w:type="dxa"/>
          </w:tcPr>
          <w:p w14:paraId="5FE79C9F" w14:textId="1D28BF0D" w:rsidR="00566239" w:rsidRPr="00B5185B" w:rsidRDefault="00566239" w:rsidP="00566239">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53706E5B" w14:textId="3F3628AB" w:rsidR="00566239" w:rsidRPr="00B5185B" w:rsidRDefault="00566239" w:rsidP="00566239">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2.1</w:t>
            </w:r>
          </w:p>
        </w:tc>
        <w:tc>
          <w:tcPr>
            <w:tcW w:w="1204" w:type="dxa"/>
          </w:tcPr>
          <w:p w14:paraId="1B4676CC" w14:textId="63EAC1E8" w:rsidR="00566239" w:rsidRPr="00566239" w:rsidRDefault="00566239" w:rsidP="002B6588">
            <w:pPr>
              <w:spacing w:after="120" w:line="240" w:lineRule="auto"/>
              <w:ind w:left="0" w:right="0"/>
              <w:jc w:val="center"/>
              <w:rPr>
                <w:rFonts w:ascii="Trebuchet MS" w:hAnsi="Trebuchet MS"/>
                <w:color w:val="000000"/>
                <w:sz w:val="20"/>
                <w:szCs w:val="16"/>
              </w:rPr>
            </w:pPr>
            <w:r>
              <w:rPr>
                <w:rFonts w:ascii="Trebuchet MS" w:hAnsi="Trebuchet MS"/>
                <w:sz w:val="20"/>
              </w:rPr>
              <w:t>25</w:t>
            </w:r>
          </w:p>
        </w:tc>
        <w:tc>
          <w:tcPr>
            <w:tcW w:w="2658" w:type="dxa"/>
          </w:tcPr>
          <w:p w14:paraId="79482C80" w14:textId="77777777" w:rsidR="00566239" w:rsidRPr="00B5185B" w:rsidRDefault="00566239" w:rsidP="00566239">
            <w:pPr>
              <w:spacing w:after="120" w:line="240" w:lineRule="auto"/>
              <w:ind w:left="0" w:right="0"/>
              <w:rPr>
                <w:rFonts w:asciiTheme="minorHAnsi" w:hAnsiTheme="minorHAnsi"/>
                <w:color w:val="000000"/>
                <w:szCs w:val="16"/>
              </w:rPr>
            </w:pPr>
          </w:p>
        </w:tc>
      </w:tr>
      <w:tr w:rsidR="00566239" w:rsidRPr="00B5185B" w14:paraId="3512E410" w14:textId="77777777" w:rsidTr="00816A75">
        <w:tc>
          <w:tcPr>
            <w:tcW w:w="1869" w:type="dxa"/>
          </w:tcPr>
          <w:p w14:paraId="6704FD13" w14:textId="1BC304E3" w:rsidR="00566239" w:rsidRPr="00B5185B" w:rsidRDefault="00566239" w:rsidP="00566239">
            <w:pPr>
              <w:spacing w:after="120" w:line="240" w:lineRule="auto"/>
              <w:ind w:left="0" w:right="0"/>
              <w:jc w:val="center"/>
              <w:rPr>
                <w:rFonts w:asciiTheme="minorHAnsi" w:hAnsiTheme="minorHAnsi"/>
                <w:color w:val="000000"/>
                <w:szCs w:val="16"/>
              </w:rPr>
            </w:pPr>
            <w:r>
              <w:rPr>
                <w:rFonts w:asciiTheme="minorHAnsi" w:hAnsiTheme="minorHAnsi"/>
                <w:color w:val="000000"/>
                <w:sz w:val="20"/>
              </w:rPr>
              <w:lastRenderedPageBreak/>
              <w:t>2</w:t>
            </w:r>
          </w:p>
        </w:tc>
        <w:tc>
          <w:tcPr>
            <w:tcW w:w="1657" w:type="dxa"/>
          </w:tcPr>
          <w:p w14:paraId="456DB4C4" w14:textId="239F26FF" w:rsidR="00566239" w:rsidRPr="00B5185B" w:rsidRDefault="00566239" w:rsidP="00566239">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1CBCAE81" w14:textId="2BA7D6C2" w:rsidR="00566239" w:rsidRPr="00B5185B" w:rsidRDefault="00566239" w:rsidP="00566239">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2.1</w:t>
            </w:r>
          </w:p>
        </w:tc>
        <w:tc>
          <w:tcPr>
            <w:tcW w:w="1204" w:type="dxa"/>
          </w:tcPr>
          <w:p w14:paraId="0D7F428A" w14:textId="401DD3D9" w:rsidR="00566239" w:rsidRPr="00566239" w:rsidRDefault="00566239" w:rsidP="002B6588">
            <w:pPr>
              <w:spacing w:after="120" w:line="240" w:lineRule="auto"/>
              <w:ind w:left="0" w:right="0"/>
              <w:jc w:val="center"/>
              <w:rPr>
                <w:rFonts w:ascii="Trebuchet MS" w:hAnsi="Trebuchet MS"/>
                <w:color w:val="000000"/>
                <w:sz w:val="20"/>
                <w:szCs w:val="16"/>
              </w:rPr>
            </w:pPr>
            <w:r>
              <w:rPr>
                <w:rFonts w:ascii="Trebuchet MS" w:hAnsi="Trebuchet MS"/>
                <w:sz w:val="20"/>
              </w:rPr>
              <w:t>26</w:t>
            </w:r>
          </w:p>
        </w:tc>
        <w:tc>
          <w:tcPr>
            <w:tcW w:w="2658" w:type="dxa"/>
          </w:tcPr>
          <w:p w14:paraId="66285A08" w14:textId="77777777" w:rsidR="00566239" w:rsidRPr="00B5185B" w:rsidRDefault="00566239" w:rsidP="00566239">
            <w:pPr>
              <w:spacing w:after="120" w:line="240" w:lineRule="auto"/>
              <w:ind w:left="0" w:right="0"/>
              <w:rPr>
                <w:rFonts w:asciiTheme="minorHAnsi" w:hAnsiTheme="minorHAnsi"/>
                <w:color w:val="000000"/>
                <w:szCs w:val="16"/>
              </w:rPr>
            </w:pPr>
          </w:p>
        </w:tc>
      </w:tr>
      <w:tr w:rsidR="00566239" w:rsidRPr="00B5185B" w14:paraId="58A2376E" w14:textId="77777777" w:rsidTr="00816A75">
        <w:tc>
          <w:tcPr>
            <w:tcW w:w="1869" w:type="dxa"/>
          </w:tcPr>
          <w:p w14:paraId="2BD36B75" w14:textId="60E6AD50" w:rsidR="00566239" w:rsidRPr="00B5185B" w:rsidRDefault="00566239" w:rsidP="00566239">
            <w:pPr>
              <w:spacing w:after="120" w:line="240" w:lineRule="auto"/>
              <w:ind w:left="0" w:right="0"/>
              <w:jc w:val="center"/>
              <w:rPr>
                <w:rFonts w:asciiTheme="minorHAnsi" w:hAnsiTheme="minorHAnsi"/>
                <w:color w:val="000000"/>
                <w:szCs w:val="16"/>
              </w:rPr>
            </w:pPr>
            <w:r>
              <w:rPr>
                <w:rFonts w:asciiTheme="minorHAnsi" w:hAnsiTheme="minorHAnsi"/>
                <w:color w:val="000000"/>
                <w:sz w:val="20"/>
              </w:rPr>
              <w:t>2</w:t>
            </w:r>
          </w:p>
        </w:tc>
        <w:tc>
          <w:tcPr>
            <w:tcW w:w="1657" w:type="dxa"/>
          </w:tcPr>
          <w:p w14:paraId="68CE331B" w14:textId="0C93B1EE" w:rsidR="00566239" w:rsidRPr="00B5185B" w:rsidRDefault="00566239" w:rsidP="00566239">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498B7736" w14:textId="191D9F1A" w:rsidR="00566239" w:rsidRPr="00B5185B" w:rsidRDefault="00566239" w:rsidP="00566239">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2.1</w:t>
            </w:r>
          </w:p>
        </w:tc>
        <w:tc>
          <w:tcPr>
            <w:tcW w:w="1204" w:type="dxa"/>
          </w:tcPr>
          <w:p w14:paraId="06693BBF" w14:textId="73B720D3" w:rsidR="00566239" w:rsidRPr="00566239" w:rsidRDefault="00566239" w:rsidP="002B6588">
            <w:pPr>
              <w:spacing w:after="120" w:line="240" w:lineRule="auto"/>
              <w:ind w:left="0" w:right="0"/>
              <w:jc w:val="center"/>
              <w:rPr>
                <w:rFonts w:ascii="Trebuchet MS" w:hAnsi="Trebuchet MS"/>
                <w:color w:val="000000"/>
                <w:sz w:val="20"/>
                <w:szCs w:val="16"/>
              </w:rPr>
            </w:pPr>
            <w:r>
              <w:rPr>
                <w:rFonts w:ascii="Trebuchet MS" w:hAnsi="Trebuchet MS"/>
                <w:sz w:val="20"/>
              </w:rPr>
              <w:t>28</w:t>
            </w:r>
          </w:p>
        </w:tc>
        <w:tc>
          <w:tcPr>
            <w:tcW w:w="2658" w:type="dxa"/>
          </w:tcPr>
          <w:p w14:paraId="0E25BBCC" w14:textId="77777777" w:rsidR="00566239" w:rsidRPr="00B5185B" w:rsidRDefault="00566239" w:rsidP="00566239">
            <w:pPr>
              <w:spacing w:after="120" w:line="240" w:lineRule="auto"/>
              <w:ind w:left="0" w:right="0"/>
              <w:rPr>
                <w:rFonts w:asciiTheme="minorHAnsi" w:hAnsiTheme="minorHAnsi"/>
                <w:color w:val="000000"/>
                <w:szCs w:val="16"/>
              </w:rPr>
            </w:pPr>
          </w:p>
        </w:tc>
      </w:tr>
      <w:tr w:rsidR="00566239" w:rsidRPr="00B5185B" w14:paraId="17DFF8CA" w14:textId="77777777" w:rsidTr="00816A75">
        <w:tc>
          <w:tcPr>
            <w:tcW w:w="1869" w:type="dxa"/>
          </w:tcPr>
          <w:p w14:paraId="62DF05ED" w14:textId="206D5F4C" w:rsidR="00566239" w:rsidRPr="00B5185B" w:rsidRDefault="00566239" w:rsidP="00566239">
            <w:pPr>
              <w:spacing w:after="120" w:line="240" w:lineRule="auto"/>
              <w:ind w:left="0" w:right="0"/>
              <w:jc w:val="center"/>
              <w:rPr>
                <w:rFonts w:asciiTheme="minorHAnsi" w:hAnsiTheme="minorHAnsi"/>
                <w:color w:val="000000"/>
                <w:szCs w:val="16"/>
              </w:rPr>
            </w:pPr>
            <w:r>
              <w:rPr>
                <w:rFonts w:asciiTheme="minorHAnsi" w:hAnsiTheme="minorHAnsi"/>
                <w:color w:val="000000"/>
                <w:sz w:val="20"/>
              </w:rPr>
              <w:t>2</w:t>
            </w:r>
          </w:p>
        </w:tc>
        <w:tc>
          <w:tcPr>
            <w:tcW w:w="1657" w:type="dxa"/>
          </w:tcPr>
          <w:p w14:paraId="20F342DF" w14:textId="1EED9897" w:rsidR="00566239" w:rsidRPr="00B5185B" w:rsidRDefault="00566239" w:rsidP="00566239">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2F591C76" w14:textId="1C039241" w:rsidR="00566239" w:rsidRPr="00B5185B" w:rsidRDefault="00566239" w:rsidP="00566239">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2.1</w:t>
            </w:r>
          </w:p>
        </w:tc>
        <w:tc>
          <w:tcPr>
            <w:tcW w:w="1204" w:type="dxa"/>
          </w:tcPr>
          <w:p w14:paraId="08A59E3B" w14:textId="53732B73" w:rsidR="00566239" w:rsidRPr="00566239" w:rsidRDefault="00566239" w:rsidP="002B6588">
            <w:pPr>
              <w:spacing w:after="120" w:line="240" w:lineRule="auto"/>
              <w:ind w:left="0" w:right="0"/>
              <w:jc w:val="center"/>
              <w:rPr>
                <w:rFonts w:ascii="Trebuchet MS" w:hAnsi="Trebuchet MS"/>
                <w:color w:val="000000"/>
                <w:sz w:val="20"/>
                <w:szCs w:val="16"/>
              </w:rPr>
            </w:pPr>
            <w:r>
              <w:rPr>
                <w:rFonts w:ascii="Trebuchet MS" w:hAnsi="Trebuchet MS"/>
                <w:sz w:val="20"/>
              </w:rPr>
              <w:t>29</w:t>
            </w:r>
          </w:p>
        </w:tc>
        <w:tc>
          <w:tcPr>
            <w:tcW w:w="2658" w:type="dxa"/>
          </w:tcPr>
          <w:p w14:paraId="54B3FC39" w14:textId="77777777" w:rsidR="00566239" w:rsidRPr="00B5185B" w:rsidRDefault="00566239" w:rsidP="00566239">
            <w:pPr>
              <w:spacing w:after="120" w:line="240" w:lineRule="auto"/>
              <w:ind w:left="0" w:right="0"/>
              <w:rPr>
                <w:rFonts w:asciiTheme="minorHAnsi" w:hAnsiTheme="minorHAnsi"/>
                <w:color w:val="000000"/>
                <w:szCs w:val="16"/>
              </w:rPr>
            </w:pPr>
          </w:p>
        </w:tc>
      </w:tr>
      <w:tr w:rsidR="00566239" w:rsidRPr="00B5185B" w14:paraId="376698A4" w14:textId="77777777" w:rsidTr="00566239">
        <w:tc>
          <w:tcPr>
            <w:tcW w:w="1869" w:type="dxa"/>
          </w:tcPr>
          <w:p w14:paraId="251BFE00" w14:textId="500E8055" w:rsidR="00566239" w:rsidRPr="00B5185B" w:rsidRDefault="00566239" w:rsidP="00566239">
            <w:pPr>
              <w:spacing w:after="120" w:line="240" w:lineRule="auto"/>
              <w:ind w:left="0" w:right="0"/>
              <w:jc w:val="center"/>
              <w:rPr>
                <w:rFonts w:asciiTheme="minorHAnsi" w:hAnsiTheme="minorHAnsi"/>
                <w:color w:val="000000"/>
                <w:szCs w:val="16"/>
              </w:rPr>
            </w:pPr>
            <w:r>
              <w:rPr>
                <w:rFonts w:asciiTheme="minorHAnsi" w:hAnsiTheme="minorHAnsi"/>
                <w:color w:val="000000"/>
                <w:sz w:val="20"/>
              </w:rPr>
              <w:t>2</w:t>
            </w:r>
          </w:p>
        </w:tc>
        <w:tc>
          <w:tcPr>
            <w:tcW w:w="1657" w:type="dxa"/>
          </w:tcPr>
          <w:p w14:paraId="3DEC114E" w14:textId="575E29F9" w:rsidR="00566239" w:rsidRPr="00B5185B" w:rsidRDefault="00566239" w:rsidP="00566239">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2460A5DE" w14:textId="527D2147" w:rsidR="00566239" w:rsidRPr="00B5185B" w:rsidRDefault="00566239" w:rsidP="00566239">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2.1</w:t>
            </w:r>
          </w:p>
        </w:tc>
        <w:tc>
          <w:tcPr>
            <w:tcW w:w="1204" w:type="dxa"/>
            <w:vAlign w:val="bottom"/>
          </w:tcPr>
          <w:p w14:paraId="2AC808E5" w14:textId="7996D66F" w:rsidR="00566239" w:rsidRPr="00566239" w:rsidRDefault="00566239" w:rsidP="002B6588">
            <w:pPr>
              <w:spacing w:after="120" w:line="240" w:lineRule="auto"/>
              <w:ind w:left="0" w:right="0"/>
              <w:jc w:val="center"/>
              <w:rPr>
                <w:rFonts w:ascii="Trebuchet MS" w:hAnsi="Trebuchet MS"/>
                <w:color w:val="000000"/>
                <w:sz w:val="20"/>
                <w:szCs w:val="16"/>
              </w:rPr>
            </w:pPr>
            <w:r>
              <w:rPr>
                <w:rFonts w:ascii="Trebuchet MS" w:hAnsi="Trebuchet MS"/>
                <w:color w:val="000000"/>
                <w:sz w:val="20"/>
              </w:rPr>
              <w:t>30</w:t>
            </w:r>
          </w:p>
        </w:tc>
        <w:tc>
          <w:tcPr>
            <w:tcW w:w="2658" w:type="dxa"/>
          </w:tcPr>
          <w:p w14:paraId="570A0B76" w14:textId="77777777" w:rsidR="00566239" w:rsidRPr="00B5185B" w:rsidRDefault="00566239" w:rsidP="00566239">
            <w:pPr>
              <w:spacing w:after="120" w:line="240" w:lineRule="auto"/>
              <w:ind w:left="0" w:right="0"/>
              <w:rPr>
                <w:rFonts w:asciiTheme="minorHAnsi" w:hAnsiTheme="minorHAnsi"/>
                <w:color w:val="000000"/>
                <w:szCs w:val="16"/>
              </w:rPr>
            </w:pPr>
          </w:p>
        </w:tc>
      </w:tr>
      <w:tr w:rsidR="00566239" w:rsidRPr="00B5185B" w14:paraId="51FC7AAC" w14:textId="77777777" w:rsidTr="00566239">
        <w:tc>
          <w:tcPr>
            <w:tcW w:w="1869" w:type="dxa"/>
          </w:tcPr>
          <w:p w14:paraId="1D2CABB2" w14:textId="2572893F" w:rsidR="00566239" w:rsidRPr="00B5185B" w:rsidRDefault="00566239" w:rsidP="00566239">
            <w:pPr>
              <w:spacing w:after="120" w:line="240" w:lineRule="auto"/>
              <w:ind w:left="0" w:right="0"/>
              <w:jc w:val="center"/>
              <w:rPr>
                <w:rFonts w:asciiTheme="minorHAnsi" w:hAnsiTheme="minorHAnsi"/>
                <w:color w:val="000000"/>
                <w:szCs w:val="16"/>
              </w:rPr>
            </w:pPr>
            <w:r>
              <w:rPr>
                <w:rFonts w:asciiTheme="minorHAnsi" w:hAnsiTheme="minorHAnsi"/>
                <w:color w:val="000000"/>
                <w:sz w:val="20"/>
              </w:rPr>
              <w:t>2</w:t>
            </w:r>
          </w:p>
        </w:tc>
        <w:tc>
          <w:tcPr>
            <w:tcW w:w="1657" w:type="dxa"/>
          </w:tcPr>
          <w:p w14:paraId="55C37FAA" w14:textId="3607F14E" w:rsidR="00566239" w:rsidRPr="00B5185B" w:rsidRDefault="00566239" w:rsidP="00566239">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480578D8" w14:textId="69C118BF" w:rsidR="00566239" w:rsidRPr="00B5185B" w:rsidRDefault="00566239" w:rsidP="00566239">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2.1</w:t>
            </w:r>
          </w:p>
        </w:tc>
        <w:tc>
          <w:tcPr>
            <w:tcW w:w="1204" w:type="dxa"/>
            <w:vAlign w:val="bottom"/>
          </w:tcPr>
          <w:p w14:paraId="14F9D961" w14:textId="2AAD67DF" w:rsidR="00566239" w:rsidRPr="00566239" w:rsidRDefault="00566239" w:rsidP="002B6588">
            <w:pPr>
              <w:spacing w:after="120" w:line="240" w:lineRule="auto"/>
              <w:ind w:left="0" w:right="0"/>
              <w:jc w:val="center"/>
              <w:rPr>
                <w:rFonts w:ascii="Trebuchet MS" w:hAnsi="Trebuchet MS"/>
                <w:color w:val="000000"/>
                <w:sz w:val="20"/>
                <w:szCs w:val="16"/>
              </w:rPr>
            </w:pPr>
            <w:r>
              <w:rPr>
                <w:rFonts w:ascii="Trebuchet MS" w:hAnsi="Trebuchet MS"/>
                <w:color w:val="000000"/>
                <w:sz w:val="20"/>
              </w:rPr>
              <w:t>31</w:t>
            </w:r>
          </w:p>
        </w:tc>
        <w:tc>
          <w:tcPr>
            <w:tcW w:w="2658" w:type="dxa"/>
          </w:tcPr>
          <w:p w14:paraId="501508B9" w14:textId="77777777" w:rsidR="00566239" w:rsidRPr="00B5185B" w:rsidRDefault="00566239" w:rsidP="00566239">
            <w:pPr>
              <w:spacing w:after="120" w:line="240" w:lineRule="auto"/>
              <w:ind w:left="0" w:right="0"/>
              <w:rPr>
                <w:rFonts w:asciiTheme="minorHAnsi" w:hAnsiTheme="minorHAnsi"/>
                <w:color w:val="000000"/>
                <w:szCs w:val="16"/>
              </w:rPr>
            </w:pPr>
          </w:p>
        </w:tc>
      </w:tr>
      <w:tr w:rsidR="00566239" w:rsidRPr="00B5185B" w14:paraId="1822D362" w14:textId="77777777" w:rsidTr="00566239">
        <w:tc>
          <w:tcPr>
            <w:tcW w:w="1869" w:type="dxa"/>
          </w:tcPr>
          <w:p w14:paraId="6900FFAA" w14:textId="2FDF484E" w:rsidR="00566239" w:rsidRPr="00B5185B" w:rsidRDefault="00566239" w:rsidP="00566239">
            <w:pPr>
              <w:spacing w:after="120" w:line="240" w:lineRule="auto"/>
              <w:ind w:left="0" w:right="0"/>
              <w:jc w:val="center"/>
              <w:rPr>
                <w:rFonts w:asciiTheme="minorHAnsi" w:hAnsiTheme="minorHAnsi"/>
                <w:color w:val="000000"/>
                <w:szCs w:val="16"/>
              </w:rPr>
            </w:pPr>
            <w:r>
              <w:rPr>
                <w:rFonts w:asciiTheme="minorHAnsi" w:hAnsiTheme="minorHAnsi"/>
                <w:color w:val="000000"/>
                <w:sz w:val="20"/>
              </w:rPr>
              <w:t>2</w:t>
            </w:r>
          </w:p>
        </w:tc>
        <w:tc>
          <w:tcPr>
            <w:tcW w:w="1657" w:type="dxa"/>
          </w:tcPr>
          <w:p w14:paraId="665CFB04" w14:textId="23E5A7E9" w:rsidR="00566239" w:rsidRPr="00B5185B" w:rsidRDefault="00566239" w:rsidP="00566239">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1816B5A0" w14:textId="3C676BBD" w:rsidR="00566239" w:rsidRPr="00B5185B" w:rsidRDefault="00566239" w:rsidP="00566239">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2.1</w:t>
            </w:r>
          </w:p>
        </w:tc>
        <w:tc>
          <w:tcPr>
            <w:tcW w:w="1204" w:type="dxa"/>
            <w:vAlign w:val="bottom"/>
          </w:tcPr>
          <w:p w14:paraId="3A42878D" w14:textId="5976A01D" w:rsidR="00566239" w:rsidRPr="002B6588" w:rsidRDefault="00566239" w:rsidP="002B6588">
            <w:pPr>
              <w:spacing w:after="120" w:line="240" w:lineRule="auto"/>
              <w:ind w:left="0" w:right="0"/>
              <w:jc w:val="center"/>
              <w:rPr>
                <w:rFonts w:ascii="Trebuchet MS" w:hAnsi="Trebuchet MS"/>
                <w:sz w:val="20"/>
              </w:rPr>
            </w:pPr>
            <w:r>
              <w:rPr>
                <w:rFonts w:ascii="Trebuchet MS" w:hAnsi="Trebuchet MS"/>
                <w:sz w:val="20"/>
              </w:rPr>
              <w:t>32</w:t>
            </w:r>
          </w:p>
        </w:tc>
        <w:tc>
          <w:tcPr>
            <w:tcW w:w="2658" w:type="dxa"/>
          </w:tcPr>
          <w:p w14:paraId="2557108E" w14:textId="77777777" w:rsidR="00566239" w:rsidRPr="00B5185B" w:rsidRDefault="00566239" w:rsidP="00566239">
            <w:pPr>
              <w:spacing w:after="120" w:line="240" w:lineRule="auto"/>
              <w:ind w:left="0" w:right="0"/>
              <w:rPr>
                <w:rFonts w:asciiTheme="minorHAnsi" w:hAnsiTheme="minorHAnsi"/>
                <w:color w:val="000000"/>
                <w:szCs w:val="16"/>
              </w:rPr>
            </w:pPr>
          </w:p>
        </w:tc>
      </w:tr>
      <w:tr w:rsidR="00566239" w:rsidRPr="00B5185B" w14:paraId="664D2B4D" w14:textId="77777777" w:rsidTr="00566239">
        <w:tc>
          <w:tcPr>
            <w:tcW w:w="1869" w:type="dxa"/>
          </w:tcPr>
          <w:p w14:paraId="632AB199" w14:textId="669D002F" w:rsidR="00566239" w:rsidRPr="00B5185B" w:rsidRDefault="00566239" w:rsidP="00566239">
            <w:pPr>
              <w:spacing w:after="120" w:line="240" w:lineRule="auto"/>
              <w:ind w:left="0" w:right="0"/>
              <w:jc w:val="center"/>
              <w:rPr>
                <w:rFonts w:asciiTheme="minorHAnsi" w:hAnsiTheme="minorHAnsi"/>
                <w:color w:val="000000"/>
                <w:szCs w:val="16"/>
              </w:rPr>
            </w:pPr>
            <w:r>
              <w:rPr>
                <w:rFonts w:asciiTheme="minorHAnsi" w:hAnsiTheme="minorHAnsi"/>
                <w:color w:val="000000"/>
                <w:sz w:val="20"/>
              </w:rPr>
              <w:t>2</w:t>
            </w:r>
          </w:p>
        </w:tc>
        <w:tc>
          <w:tcPr>
            <w:tcW w:w="1657" w:type="dxa"/>
          </w:tcPr>
          <w:p w14:paraId="77EC3157" w14:textId="301CF2B4" w:rsidR="00566239" w:rsidRPr="00B5185B" w:rsidRDefault="00566239" w:rsidP="00566239">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3B2DD2FD" w14:textId="61979EE2" w:rsidR="00566239" w:rsidRPr="00B5185B" w:rsidRDefault="00566239" w:rsidP="00566239">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2.1</w:t>
            </w:r>
          </w:p>
        </w:tc>
        <w:tc>
          <w:tcPr>
            <w:tcW w:w="1204" w:type="dxa"/>
            <w:vAlign w:val="bottom"/>
          </w:tcPr>
          <w:p w14:paraId="6803FB77" w14:textId="36E96B07" w:rsidR="00566239" w:rsidRPr="002B6588" w:rsidRDefault="00566239" w:rsidP="002B6588">
            <w:pPr>
              <w:spacing w:after="120" w:line="240" w:lineRule="auto"/>
              <w:ind w:left="0" w:right="0"/>
              <w:jc w:val="center"/>
              <w:rPr>
                <w:rFonts w:ascii="Trebuchet MS" w:hAnsi="Trebuchet MS"/>
                <w:sz w:val="20"/>
              </w:rPr>
            </w:pPr>
            <w:r>
              <w:rPr>
                <w:rFonts w:ascii="Trebuchet MS" w:hAnsi="Trebuchet MS"/>
                <w:sz w:val="20"/>
              </w:rPr>
              <w:t>33</w:t>
            </w:r>
          </w:p>
        </w:tc>
        <w:tc>
          <w:tcPr>
            <w:tcW w:w="2658" w:type="dxa"/>
          </w:tcPr>
          <w:p w14:paraId="7BD2EFF9" w14:textId="77777777" w:rsidR="00566239" w:rsidRPr="00B5185B" w:rsidRDefault="00566239" w:rsidP="00566239">
            <w:pPr>
              <w:spacing w:after="120" w:line="240" w:lineRule="auto"/>
              <w:ind w:left="0" w:right="0"/>
              <w:rPr>
                <w:rFonts w:asciiTheme="minorHAnsi" w:hAnsiTheme="minorHAnsi"/>
                <w:color w:val="000000"/>
                <w:szCs w:val="16"/>
              </w:rPr>
            </w:pPr>
          </w:p>
        </w:tc>
      </w:tr>
      <w:tr w:rsidR="00566239" w:rsidRPr="00B5185B" w14:paraId="189632D4" w14:textId="77777777" w:rsidTr="00816A75">
        <w:tc>
          <w:tcPr>
            <w:tcW w:w="1869" w:type="dxa"/>
          </w:tcPr>
          <w:p w14:paraId="483335FD" w14:textId="10B7267C" w:rsidR="00566239" w:rsidRPr="00B5185B" w:rsidRDefault="00566239" w:rsidP="00566239">
            <w:pPr>
              <w:spacing w:after="120" w:line="240" w:lineRule="auto"/>
              <w:ind w:left="0" w:right="0"/>
              <w:jc w:val="center"/>
              <w:rPr>
                <w:rFonts w:asciiTheme="minorHAnsi" w:hAnsiTheme="minorHAnsi"/>
                <w:color w:val="000000"/>
                <w:szCs w:val="16"/>
              </w:rPr>
            </w:pPr>
            <w:r>
              <w:rPr>
                <w:rFonts w:asciiTheme="minorHAnsi" w:hAnsiTheme="minorHAnsi"/>
                <w:color w:val="000000"/>
                <w:sz w:val="20"/>
              </w:rPr>
              <w:t>2</w:t>
            </w:r>
          </w:p>
        </w:tc>
        <w:tc>
          <w:tcPr>
            <w:tcW w:w="1657" w:type="dxa"/>
          </w:tcPr>
          <w:p w14:paraId="6FAB0678" w14:textId="5D4C297A" w:rsidR="00566239" w:rsidRPr="00B5185B" w:rsidRDefault="00566239" w:rsidP="00566239">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0F242873" w14:textId="4DE023A2" w:rsidR="00566239" w:rsidRPr="00B5185B" w:rsidRDefault="00566239" w:rsidP="00566239">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2.1</w:t>
            </w:r>
          </w:p>
        </w:tc>
        <w:tc>
          <w:tcPr>
            <w:tcW w:w="1204" w:type="dxa"/>
          </w:tcPr>
          <w:p w14:paraId="79308B2E" w14:textId="3B57789E" w:rsidR="00566239" w:rsidRPr="002B6588" w:rsidRDefault="00566239" w:rsidP="002B6588">
            <w:pPr>
              <w:spacing w:after="120" w:line="240" w:lineRule="auto"/>
              <w:ind w:left="0" w:right="0"/>
              <w:jc w:val="center"/>
              <w:rPr>
                <w:rFonts w:ascii="Trebuchet MS" w:hAnsi="Trebuchet MS"/>
                <w:sz w:val="20"/>
              </w:rPr>
            </w:pPr>
            <w:r>
              <w:rPr>
                <w:rFonts w:ascii="Trebuchet MS" w:hAnsi="Trebuchet MS"/>
                <w:sz w:val="20"/>
              </w:rPr>
              <w:t>34</w:t>
            </w:r>
          </w:p>
        </w:tc>
        <w:tc>
          <w:tcPr>
            <w:tcW w:w="2658" w:type="dxa"/>
          </w:tcPr>
          <w:p w14:paraId="565867E2" w14:textId="77777777" w:rsidR="00566239" w:rsidRPr="00B5185B" w:rsidRDefault="00566239" w:rsidP="00566239">
            <w:pPr>
              <w:spacing w:after="120" w:line="240" w:lineRule="auto"/>
              <w:ind w:left="0" w:right="0"/>
              <w:rPr>
                <w:rFonts w:asciiTheme="minorHAnsi" w:hAnsiTheme="minorHAnsi"/>
                <w:color w:val="000000"/>
                <w:szCs w:val="16"/>
              </w:rPr>
            </w:pPr>
          </w:p>
        </w:tc>
      </w:tr>
    </w:tbl>
    <w:p w14:paraId="44BA8F36" w14:textId="77777777" w:rsidR="009A0D85" w:rsidRPr="009A0D85" w:rsidRDefault="009A0D85" w:rsidP="009A0D85">
      <w:pPr>
        <w:spacing w:before="240" w:after="240" w:line="240" w:lineRule="auto"/>
        <w:ind w:left="0"/>
        <w:rPr>
          <w:rFonts w:asciiTheme="minorHAnsi" w:hAnsiTheme="minorHAnsi"/>
          <w:szCs w:val="24"/>
        </w:rPr>
      </w:pPr>
      <w:r>
        <w:rPr>
          <w:rFonts w:asciiTheme="minorHAnsi" w:hAnsiTheme="minorHAnsi"/>
        </w:rPr>
        <w:t>Tabela 5: Wymiar 2 – forma finansowania</w:t>
      </w:r>
    </w:p>
    <w:tbl>
      <w:tblPr>
        <w:tblStyle w:val="15"/>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A0D85" w:rsidRPr="008727F2" w14:paraId="0A563685" w14:textId="77777777" w:rsidTr="00816A75">
        <w:tc>
          <w:tcPr>
            <w:tcW w:w="1869" w:type="dxa"/>
          </w:tcPr>
          <w:p w14:paraId="4414D133"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Priorytet nr</w:t>
            </w:r>
          </w:p>
        </w:tc>
        <w:tc>
          <w:tcPr>
            <w:tcW w:w="1657" w:type="dxa"/>
          </w:tcPr>
          <w:p w14:paraId="6DAA6F69"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w:t>
            </w:r>
          </w:p>
        </w:tc>
        <w:tc>
          <w:tcPr>
            <w:tcW w:w="1898" w:type="dxa"/>
          </w:tcPr>
          <w:p w14:paraId="3E80FFD6"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Cel szczegółowy</w:t>
            </w:r>
          </w:p>
        </w:tc>
        <w:tc>
          <w:tcPr>
            <w:tcW w:w="1204" w:type="dxa"/>
          </w:tcPr>
          <w:p w14:paraId="75E395C5"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Kod </w:t>
            </w:r>
          </w:p>
        </w:tc>
        <w:tc>
          <w:tcPr>
            <w:tcW w:w="2658" w:type="dxa"/>
          </w:tcPr>
          <w:p w14:paraId="36F5AF63"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Kwota (EUR)</w:t>
            </w:r>
          </w:p>
        </w:tc>
      </w:tr>
      <w:tr w:rsidR="00B5185B" w:rsidRPr="008727F2" w14:paraId="4841D508" w14:textId="77777777" w:rsidTr="00816A75">
        <w:tc>
          <w:tcPr>
            <w:tcW w:w="1869" w:type="dxa"/>
          </w:tcPr>
          <w:p w14:paraId="28763FB8" w14:textId="77777777" w:rsidR="00B5185B" w:rsidRPr="00570B26" w:rsidRDefault="00B5185B" w:rsidP="00B5185B">
            <w:pPr>
              <w:spacing w:after="120" w:line="240" w:lineRule="auto"/>
              <w:ind w:left="0" w:right="0"/>
              <w:jc w:val="center"/>
              <w:rPr>
                <w:rFonts w:asciiTheme="minorHAnsi" w:eastAsia="Times New Roman" w:hAnsiTheme="minorHAnsi" w:cs="Times New Roman"/>
                <w:b/>
                <w:color w:val="000000"/>
                <w:sz w:val="16"/>
                <w:szCs w:val="16"/>
              </w:rPr>
            </w:pPr>
            <w:r>
              <w:rPr>
                <w:rFonts w:asciiTheme="minorHAnsi" w:hAnsiTheme="minorHAnsi"/>
                <w:color w:val="000000"/>
                <w:sz w:val="20"/>
              </w:rPr>
              <w:t>2</w:t>
            </w:r>
          </w:p>
        </w:tc>
        <w:tc>
          <w:tcPr>
            <w:tcW w:w="1657" w:type="dxa"/>
          </w:tcPr>
          <w:p w14:paraId="5B77408C" w14:textId="77777777" w:rsidR="00B5185B" w:rsidRPr="00570B26" w:rsidRDefault="00B5185B" w:rsidP="00B5185B">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color w:val="000000"/>
                <w:sz w:val="20"/>
              </w:rPr>
              <w:t>EFRR</w:t>
            </w:r>
          </w:p>
        </w:tc>
        <w:tc>
          <w:tcPr>
            <w:tcW w:w="1898" w:type="dxa"/>
          </w:tcPr>
          <w:p w14:paraId="08F41860" w14:textId="77777777" w:rsidR="00B5185B" w:rsidRPr="00570B26" w:rsidRDefault="00B5185B" w:rsidP="00B5185B">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color w:val="000000"/>
                <w:sz w:val="20"/>
              </w:rPr>
              <w:t>Cel szczegółowy 2.1</w:t>
            </w:r>
          </w:p>
        </w:tc>
        <w:tc>
          <w:tcPr>
            <w:tcW w:w="1204" w:type="dxa"/>
          </w:tcPr>
          <w:p w14:paraId="1757C25D" w14:textId="0EC163D4" w:rsidR="00B5185B" w:rsidRPr="002B6588" w:rsidRDefault="00566239" w:rsidP="002B6588">
            <w:pPr>
              <w:spacing w:after="120" w:line="240" w:lineRule="auto"/>
              <w:ind w:left="0" w:right="0"/>
              <w:jc w:val="center"/>
              <w:rPr>
                <w:rFonts w:ascii="Trebuchet MS" w:hAnsi="Trebuchet MS"/>
                <w:sz w:val="20"/>
              </w:rPr>
            </w:pPr>
            <w:r>
              <w:rPr>
                <w:rFonts w:ascii="Trebuchet MS" w:hAnsi="Trebuchet MS"/>
                <w:sz w:val="20"/>
              </w:rPr>
              <w:t>01</w:t>
            </w:r>
          </w:p>
        </w:tc>
        <w:tc>
          <w:tcPr>
            <w:tcW w:w="2658" w:type="dxa"/>
          </w:tcPr>
          <w:p w14:paraId="1CC83910" w14:textId="77777777" w:rsidR="00B5185B" w:rsidRPr="00570B26" w:rsidRDefault="00B5185B" w:rsidP="00B5185B">
            <w:pPr>
              <w:spacing w:after="120" w:line="240" w:lineRule="auto"/>
              <w:ind w:left="0" w:right="0"/>
              <w:rPr>
                <w:rFonts w:asciiTheme="minorHAnsi" w:eastAsia="Times New Roman" w:hAnsiTheme="minorHAnsi" w:cs="Times New Roman"/>
                <w:b/>
                <w:color w:val="000000"/>
                <w:sz w:val="16"/>
                <w:szCs w:val="16"/>
              </w:rPr>
            </w:pPr>
          </w:p>
        </w:tc>
      </w:tr>
    </w:tbl>
    <w:p w14:paraId="209672EB" w14:textId="77777777" w:rsidR="009A0D85" w:rsidRPr="009A0D85" w:rsidRDefault="009A0D85" w:rsidP="009A0D85">
      <w:pPr>
        <w:spacing w:before="240" w:after="240" w:line="240" w:lineRule="auto"/>
        <w:ind w:left="0"/>
        <w:rPr>
          <w:rFonts w:asciiTheme="minorHAnsi" w:hAnsiTheme="minorHAnsi"/>
          <w:szCs w:val="24"/>
        </w:rPr>
      </w:pPr>
      <w:r>
        <w:rPr>
          <w:rFonts w:asciiTheme="minorHAnsi" w:hAnsiTheme="minorHAnsi"/>
        </w:rPr>
        <w:t>Tabela 6: Wymiar 3 – mechanizm realizacji terytorialnej i koncentracja na terytorium</w:t>
      </w:r>
    </w:p>
    <w:tbl>
      <w:tblPr>
        <w:tblStyle w:val="14"/>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A0D85" w:rsidRPr="008727F2" w14:paraId="7881BA8D" w14:textId="77777777" w:rsidTr="00816A75">
        <w:tc>
          <w:tcPr>
            <w:tcW w:w="1869" w:type="dxa"/>
          </w:tcPr>
          <w:p w14:paraId="46C36123"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Priorytet nr</w:t>
            </w:r>
          </w:p>
        </w:tc>
        <w:tc>
          <w:tcPr>
            <w:tcW w:w="1657" w:type="dxa"/>
          </w:tcPr>
          <w:p w14:paraId="5072454B"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w:t>
            </w:r>
          </w:p>
        </w:tc>
        <w:tc>
          <w:tcPr>
            <w:tcW w:w="1898" w:type="dxa"/>
          </w:tcPr>
          <w:p w14:paraId="4AD93652"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Cel szczegółowy</w:t>
            </w:r>
          </w:p>
        </w:tc>
        <w:tc>
          <w:tcPr>
            <w:tcW w:w="1204" w:type="dxa"/>
          </w:tcPr>
          <w:p w14:paraId="0A05CD19"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Kod </w:t>
            </w:r>
          </w:p>
        </w:tc>
        <w:tc>
          <w:tcPr>
            <w:tcW w:w="2658" w:type="dxa"/>
          </w:tcPr>
          <w:p w14:paraId="1B99DB60"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Kwota (EUR)</w:t>
            </w:r>
          </w:p>
        </w:tc>
      </w:tr>
      <w:tr w:rsidR="00B5185B" w:rsidRPr="008727F2" w14:paraId="7D28911D" w14:textId="77777777" w:rsidTr="00816A75">
        <w:tc>
          <w:tcPr>
            <w:tcW w:w="1869" w:type="dxa"/>
          </w:tcPr>
          <w:p w14:paraId="23DEBAC5" w14:textId="77777777" w:rsidR="00B5185B" w:rsidRPr="00570B26" w:rsidRDefault="00B5185B" w:rsidP="00B5185B">
            <w:pPr>
              <w:spacing w:after="120" w:line="240" w:lineRule="auto"/>
              <w:ind w:left="0" w:right="0"/>
              <w:jc w:val="center"/>
              <w:rPr>
                <w:rFonts w:asciiTheme="minorHAnsi" w:eastAsia="Times New Roman" w:hAnsiTheme="minorHAnsi" w:cs="Times New Roman"/>
                <w:b/>
                <w:color w:val="000000"/>
                <w:sz w:val="16"/>
                <w:szCs w:val="16"/>
              </w:rPr>
            </w:pPr>
            <w:r>
              <w:rPr>
                <w:rFonts w:asciiTheme="minorHAnsi" w:hAnsiTheme="minorHAnsi"/>
                <w:color w:val="000000"/>
                <w:sz w:val="20"/>
              </w:rPr>
              <w:t>2</w:t>
            </w:r>
          </w:p>
        </w:tc>
        <w:tc>
          <w:tcPr>
            <w:tcW w:w="1657" w:type="dxa"/>
          </w:tcPr>
          <w:p w14:paraId="32AFE1AC" w14:textId="77777777" w:rsidR="00B5185B" w:rsidRPr="00570B26" w:rsidRDefault="00B5185B" w:rsidP="00B5185B">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color w:val="000000"/>
                <w:sz w:val="20"/>
              </w:rPr>
              <w:t>EFRR</w:t>
            </w:r>
          </w:p>
        </w:tc>
        <w:tc>
          <w:tcPr>
            <w:tcW w:w="1898" w:type="dxa"/>
          </w:tcPr>
          <w:p w14:paraId="20714F9D" w14:textId="77777777" w:rsidR="00B5185B" w:rsidRPr="00570B26" w:rsidRDefault="00B5185B" w:rsidP="00B5185B">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color w:val="000000"/>
                <w:sz w:val="20"/>
              </w:rPr>
              <w:t>Cel szczegółowy 2.1</w:t>
            </w:r>
          </w:p>
        </w:tc>
        <w:tc>
          <w:tcPr>
            <w:tcW w:w="1204" w:type="dxa"/>
          </w:tcPr>
          <w:p w14:paraId="3608027E" w14:textId="106149E5" w:rsidR="00B5185B" w:rsidRPr="002B6588" w:rsidRDefault="00566239" w:rsidP="002B6588">
            <w:pPr>
              <w:spacing w:after="120" w:line="240" w:lineRule="auto"/>
              <w:ind w:left="0" w:right="0"/>
              <w:jc w:val="center"/>
              <w:rPr>
                <w:rFonts w:ascii="Trebuchet MS" w:hAnsi="Trebuchet MS"/>
                <w:sz w:val="20"/>
              </w:rPr>
            </w:pPr>
            <w:r>
              <w:rPr>
                <w:rFonts w:ascii="Trebuchet MS" w:hAnsi="Trebuchet MS"/>
                <w:sz w:val="20"/>
              </w:rPr>
              <w:t>48</w:t>
            </w:r>
          </w:p>
        </w:tc>
        <w:tc>
          <w:tcPr>
            <w:tcW w:w="2658" w:type="dxa"/>
          </w:tcPr>
          <w:p w14:paraId="6C54680C" w14:textId="77777777" w:rsidR="00B5185B" w:rsidRPr="00570B26" w:rsidRDefault="00B5185B" w:rsidP="00B5185B">
            <w:pPr>
              <w:spacing w:after="120" w:line="240" w:lineRule="auto"/>
              <w:ind w:left="0" w:right="0"/>
              <w:rPr>
                <w:rFonts w:asciiTheme="minorHAnsi" w:eastAsia="Times New Roman" w:hAnsiTheme="minorHAnsi" w:cs="Times New Roman"/>
                <w:b/>
                <w:color w:val="000000"/>
                <w:sz w:val="16"/>
                <w:szCs w:val="16"/>
              </w:rPr>
            </w:pPr>
          </w:p>
        </w:tc>
      </w:tr>
    </w:tbl>
    <w:p w14:paraId="1853F003" w14:textId="77777777" w:rsidR="009A0D85" w:rsidRDefault="009A0D85" w:rsidP="009A0D85">
      <w:pPr>
        <w:rPr>
          <w:rFonts w:asciiTheme="minorHAnsi" w:hAnsiTheme="minorHAnsi"/>
        </w:rPr>
      </w:pPr>
    </w:p>
    <w:p w14:paraId="672B5AE9" w14:textId="77777777" w:rsidR="009A0D85" w:rsidRDefault="009A0D85" w:rsidP="009A0D85">
      <w:pPr>
        <w:spacing w:before="0" w:line="240" w:lineRule="auto"/>
        <w:ind w:left="0" w:right="0"/>
        <w:jc w:val="left"/>
        <w:rPr>
          <w:rFonts w:asciiTheme="minorHAnsi" w:hAnsiTheme="minorHAnsi"/>
        </w:rPr>
      </w:pPr>
      <w:r>
        <w:br w:type="page"/>
      </w:r>
    </w:p>
    <w:p w14:paraId="054B82DA" w14:textId="77777777" w:rsidR="009A0D85" w:rsidRPr="008727F2" w:rsidRDefault="009A0D85" w:rsidP="009A0D85">
      <w:pPr>
        <w:spacing w:before="240" w:after="240" w:line="240" w:lineRule="auto"/>
        <w:ind w:left="709" w:hanging="709"/>
        <w:rPr>
          <w:rFonts w:asciiTheme="minorHAnsi" w:hAnsiTheme="minorHAnsi"/>
          <w:sz w:val="24"/>
          <w:szCs w:val="24"/>
        </w:rPr>
      </w:pPr>
      <w:r>
        <w:rPr>
          <w:rFonts w:asciiTheme="minorHAnsi" w:hAnsiTheme="minorHAnsi"/>
          <w:b/>
          <w:sz w:val="24"/>
        </w:rPr>
        <w:lastRenderedPageBreak/>
        <w:t>2.2.2.</w:t>
      </w:r>
      <w:r>
        <w:rPr>
          <w:rFonts w:asciiTheme="minorHAnsi" w:hAnsiTheme="minorHAnsi"/>
          <w:b/>
          <w:sz w:val="24"/>
        </w:rPr>
        <w:tab/>
        <w:t xml:space="preserve">Cel szczegółowy </w:t>
      </w:r>
      <w:r>
        <w:rPr>
          <w:rFonts w:asciiTheme="minorHAnsi" w:hAnsiTheme="minorHAnsi"/>
          <w:sz w:val="24"/>
        </w:rPr>
        <w:t xml:space="preserve"> (dla każdego wybranego celu szczegółowego, priorytetów, z wyłączeniem pomocy technicznej)</w:t>
      </w:r>
    </w:p>
    <w:p w14:paraId="3CE78F61" w14:textId="77777777" w:rsidR="009A0D85" w:rsidRPr="00D80606" w:rsidRDefault="009A0D85" w:rsidP="009A0D85">
      <w:pPr>
        <w:ind w:left="0"/>
        <w:rPr>
          <w:rFonts w:asciiTheme="minorHAnsi" w:hAnsiTheme="minorHAnsi"/>
          <w:color w:val="000000"/>
        </w:rPr>
      </w:pPr>
      <w:r w:rsidRPr="00D80606">
        <w:rPr>
          <w:rFonts w:asciiTheme="minorHAnsi" w:hAnsiTheme="minorHAnsi"/>
          <w:color w:val="000000"/>
        </w:rPr>
        <w:t>Podstawa: art. 17 ust. 4 lit. e</w:t>
      </w:r>
    </w:p>
    <w:p w14:paraId="1A746032" w14:textId="19B39494" w:rsidR="00375F6C" w:rsidRPr="00EB444C" w:rsidRDefault="00375F6C" w:rsidP="00173920">
      <w:pPr>
        <w:pStyle w:val="CE-Headline4"/>
      </w:pPr>
      <w:bookmarkStart w:id="101" w:name="_Toc61245873"/>
      <w:bookmarkStart w:id="102" w:name="_Toc71036606"/>
      <w:r>
        <w:t xml:space="preserve">PO2 – </w:t>
      </w:r>
      <w:r>
        <w:tab/>
        <w:t>(iv) Promowanie działań na rzecz dostosowania do zmian klimatu, przeciwdziałania ryzyku i odporności na katastrofy naturalne,</w:t>
      </w:r>
      <w:bookmarkEnd w:id="101"/>
      <w:r>
        <w:t xml:space="preserve"> z uwzględnieniem podejść opartych na ekosystemach</w:t>
      </w:r>
      <w:bookmarkEnd w:id="102"/>
      <w:r>
        <w:t xml:space="preserve"> </w:t>
      </w:r>
    </w:p>
    <w:p w14:paraId="7D9B1D7A" w14:textId="607A261B" w:rsidR="009A0D85" w:rsidRDefault="009A0D85" w:rsidP="00FA23B4">
      <w:pPr>
        <w:spacing w:before="240" w:after="240" w:line="240" w:lineRule="auto"/>
        <w:ind w:left="709" w:hanging="709"/>
        <w:jc w:val="left"/>
        <w:rPr>
          <w:rFonts w:asciiTheme="minorHAnsi" w:hAnsiTheme="minorHAnsi"/>
          <w:b/>
          <w:sz w:val="24"/>
          <w:szCs w:val="24"/>
        </w:rPr>
      </w:pPr>
      <w:r>
        <w:rPr>
          <w:rFonts w:asciiTheme="minorHAnsi" w:hAnsiTheme="minorHAnsi"/>
          <w:b/>
          <w:sz w:val="24"/>
        </w:rPr>
        <w:t>2.2.2.1 Powiązane rodzaje działań i ich planowany wkład w osiągnięcie odpowiednio celów szczegółowych i strategii makroregionalnych i strategii dotyczących basenów morskich</w:t>
      </w:r>
    </w:p>
    <w:p w14:paraId="42C6BDD1" w14:textId="77777777" w:rsidR="009A0D85" w:rsidRPr="00D80606" w:rsidRDefault="009A0D85" w:rsidP="009A0D85">
      <w:pPr>
        <w:ind w:left="0"/>
        <w:rPr>
          <w:rFonts w:asciiTheme="minorHAnsi" w:hAnsiTheme="minorHAnsi"/>
          <w:color w:val="000000"/>
        </w:rPr>
      </w:pPr>
      <w:r w:rsidRPr="00D80606">
        <w:rPr>
          <w:rFonts w:asciiTheme="minorHAnsi" w:hAnsiTheme="minorHAnsi"/>
          <w:color w:val="000000"/>
        </w:rPr>
        <w:t>Podstawa: art. 17 ust. 4 lit. e pkt i, artykuł 17 ust. 9 lit. c pkt ii</w:t>
      </w:r>
    </w:p>
    <w:p w14:paraId="5D6CD55D" w14:textId="77777777" w:rsidR="009A0D85" w:rsidRPr="00D80606" w:rsidRDefault="009A0D85" w:rsidP="009A0D85">
      <w:pPr>
        <w:ind w:left="0"/>
        <w:rPr>
          <w:rFonts w:asciiTheme="minorHAnsi" w:hAnsiTheme="minorHAnsi"/>
        </w:rPr>
      </w:pPr>
      <w:r w:rsidRPr="00D80606">
        <w:rPr>
          <w:rFonts w:asciiTheme="minorHAnsi" w:hAnsiTheme="minorHAnsi"/>
        </w:rPr>
        <w:t>Pole tekstowe [7000]</w:t>
      </w:r>
    </w:p>
    <w:tbl>
      <w:tblPr>
        <w:tblStyle w:val="Tabela-Siatka"/>
        <w:tblW w:w="0" w:type="auto"/>
        <w:tblLook w:val="04A0" w:firstRow="1" w:lastRow="0" w:firstColumn="1" w:lastColumn="0" w:noHBand="0" w:noVBand="1"/>
      </w:tblPr>
      <w:tblGrid>
        <w:gridCol w:w="9060"/>
      </w:tblGrid>
      <w:tr w:rsidR="009A0D85" w:rsidRPr="00A557D8" w14:paraId="7A329AB6" w14:textId="77777777" w:rsidTr="00816A75">
        <w:tc>
          <w:tcPr>
            <w:tcW w:w="9060" w:type="dxa"/>
          </w:tcPr>
          <w:p w14:paraId="334233D7" w14:textId="3C1E19D3" w:rsidR="009A0D85" w:rsidRPr="00D80606" w:rsidRDefault="00EB1C9F" w:rsidP="00816A75">
            <w:pPr>
              <w:ind w:left="0"/>
              <w:rPr>
                <w:rFonts w:asciiTheme="minorHAnsi" w:hAnsiTheme="minorHAnsi"/>
                <w:b/>
                <w:color w:val="000000"/>
                <w:sz w:val="26"/>
                <w:szCs w:val="26"/>
              </w:rPr>
            </w:pPr>
            <w:r w:rsidRPr="00D80606">
              <w:rPr>
                <w:rFonts w:asciiTheme="minorHAnsi" w:hAnsiTheme="minorHAnsi"/>
                <w:b/>
                <w:color w:val="000000"/>
                <w:sz w:val="26"/>
                <w:szCs w:val="26"/>
              </w:rPr>
              <w:t>Cel szczegółowy 2.2: Zwiększ</w:t>
            </w:r>
            <w:r w:rsidR="003805A1" w:rsidRPr="00D80606">
              <w:rPr>
                <w:rFonts w:asciiTheme="minorHAnsi" w:hAnsiTheme="minorHAnsi"/>
                <w:b/>
                <w:color w:val="000000"/>
                <w:sz w:val="26"/>
                <w:szCs w:val="26"/>
              </w:rPr>
              <w:t>e</w:t>
            </w:r>
            <w:r w:rsidRPr="00D80606">
              <w:rPr>
                <w:rFonts w:asciiTheme="minorHAnsi" w:hAnsiTheme="minorHAnsi"/>
                <w:b/>
                <w:color w:val="000000"/>
                <w:sz w:val="26"/>
                <w:szCs w:val="26"/>
              </w:rPr>
              <w:t>nie odporności na zmiany klimatu</w:t>
            </w:r>
          </w:p>
          <w:p w14:paraId="0DCB9DE5" w14:textId="77777777" w:rsidR="00EB1C9F" w:rsidRPr="00D80606" w:rsidRDefault="00EB1C9F" w:rsidP="00D80606">
            <w:pPr>
              <w:ind w:left="0" w:right="25"/>
              <w:jc w:val="left"/>
              <w:rPr>
                <w:rFonts w:asciiTheme="minorHAnsi" w:hAnsiTheme="minorHAnsi"/>
                <w:sz w:val="24"/>
                <w:szCs w:val="24"/>
              </w:rPr>
            </w:pPr>
            <w:r w:rsidRPr="00D80606">
              <w:rPr>
                <w:rFonts w:asciiTheme="minorHAnsi" w:hAnsiTheme="minorHAnsi"/>
                <w:b/>
                <w:sz w:val="24"/>
                <w:szCs w:val="24"/>
              </w:rPr>
              <w:t>Potrzeby terytorialne Europy Środkowej</w:t>
            </w:r>
            <w:r w:rsidRPr="00D80606">
              <w:rPr>
                <w:rFonts w:asciiTheme="minorHAnsi" w:hAnsiTheme="minorHAnsi"/>
                <w:sz w:val="24"/>
                <w:szCs w:val="24"/>
              </w:rPr>
              <w:t xml:space="preserve"> </w:t>
            </w:r>
          </w:p>
          <w:p w14:paraId="651C6242" w14:textId="231386DE" w:rsidR="00D655BF" w:rsidRPr="00D80606" w:rsidRDefault="008A0194" w:rsidP="00D80606">
            <w:pPr>
              <w:ind w:left="0" w:right="25"/>
              <w:jc w:val="left"/>
              <w:rPr>
                <w:rFonts w:asciiTheme="minorHAnsi" w:hAnsiTheme="minorHAnsi"/>
                <w:sz w:val="24"/>
                <w:szCs w:val="24"/>
              </w:rPr>
            </w:pPr>
            <w:r w:rsidRPr="00D80606">
              <w:rPr>
                <w:rFonts w:asciiTheme="minorHAnsi" w:hAnsiTheme="minorHAnsi"/>
                <w:sz w:val="24"/>
                <w:szCs w:val="24"/>
              </w:rPr>
              <w:t>Europa Środkowa stoi w obliczu poważnych wyzwań związanych ze zmianami klimatu. Skrajne warunki atmosferyczne, np. fale upałów, ulewne opady, zwiększają ryzyko i skutkują powodziami, osunięciami</w:t>
            </w:r>
            <w:r w:rsidR="00731B5F" w:rsidRPr="00D80606">
              <w:rPr>
                <w:rFonts w:asciiTheme="minorHAnsi" w:hAnsiTheme="minorHAnsi"/>
                <w:sz w:val="24"/>
                <w:szCs w:val="24"/>
              </w:rPr>
              <w:t xml:space="preserve"> ziemi/</w:t>
            </w:r>
            <w:r w:rsidR="00A53FF2" w:rsidRPr="00D80606">
              <w:rPr>
                <w:rFonts w:asciiTheme="minorHAnsi" w:hAnsiTheme="minorHAnsi"/>
                <w:sz w:val="24"/>
                <w:szCs w:val="24"/>
              </w:rPr>
              <w:t xml:space="preserve">osuwiskami </w:t>
            </w:r>
            <w:r w:rsidRPr="00D80606">
              <w:rPr>
                <w:rFonts w:asciiTheme="minorHAnsi" w:hAnsiTheme="minorHAnsi"/>
                <w:sz w:val="24"/>
                <w:szCs w:val="24"/>
              </w:rPr>
              <w:t>i coraz częściej okresami upałów i suszy. Ze względu na poważne skutki takich zjawisk dla środowiska naturalnego, społeczeństwa, gospodarki i zdrowia ludzi regiony Europy Środkowej powinny zwiększyć swoją odporność na zmiany klimatu. Zgodnie z ramami koncepcyjnymi Wspólnego Centrum Badawczego (WCR) dotyczącymi odporności, jest ona definiowana jako zdolność do stawienia czoła wstrząsom i trwałym zmianom strukturalnym w taki sposób, że dobrobyt społeczny jest zachowany, bez szkody dla dziedzictwa dla przyszłych pokoleń (Manca, Benczur i Giovannini, 2017).</w:t>
            </w:r>
          </w:p>
          <w:p w14:paraId="5775050D" w14:textId="7DD03F55" w:rsidR="00EB1C9F" w:rsidRPr="00D80606" w:rsidRDefault="00D655BF" w:rsidP="00D80606">
            <w:pPr>
              <w:ind w:left="0" w:right="25"/>
              <w:jc w:val="left"/>
              <w:rPr>
                <w:rFonts w:asciiTheme="minorHAnsi" w:hAnsiTheme="minorHAnsi"/>
                <w:b/>
                <w:sz w:val="24"/>
                <w:szCs w:val="24"/>
                <w:highlight w:val="yellow"/>
              </w:rPr>
            </w:pPr>
            <w:r w:rsidRPr="00D80606">
              <w:rPr>
                <w:rFonts w:asciiTheme="minorHAnsi" w:hAnsiTheme="minorHAnsi"/>
                <w:sz w:val="24"/>
                <w:szCs w:val="24"/>
              </w:rPr>
              <w:t>Zmiany klimatu wywołują jednak niezwykle zróżnicowane skutki w różnych regionach i sektorach. Dlatego działania adaptacyjne powinny uwzględniać specyficzne aspekty terytorialne. Działania muszą być dostosowane na poziomie lokalnym, tak żeby możliwe było wdrożenie wykonalnych rozwiązań o charakterze zintegrowanym, które będzie można powielać w innych regionach Europy Środkowej o zbliżonej charakterystyce. Zagadnienia związane ze zmianami klimatu muszą zostać bezwzględnie włączone do planowania strategicznego opartego na ryzyku i działań zwiększających odporność.  Powyższe dotyczy szeregu różnych zagrożeń naturalnych, w tym upałów w miastach, powodzi, osuwisk, pożarów lasów i suszy, w tym niedoboru wody.</w:t>
            </w:r>
          </w:p>
          <w:p w14:paraId="3F4F99AA" w14:textId="77777777" w:rsidR="008A0194" w:rsidRPr="00D80606" w:rsidRDefault="008A0194" w:rsidP="00D80606">
            <w:pPr>
              <w:ind w:left="0" w:right="25"/>
              <w:jc w:val="left"/>
              <w:rPr>
                <w:rFonts w:asciiTheme="minorHAnsi" w:hAnsiTheme="minorHAnsi"/>
                <w:b/>
                <w:sz w:val="24"/>
                <w:szCs w:val="24"/>
                <w:highlight w:val="yellow"/>
              </w:rPr>
            </w:pPr>
          </w:p>
          <w:p w14:paraId="6BC6F5B5" w14:textId="77777777" w:rsidR="00880BAD" w:rsidRPr="00D80606" w:rsidRDefault="00880BAD" w:rsidP="00D80606">
            <w:pPr>
              <w:ind w:left="0" w:right="25"/>
              <w:jc w:val="left"/>
              <w:rPr>
                <w:rFonts w:asciiTheme="minorHAnsi" w:hAnsiTheme="minorHAnsi"/>
                <w:b/>
                <w:sz w:val="24"/>
                <w:szCs w:val="24"/>
              </w:rPr>
            </w:pPr>
            <w:r w:rsidRPr="00D80606">
              <w:rPr>
                <w:rFonts w:asciiTheme="minorHAnsi" w:hAnsiTheme="minorHAnsi"/>
                <w:b/>
                <w:sz w:val="24"/>
                <w:szCs w:val="24"/>
              </w:rPr>
              <w:t xml:space="preserve">Działania w zakresie współpracy transnarodowej </w:t>
            </w:r>
          </w:p>
          <w:p w14:paraId="4ACD109F" w14:textId="42864A36" w:rsidR="00880BAD" w:rsidRPr="00D80606" w:rsidRDefault="00880BAD" w:rsidP="00D80606">
            <w:pPr>
              <w:ind w:left="0" w:right="25"/>
              <w:jc w:val="left"/>
              <w:rPr>
                <w:rFonts w:asciiTheme="minorHAnsi" w:hAnsiTheme="minorHAnsi"/>
                <w:sz w:val="24"/>
                <w:szCs w:val="24"/>
              </w:rPr>
            </w:pPr>
            <w:r w:rsidRPr="00D80606">
              <w:rPr>
                <w:rFonts w:asciiTheme="minorHAnsi" w:hAnsiTheme="minorHAnsi"/>
                <w:sz w:val="24"/>
                <w:szCs w:val="24"/>
              </w:rPr>
              <w:t xml:space="preserve">Zgodnie z celami sformułowanymi w Europejskim Zielonym Ładzie, w ramach niniejszego celu szczegółowego wsparcie z programu Interreg EUROPA </w:t>
            </w:r>
            <w:r w:rsidRPr="00D80606">
              <w:rPr>
                <w:rFonts w:asciiTheme="minorHAnsi" w:hAnsiTheme="minorHAnsi"/>
                <w:sz w:val="24"/>
                <w:szCs w:val="24"/>
              </w:rPr>
              <w:lastRenderedPageBreak/>
              <w:t>ŚRODKOWA będzie przyznawane na współpracę transnarodową, której celem jest wzmacnianie uczenia się na temat polityki i zdolności regionalnych w zakresie odporności klimatycznej w skali całego obszaru objętego programem. Działania powinny kłaść nacisk na zrównoważone, oparte na ekosystemie rozwiązania i podejścia do adaptacji do zmian klimatycznych, a potencjalną modernizację infrastruktury powinny traktować jako ostateczność. W stosownych przypadkach środki adaptacyjne powinny unikać potencjalnych oddziaływań hydromorfologicznych na zbiorniki wodne. Dopuszczalne działania w ramach współpracy obejmują opracowanie i wdrożenie strategii, planów działania, narzędzi, szkoleń, działań pilotażowych i powiązanych rozwiązań. Działania powinny odnosić</w:t>
            </w:r>
            <w:r w:rsidR="00731B5F" w:rsidRPr="00D80606">
              <w:rPr>
                <w:rFonts w:asciiTheme="minorHAnsi" w:hAnsiTheme="minorHAnsi"/>
                <w:sz w:val="24"/>
                <w:szCs w:val="24"/>
              </w:rPr>
              <w:t xml:space="preserve"> się</w:t>
            </w:r>
            <w:r w:rsidRPr="00D80606">
              <w:rPr>
                <w:rFonts w:asciiTheme="minorHAnsi" w:hAnsiTheme="minorHAnsi"/>
                <w:sz w:val="24"/>
                <w:szCs w:val="24"/>
              </w:rPr>
              <w:t xml:space="preserve"> do wyzwań, przed którymi stoją terytoria, w celu łagodzenia skutków środowiskowych i społeczno-gospodarczych zmian klimatu i powiązanego ryzyka przez rozwój sposobów podejścia opartych na współpracy. Dzięki temu regiony i miasta Europy Środkowej zdobędą dodatkowe zdolności do realizacji działań dostosowawczych do zmian klimatu w zależności od ich specyficznych uwarunkowań terytorialnych.</w:t>
            </w:r>
          </w:p>
          <w:p w14:paraId="380384F2" w14:textId="3DDDE4D0" w:rsidR="00880BAD" w:rsidRPr="00D80606" w:rsidRDefault="00E5384C" w:rsidP="00D80606">
            <w:pPr>
              <w:ind w:left="0" w:right="25"/>
              <w:jc w:val="left"/>
              <w:rPr>
                <w:rFonts w:asciiTheme="minorHAnsi" w:hAnsiTheme="minorHAnsi"/>
                <w:sz w:val="24"/>
                <w:szCs w:val="24"/>
              </w:rPr>
            </w:pPr>
            <w:r w:rsidRPr="00E5384C">
              <w:rPr>
                <w:rFonts w:asciiTheme="minorHAnsi" w:hAnsiTheme="minorHAnsi"/>
                <w:sz w:val="24"/>
                <w:szCs w:val="24"/>
              </w:rPr>
              <w:t>Konkretyzując</w:t>
            </w:r>
            <w:r w:rsidR="00880BAD" w:rsidRPr="00D80606">
              <w:rPr>
                <w:rFonts w:asciiTheme="minorHAnsi" w:hAnsiTheme="minorHAnsi"/>
                <w:sz w:val="24"/>
                <w:szCs w:val="24"/>
              </w:rPr>
              <w:t>, program będzie finansował działania w następujących dziedzinach (prezentowana lista nie jest katalogiem zamkniętym):</w:t>
            </w:r>
          </w:p>
          <w:p w14:paraId="7A1001F1" w14:textId="77777777" w:rsidR="00880BAD" w:rsidRPr="00D80606" w:rsidRDefault="00880BAD" w:rsidP="00D80606">
            <w:pPr>
              <w:pStyle w:val="Akapitzlist"/>
              <w:numPr>
                <w:ilvl w:val="0"/>
                <w:numId w:val="42"/>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 xml:space="preserve">Odporność na zmiany klimatu i działania adaptacyjne </w:t>
            </w:r>
          </w:p>
          <w:p w14:paraId="53276612" w14:textId="77777777" w:rsidR="00880BAD" w:rsidRPr="00D80606" w:rsidRDefault="00880BAD" w:rsidP="00D80606">
            <w:pPr>
              <w:pStyle w:val="Akapitzlist"/>
              <w:numPr>
                <w:ilvl w:val="0"/>
                <w:numId w:val="42"/>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 xml:space="preserve">Krajobrazy odporne na zmiany klimatu i planowanie urbanistyczne </w:t>
            </w:r>
          </w:p>
          <w:p w14:paraId="2983B38E" w14:textId="7179E1E0" w:rsidR="00880BAD" w:rsidRPr="00D80606" w:rsidRDefault="004A159E" w:rsidP="00D80606">
            <w:pPr>
              <w:pStyle w:val="Akapitzlist"/>
              <w:numPr>
                <w:ilvl w:val="0"/>
                <w:numId w:val="42"/>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Odporność na ekstremalne zjawiska pogodowe i związane z nimi zagrożenia (opady deszczu, powodzie, osunięcia ziemi, upały, susze, niedobory wody, pożary itp.)</w:t>
            </w:r>
          </w:p>
          <w:p w14:paraId="3C8C2175" w14:textId="69A45284" w:rsidR="00880BAD" w:rsidRPr="00D80606" w:rsidRDefault="00880BAD" w:rsidP="00D80606">
            <w:pPr>
              <w:pStyle w:val="Akapitzlist"/>
              <w:numPr>
                <w:ilvl w:val="0"/>
                <w:numId w:val="42"/>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 xml:space="preserve">Świadomość ryzyka, zapobieganie i zarządzanie ryzykiem </w:t>
            </w:r>
          </w:p>
          <w:p w14:paraId="66EC5B4B" w14:textId="77777777" w:rsidR="00880BAD" w:rsidRPr="00D80606" w:rsidRDefault="00880BAD" w:rsidP="00D80606">
            <w:pPr>
              <w:pStyle w:val="Akapitzlist"/>
              <w:numPr>
                <w:ilvl w:val="0"/>
                <w:numId w:val="42"/>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Społeczno-gospodarcze i zdrowotne skutki zmian klimatu</w:t>
            </w:r>
          </w:p>
          <w:p w14:paraId="14774BA1" w14:textId="77777777" w:rsidR="00880BAD" w:rsidRPr="00D80606" w:rsidRDefault="00880BAD" w:rsidP="00D80606">
            <w:pPr>
              <w:ind w:left="0" w:right="25"/>
              <w:jc w:val="left"/>
              <w:rPr>
                <w:rFonts w:asciiTheme="minorHAnsi" w:hAnsiTheme="minorHAnsi"/>
                <w:sz w:val="24"/>
                <w:szCs w:val="24"/>
              </w:rPr>
            </w:pPr>
          </w:p>
          <w:p w14:paraId="3F9D0ADF" w14:textId="77777777" w:rsidR="00880BAD" w:rsidRPr="00D80606" w:rsidRDefault="00880BAD" w:rsidP="00D80606">
            <w:pPr>
              <w:spacing w:before="80" w:after="80"/>
              <w:ind w:left="0" w:right="0"/>
              <w:jc w:val="left"/>
              <w:rPr>
                <w:rFonts w:ascii="Trebuchet MS" w:eastAsiaTheme="minorHAnsi" w:hAnsi="Trebuchet MS" w:cstheme="minorBidi"/>
                <w:b/>
                <w:sz w:val="24"/>
                <w:szCs w:val="24"/>
                <w:u w:val="single"/>
              </w:rPr>
            </w:pPr>
            <w:r w:rsidRPr="00D80606">
              <w:rPr>
                <w:rFonts w:ascii="Trebuchet MS" w:hAnsi="Trebuchet MS"/>
                <w:b/>
                <w:sz w:val="24"/>
                <w:szCs w:val="24"/>
                <w:u w:val="single"/>
              </w:rPr>
              <w:t>Przykłady wspieranych działań (prezentowana lista nie jest katalogiem zamkniętym):</w:t>
            </w:r>
          </w:p>
          <w:p w14:paraId="06B6ED60" w14:textId="77777777" w:rsidR="00880BAD" w:rsidRPr="00D80606" w:rsidRDefault="00880BAD" w:rsidP="00D80606">
            <w:pPr>
              <w:pStyle w:val="Akapitzlist"/>
              <w:numPr>
                <w:ilvl w:val="0"/>
                <w:numId w:val="43"/>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Zwiększanie świadomości i informowanie decydentów politycznych o lokalnych i regionalnych implikacjach zmian klimatycznych w celu wzmacniania lepszego zrozumienia i uwzględniania kwestii związanych ze zmianami klimatycznymi do projektów polityki i ich realizacji</w:t>
            </w:r>
          </w:p>
          <w:p w14:paraId="32BD1F9E" w14:textId="66FF811F" w:rsidR="00880BAD" w:rsidRPr="00D80606" w:rsidRDefault="00880BAD" w:rsidP="00D80606">
            <w:pPr>
              <w:pStyle w:val="Akapitzlist"/>
              <w:numPr>
                <w:ilvl w:val="0"/>
                <w:numId w:val="43"/>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Opracowywanie zintegrowanych strategii i rozwiązań w celu poprawy zdolności Europy Środkowej do przygotowania i dostosowania się do zmian klimatycznych i ich negatywnego wpływu na społeczeństwo, gospodarkę i środowisko (np. poprzez uwzględnienie różnych aspektów odpornych ekosystemów)</w:t>
            </w:r>
          </w:p>
          <w:p w14:paraId="4ADC95B9" w14:textId="3FF2FBF7" w:rsidR="00C96445" w:rsidRPr="00D80606" w:rsidRDefault="00880BAD" w:rsidP="00D80606">
            <w:pPr>
              <w:pStyle w:val="Akapitzlist"/>
              <w:numPr>
                <w:ilvl w:val="0"/>
                <w:numId w:val="43"/>
              </w:numPr>
              <w:ind w:right="23"/>
              <w:contextualSpacing w:val="0"/>
              <w:jc w:val="left"/>
              <w:rPr>
                <w:rFonts w:asciiTheme="minorHAnsi" w:hAnsiTheme="minorHAnsi"/>
                <w:sz w:val="24"/>
                <w:szCs w:val="24"/>
              </w:rPr>
            </w:pPr>
            <w:r w:rsidRPr="00D80606">
              <w:rPr>
                <w:rFonts w:asciiTheme="minorHAnsi" w:hAnsiTheme="minorHAnsi"/>
                <w:sz w:val="24"/>
                <w:szCs w:val="24"/>
              </w:rPr>
              <w:t xml:space="preserve">Wymiana wiedzy i dobrych praktyk dotyczących ekosystemów opartych na </w:t>
            </w:r>
            <w:r w:rsidRPr="00D80606">
              <w:rPr>
                <w:rFonts w:asciiTheme="minorHAnsi" w:hAnsiTheme="minorHAnsi"/>
                <w:sz w:val="24"/>
                <w:szCs w:val="24"/>
              </w:rPr>
              <w:lastRenderedPageBreak/>
              <w:t>działaniach dostosowujących do zmian klimatu i realizowanie działań pilotażowych na rzecz odbudowy odpornych ekosystemów, np. rzek i obszarów podmokłych, obszarów rolnych i leśnych, różnorodności biologicznej, krajobrazów, odporności na zmiany klimatu, modelowania i prognozowania</w:t>
            </w:r>
          </w:p>
          <w:p w14:paraId="78B74F7F" w14:textId="1507756E" w:rsidR="00880BAD" w:rsidRPr="00D80606" w:rsidRDefault="00880BAD" w:rsidP="00D80606">
            <w:pPr>
              <w:pStyle w:val="Akapitzlist"/>
              <w:numPr>
                <w:ilvl w:val="0"/>
                <w:numId w:val="43"/>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 xml:space="preserve">Opracowywanie i wdrażanie zintegrowanych strategii i planów działania w dziedzinie klimatu, które poprawiają świadomość ryzyka i odporność miast i regionów Europy Środkowej (np. w odniesieniu do miejskich wysp ciepła, powodzi błyskawicznych, pożarów, zazielenienia) </w:t>
            </w:r>
          </w:p>
          <w:p w14:paraId="2B71ADC7" w14:textId="508C95ED" w:rsidR="00880BAD" w:rsidRPr="00D80606" w:rsidRDefault="00880BAD" w:rsidP="00D80606">
            <w:pPr>
              <w:pStyle w:val="Akapitzlist"/>
              <w:numPr>
                <w:ilvl w:val="0"/>
                <w:numId w:val="43"/>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Przeprowadzanie testów rozwiązań dostosowujących do zmian klimatu przez realizację działań pilotażowych, które łączą aspekty technologiczne, ekologiczne, społeczne, kulturowe, związane z zarządzaniem i finansowe. W działaniach pilotażowych należy wykorzystywać dobre praktyki, które są dostępne na poziomie lokalnym, krajowym lub europejskim.</w:t>
            </w:r>
          </w:p>
          <w:p w14:paraId="432481D6" w14:textId="57C3A47F" w:rsidR="00880BAD" w:rsidRPr="00D80606" w:rsidRDefault="00880BAD" w:rsidP="00D80606">
            <w:pPr>
              <w:pStyle w:val="Akapitzlist"/>
              <w:numPr>
                <w:ilvl w:val="0"/>
                <w:numId w:val="43"/>
              </w:numPr>
              <w:ind w:right="23"/>
              <w:contextualSpacing w:val="0"/>
              <w:jc w:val="left"/>
              <w:rPr>
                <w:rFonts w:asciiTheme="minorHAnsi" w:hAnsiTheme="minorHAnsi"/>
                <w:sz w:val="24"/>
                <w:szCs w:val="24"/>
              </w:rPr>
            </w:pPr>
            <w:r w:rsidRPr="00D80606">
              <w:rPr>
                <w:rFonts w:asciiTheme="minorHAnsi" w:hAnsiTheme="minorHAnsi"/>
                <w:sz w:val="24"/>
                <w:szCs w:val="24"/>
              </w:rPr>
              <w:t>Doskonalenie kompetencji cyfrowych i koordynacja działań właściwych interesariuszy w celu zarządzania ryzykiem klimatycznym (np. przez harmonizację i dzielenie się danymi, prognozowanie i systemy wczesnego ostrzegania, modelowanie, odporność klimatyczną)</w:t>
            </w:r>
          </w:p>
          <w:p w14:paraId="6A95C0B6" w14:textId="0DFE51E6" w:rsidR="00880BAD" w:rsidRPr="00D80606" w:rsidRDefault="00880BAD" w:rsidP="00D80606">
            <w:pPr>
              <w:pStyle w:val="Akapitzlist"/>
              <w:numPr>
                <w:ilvl w:val="0"/>
                <w:numId w:val="43"/>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Zwiększanie odporności klimatycznej infrastruktury krytycznej i obiektów dziedzictwa kulturowego/przyrodniczego poprzez lepsze przygotowanie na wypadek ryzyka i doskonalenie planów zarządzania ryzykiem</w:t>
            </w:r>
          </w:p>
          <w:p w14:paraId="0E0EFB62" w14:textId="2B1C7535" w:rsidR="00880BAD" w:rsidRPr="00D80606" w:rsidRDefault="00880BAD" w:rsidP="00D80606">
            <w:pPr>
              <w:pStyle w:val="Akapitzlist"/>
              <w:numPr>
                <w:ilvl w:val="0"/>
                <w:numId w:val="43"/>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 xml:space="preserve">Włączenie aspektów związanych ze zmianami klimatu do strategii gospodarki wodnej na poziomie lokalnym, regionalnym i ponadregionalnym (po uwzględnieniu na przykład jakości wody, powodzi, </w:t>
            </w:r>
            <w:r w:rsidR="00852870" w:rsidRPr="00D80606">
              <w:rPr>
                <w:rFonts w:asciiTheme="minorHAnsi" w:hAnsiTheme="minorHAnsi"/>
                <w:sz w:val="24"/>
                <w:szCs w:val="24"/>
              </w:rPr>
              <w:t xml:space="preserve">zarządzania wodą </w:t>
            </w:r>
            <w:r w:rsidR="00A86A47" w:rsidRPr="00D80606">
              <w:rPr>
                <w:rFonts w:asciiTheme="minorHAnsi" w:hAnsiTheme="minorHAnsi"/>
                <w:sz w:val="24"/>
                <w:szCs w:val="24"/>
              </w:rPr>
              <w:t xml:space="preserve">opadową </w:t>
            </w:r>
            <w:r w:rsidR="00751354" w:rsidRPr="00D80606">
              <w:rPr>
                <w:rFonts w:asciiTheme="minorHAnsi" w:hAnsiTheme="minorHAnsi"/>
                <w:sz w:val="24"/>
                <w:szCs w:val="24"/>
              </w:rPr>
              <w:t xml:space="preserve">i retencją wodną, </w:t>
            </w:r>
            <w:r w:rsidRPr="00D80606">
              <w:rPr>
                <w:rFonts w:asciiTheme="minorHAnsi" w:hAnsiTheme="minorHAnsi"/>
                <w:sz w:val="24"/>
                <w:szCs w:val="24"/>
              </w:rPr>
              <w:t>braku dostępności wody</w:t>
            </w:r>
            <w:r w:rsidR="00751354" w:rsidRPr="00D80606">
              <w:rPr>
                <w:rFonts w:asciiTheme="minorHAnsi" w:hAnsiTheme="minorHAnsi"/>
                <w:sz w:val="24"/>
                <w:szCs w:val="24"/>
              </w:rPr>
              <w:t>,</w:t>
            </w:r>
            <w:r w:rsidRPr="00D80606">
              <w:rPr>
                <w:rFonts w:asciiTheme="minorHAnsi" w:hAnsiTheme="minorHAnsi"/>
                <w:sz w:val="24"/>
                <w:szCs w:val="24"/>
              </w:rPr>
              <w:t xml:space="preserve"> dostaw wody pitnej, w tym inteligentnej wyceny wody, wód podziemnych, prognozowania).</w:t>
            </w:r>
          </w:p>
          <w:p w14:paraId="6FCE9C57" w14:textId="77777777" w:rsidR="00880BAD" w:rsidRPr="00D80606" w:rsidRDefault="00880BAD" w:rsidP="00D80606">
            <w:pPr>
              <w:pStyle w:val="Akapitzlist"/>
              <w:numPr>
                <w:ilvl w:val="0"/>
                <w:numId w:val="43"/>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Dzielenie się wiedzą i opracowywanie rozwiązań w zakresie uodparniania na zmiany klimatu sektorów rolnictwa i leśnictwa w celu zwiększenia ich odporności na np. susze, zarazy, itp.</w:t>
            </w:r>
          </w:p>
          <w:p w14:paraId="6450A938" w14:textId="30CD59FE" w:rsidR="00880BAD" w:rsidRPr="00D80606" w:rsidRDefault="00880BAD" w:rsidP="00D80606">
            <w:pPr>
              <w:pStyle w:val="Akapitzlist"/>
              <w:numPr>
                <w:ilvl w:val="0"/>
                <w:numId w:val="43"/>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 xml:space="preserve">Opracowanie zintegrowanych strategii i rozwiązań na rzecz wzmocnienia usług ekosystemowych na rzecz zdrowia i dobrostanu ludzi w celu wsparcia odporności społecznej i przeciwdziałania społeczno-gospodarczym skutkom zmiany klimatu </w:t>
            </w:r>
          </w:p>
          <w:p w14:paraId="0578ADAD" w14:textId="2E474E71" w:rsidR="00CD6FCD" w:rsidRPr="00D80606" w:rsidRDefault="00880BAD" w:rsidP="00D80606">
            <w:pPr>
              <w:ind w:left="0" w:right="25"/>
              <w:jc w:val="left"/>
              <w:rPr>
                <w:rFonts w:asciiTheme="minorHAnsi" w:hAnsiTheme="minorHAnsi"/>
                <w:sz w:val="24"/>
                <w:szCs w:val="24"/>
              </w:rPr>
            </w:pPr>
            <w:r w:rsidRPr="00D80606">
              <w:rPr>
                <w:rFonts w:asciiTheme="minorHAnsi" w:hAnsiTheme="minorHAnsi"/>
                <w:sz w:val="24"/>
                <w:szCs w:val="24"/>
              </w:rPr>
              <w:t xml:space="preserve">W ramach działań należy dążyć do synergii z europejskimi i krajowymi instrumentami, w szczególności z Europejskim Zielonym Ładem. Powinny one wykorzystywać wyniki innych programów, np. Horyzont Europa, LIFE i innych, a także wykorzystywać inwestycje realizowane na przykład z krajowych i regionalnych programów EFRR lub Wspólnego Funduszu Transformacji. W stosownych przypadkach działania powinny mieć na celu uwzględnienie wyników </w:t>
            </w:r>
            <w:r w:rsidRPr="00D80606">
              <w:rPr>
                <w:rFonts w:asciiTheme="minorHAnsi" w:hAnsiTheme="minorHAnsi"/>
                <w:sz w:val="24"/>
                <w:szCs w:val="24"/>
              </w:rPr>
              <w:lastRenderedPageBreak/>
              <w:t>we wszystkich odpowiednich inwestycjach w ramach polityki spójności, zapewniając ich odporność na skutki zmian klimatu i klęski żywiołowe.</w:t>
            </w:r>
          </w:p>
          <w:p w14:paraId="1A3A49A1" w14:textId="483CC59D" w:rsidR="003C1BA9" w:rsidRPr="00D80606" w:rsidRDefault="00CD6FCD" w:rsidP="00D80606">
            <w:pPr>
              <w:ind w:left="0" w:right="25"/>
              <w:jc w:val="left"/>
              <w:rPr>
                <w:rFonts w:asciiTheme="minorHAnsi" w:hAnsiTheme="minorHAnsi"/>
                <w:sz w:val="24"/>
                <w:szCs w:val="24"/>
              </w:rPr>
            </w:pPr>
            <w:r w:rsidRPr="00D80606">
              <w:rPr>
                <w:rFonts w:asciiTheme="minorHAnsi" w:hAnsiTheme="minorHAnsi"/>
                <w:sz w:val="24"/>
                <w:szCs w:val="24"/>
              </w:rPr>
              <w:t>Działania powinny ponadto uwzględniać dotychczasowe inicjatywy, które mają tworzyć wartość dodaną na wszystkich poziomach (np. transnarodowe strategie dostosowawcze lub plany działania opracowane w ramach strategii makroregionalnych). Zachęca się także do udziału w uznanych inicjatywach o zasięgu międzynarodowym, np. w inicjatywie na rzecz wzmocnienia odporności miast (</w:t>
            </w:r>
            <w:r w:rsidRPr="008A72BA">
              <w:rPr>
                <w:rFonts w:asciiTheme="minorHAnsi" w:hAnsiTheme="minorHAnsi"/>
                <w:sz w:val="24"/>
                <w:szCs w:val="24"/>
              </w:rPr>
              <w:t>Making Cities Resilient</w:t>
            </w:r>
            <w:r w:rsidRPr="00D80606">
              <w:rPr>
                <w:rFonts w:asciiTheme="minorHAnsi" w:hAnsiTheme="minorHAnsi"/>
                <w:sz w:val="24"/>
                <w:szCs w:val="24"/>
              </w:rPr>
              <w:t>, Biuro NZ ds. Ograniczania Ryzyka Katastrof) lub inicjatywie 100</w:t>
            </w:r>
            <w:r w:rsidR="00BD74C0">
              <w:rPr>
                <w:rFonts w:asciiTheme="minorHAnsi" w:hAnsiTheme="minorHAnsi"/>
                <w:sz w:val="24"/>
                <w:szCs w:val="24"/>
              </w:rPr>
              <w:t xml:space="preserve"> </w:t>
            </w:r>
            <w:r w:rsidRPr="00D80606">
              <w:rPr>
                <w:rFonts w:asciiTheme="minorHAnsi" w:hAnsiTheme="minorHAnsi"/>
                <w:sz w:val="24"/>
                <w:szCs w:val="24"/>
              </w:rPr>
              <w:t xml:space="preserve">odpornych miast Fundacji im. Rockefellera (100 </w:t>
            </w:r>
            <w:r w:rsidRPr="008A72BA">
              <w:rPr>
                <w:rFonts w:asciiTheme="minorHAnsi" w:hAnsiTheme="minorHAnsi"/>
                <w:sz w:val="24"/>
                <w:szCs w:val="24"/>
              </w:rPr>
              <w:t>Resilient Cities</w:t>
            </w:r>
            <w:r w:rsidRPr="00D80606">
              <w:rPr>
                <w:rFonts w:asciiTheme="minorHAnsi" w:hAnsiTheme="minorHAnsi"/>
                <w:sz w:val="24"/>
                <w:szCs w:val="24"/>
              </w:rPr>
              <w:t>), które przyczynią się do zwiększenia widoczności regionu Europy Środkowej w agendzie dostosowania do zmian klimatu.</w:t>
            </w:r>
          </w:p>
          <w:p w14:paraId="2B994878" w14:textId="77777777" w:rsidR="00472458" w:rsidRPr="00D80606" w:rsidRDefault="00472458" w:rsidP="00D80606">
            <w:pPr>
              <w:ind w:left="0"/>
              <w:jc w:val="left"/>
              <w:rPr>
                <w:rFonts w:asciiTheme="minorHAnsi" w:hAnsiTheme="minorHAnsi"/>
                <w:color w:val="000000"/>
                <w:sz w:val="24"/>
                <w:szCs w:val="24"/>
              </w:rPr>
            </w:pPr>
          </w:p>
          <w:p w14:paraId="327DFFE9" w14:textId="77777777" w:rsidR="00AC3B9F" w:rsidRPr="00D80606" w:rsidRDefault="00472458" w:rsidP="00D80606">
            <w:pPr>
              <w:ind w:left="0" w:right="25"/>
              <w:jc w:val="left"/>
              <w:rPr>
                <w:rFonts w:asciiTheme="minorHAnsi" w:hAnsiTheme="minorHAnsi"/>
                <w:b/>
                <w:sz w:val="24"/>
                <w:szCs w:val="24"/>
              </w:rPr>
            </w:pPr>
            <w:r w:rsidRPr="00D80606">
              <w:rPr>
                <w:rFonts w:asciiTheme="minorHAnsi" w:hAnsiTheme="minorHAnsi"/>
                <w:b/>
                <w:sz w:val="24"/>
                <w:szCs w:val="24"/>
              </w:rPr>
              <w:t>Planowane wyniki</w:t>
            </w:r>
          </w:p>
          <w:p w14:paraId="26CF4FBC" w14:textId="77777777" w:rsidR="009A0D85" w:rsidRPr="008727F2" w:rsidRDefault="00751B61" w:rsidP="00D80606">
            <w:pPr>
              <w:ind w:left="0" w:right="25"/>
              <w:jc w:val="left"/>
              <w:rPr>
                <w:rFonts w:asciiTheme="minorHAnsi" w:hAnsiTheme="minorHAnsi"/>
                <w:i/>
                <w:color w:val="000000"/>
              </w:rPr>
            </w:pPr>
            <w:r w:rsidRPr="00D80606">
              <w:rPr>
                <w:rFonts w:asciiTheme="minorHAnsi" w:hAnsiTheme="minorHAnsi"/>
                <w:sz w:val="24"/>
                <w:szCs w:val="24"/>
              </w:rPr>
              <w:t>Działania w ramach współpracy transnarodowej będą służyć zwiększeniu zdolności i zdobywaniu wiedzy na temat polityki w celu wzmocnienia odporności i wczesnego przeciwdziałania niekorzystnym skutkom zmian klimatu w Europie Środkowej. Przyczynią się one także do poprawy koordynacji działań dostosowawczych i ograniczających ryzyko i będą prowadzić do szerszego zastosowania nowatorskich rozwiązań po ich przetestowaniu i potwierdzeniu w ramach działań pilotażowych. Oczekuje się, że w działaniach będą wykorzystywane fundusze przeznaczone na adaptację do zmian klimatu i wzmocnienie odporności w skali całej Europy Środkowej.</w:t>
            </w:r>
          </w:p>
        </w:tc>
      </w:tr>
    </w:tbl>
    <w:p w14:paraId="026639E6" w14:textId="77777777" w:rsidR="009A0D85" w:rsidRPr="00680741" w:rsidRDefault="009A0D85" w:rsidP="009A0D85">
      <w:pPr>
        <w:rPr>
          <w:rFonts w:asciiTheme="minorHAnsi" w:hAnsiTheme="minorHAnsi"/>
          <w:i/>
          <w:color w:val="000000"/>
        </w:rPr>
      </w:pPr>
    </w:p>
    <w:p w14:paraId="26C7D0BF" w14:textId="77777777" w:rsidR="009A0D85" w:rsidRPr="00D80606" w:rsidRDefault="009A0D85" w:rsidP="009A0D85">
      <w:pPr>
        <w:spacing w:before="240" w:after="240" w:line="240" w:lineRule="auto"/>
        <w:ind w:left="0"/>
        <w:rPr>
          <w:rFonts w:asciiTheme="minorHAnsi" w:hAnsiTheme="minorHAnsi"/>
          <w:b/>
          <w:sz w:val="24"/>
          <w:szCs w:val="24"/>
        </w:rPr>
      </w:pPr>
      <w:r w:rsidRPr="00D80606">
        <w:rPr>
          <w:rFonts w:asciiTheme="minorHAnsi" w:hAnsiTheme="minorHAnsi"/>
          <w:b/>
          <w:sz w:val="24"/>
          <w:szCs w:val="24"/>
        </w:rPr>
        <w:t>Dla programów INTERACT i ESPON:</w:t>
      </w:r>
    </w:p>
    <w:p w14:paraId="5A9FFEF6" w14:textId="77777777" w:rsidR="009A0D85" w:rsidRPr="00D80606" w:rsidRDefault="009A0D85" w:rsidP="009A0D85">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9 lit. c punkt i</w:t>
      </w:r>
    </w:p>
    <w:p w14:paraId="47051076" w14:textId="77777777" w:rsidR="009A0D85" w:rsidRPr="00D80606" w:rsidRDefault="009A0D85" w:rsidP="009A0D85">
      <w:pPr>
        <w:spacing w:before="240" w:after="240" w:line="240" w:lineRule="auto"/>
        <w:ind w:left="0"/>
        <w:rPr>
          <w:rFonts w:asciiTheme="minorHAnsi" w:hAnsiTheme="minorHAnsi"/>
          <w:color w:val="000000"/>
          <w:szCs w:val="24"/>
        </w:rPr>
      </w:pPr>
      <w:r w:rsidRPr="00D80606">
        <w:rPr>
          <w:rFonts w:asciiTheme="minorHAnsi" w:hAnsiTheme="minorHAnsi"/>
          <w:color w:val="000000"/>
        </w:rPr>
        <w:t>Definicja pojedynczego beneficjenta lub zamkniętej listy beneficjentów i procedura przyznawania środków finansowych.</w:t>
      </w:r>
    </w:p>
    <w:p w14:paraId="28556AB1" w14:textId="77777777" w:rsidR="00AC3B9F" w:rsidRPr="00D80606" w:rsidRDefault="00AC3B9F" w:rsidP="009A0D85">
      <w:pPr>
        <w:spacing w:before="240" w:after="240" w:line="240" w:lineRule="auto"/>
        <w:ind w:left="0"/>
        <w:rPr>
          <w:rFonts w:asciiTheme="minorHAnsi" w:hAnsiTheme="minorHAnsi"/>
          <w:color w:val="000000"/>
          <w:szCs w:val="24"/>
        </w:rPr>
      </w:pPr>
      <w:r w:rsidRPr="00D80606">
        <w:rPr>
          <w:rFonts w:asciiTheme="minorHAnsi" w:hAnsiTheme="minorHAnsi"/>
          <w:color w:val="000000"/>
        </w:rPr>
        <w:t>Pole tekstowe [7000]</w:t>
      </w:r>
    </w:p>
    <w:p w14:paraId="6FEACA63" w14:textId="77777777" w:rsidR="009A0D85" w:rsidRPr="00D80606" w:rsidRDefault="00AC3B9F" w:rsidP="009A0D85">
      <w:pPr>
        <w:pBdr>
          <w:top w:val="single" w:sz="4" w:space="1" w:color="000000"/>
          <w:left w:val="single" w:sz="4" w:space="4" w:color="000000"/>
          <w:bottom w:val="single" w:sz="4" w:space="1" w:color="000000"/>
          <w:right w:val="single" w:sz="4" w:space="4" w:color="000000"/>
        </w:pBdr>
        <w:ind w:left="142"/>
        <w:rPr>
          <w:rFonts w:asciiTheme="minorHAnsi" w:hAnsiTheme="minorHAnsi"/>
          <w:color w:val="000000"/>
          <w:sz w:val="24"/>
          <w:szCs w:val="24"/>
        </w:rPr>
      </w:pPr>
      <w:r w:rsidRPr="00D80606">
        <w:rPr>
          <w:rFonts w:asciiTheme="minorHAnsi" w:hAnsiTheme="minorHAnsi"/>
          <w:color w:val="000000"/>
          <w:sz w:val="24"/>
          <w:szCs w:val="24"/>
        </w:rPr>
        <w:t>Nie dotyczy.</w:t>
      </w:r>
    </w:p>
    <w:p w14:paraId="1D6319C0" w14:textId="77777777" w:rsidR="00AC3B9F" w:rsidRPr="00680741" w:rsidRDefault="00AC3B9F" w:rsidP="009A0D85">
      <w:pPr>
        <w:spacing w:before="240" w:after="240" w:line="240" w:lineRule="auto"/>
        <w:ind w:left="709" w:hanging="709"/>
        <w:rPr>
          <w:rFonts w:asciiTheme="minorHAnsi" w:hAnsiTheme="minorHAnsi"/>
          <w:b/>
          <w:sz w:val="24"/>
          <w:szCs w:val="24"/>
        </w:rPr>
      </w:pPr>
    </w:p>
    <w:p w14:paraId="7DDF8FDF" w14:textId="77777777" w:rsidR="009A0D85" w:rsidRPr="008727F2" w:rsidRDefault="009A0D85" w:rsidP="009A0D85">
      <w:pPr>
        <w:spacing w:before="240" w:after="240" w:line="240" w:lineRule="auto"/>
        <w:ind w:left="709" w:hanging="709"/>
        <w:rPr>
          <w:rFonts w:asciiTheme="minorHAnsi" w:hAnsiTheme="minorHAnsi"/>
          <w:b/>
          <w:sz w:val="24"/>
          <w:szCs w:val="24"/>
        </w:rPr>
      </w:pPr>
      <w:r>
        <w:rPr>
          <w:rFonts w:asciiTheme="minorHAnsi" w:hAnsiTheme="minorHAnsi"/>
          <w:b/>
          <w:sz w:val="24"/>
        </w:rPr>
        <w:t>2.2.2.2</w:t>
      </w:r>
      <w:r>
        <w:rPr>
          <w:rFonts w:asciiTheme="minorHAnsi" w:hAnsiTheme="minorHAnsi"/>
          <w:b/>
          <w:sz w:val="24"/>
        </w:rPr>
        <w:tab/>
        <w:t>Wskaźniki</w:t>
      </w:r>
    </w:p>
    <w:p w14:paraId="049F55E7" w14:textId="77777777" w:rsidR="009A0D85" w:rsidRPr="00D80606" w:rsidRDefault="009A0D85" w:rsidP="009A0D85">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ii, art. 17 ust. 9 lit. c punkt iii</w:t>
      </w:r>
    </w:p>
    <w:p w14:paraId="6FAF2401" w14:textId="77777777" w:rsidR="002124A0" w:rsidRPr="009A0D85" w:rsidRDefault="002124A0" w:rsidP="002124A0">
      <w:pPr>
        <w:spacing w:before="240" w:after="240" w:line="240" w:lineRule="auto"/>
        <w:ind w:left="0"/>
        <w:rPr>
          <w:rFonts w:asciiTheme="minorHAnsi" w:hAnsiTheme="minorHAnsi"/>
          <w:szCs w:val="24"/>
        </w:rPr>
      </w:pPr>
      <w:r>
        <w:rPr>
          <w:rFonts w:asciiTheme="minorHAnsi" w:hAnsiTheme="minorHAnsi"/>
        </w:rPr>
        <w:t>Tabela 2: Wskaźniki produktów</w:t>
      </w:r>
    </w:p>
    <w:tbl>
      <w:tblPr>
        <w:tblStyle w:val="18"/>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4"/>
        <w:gridCol w:w="1331"/>
        <w:gridCol w:w="1418"/>
        <w:gridCol w:w="2202"/>
        <w:gridCol w:w="1688"/>
        <w:gridCol w:w="1018"/>
        <w:gridCol w:w="1075"/>
      </w:tblGrid>
      <w:tr w:rsidR="002124A0" w:rsidRPr="008727F2" w14:paraId="0B32240C" w14:textId="77777777" w:rsidTr="00FA23B4">
        <w:trPr>
          <w:trHeight w:val="836"/>
          <w:tblHeader/>
        </w:trPr>
        <w:tc>
          <w:tcPr>
            <w:tcW w:w="398" w:type="pct"/>
          </w:tcPr>
          <w:p w14:paraId="2D053732"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lastRenderedPageBreak/>
              <w:t xml:space="preserve">Priorytet </w:t>
            </w:r>
          </w:p>
        </w:tc>
        <w:tc>
          <w:tcPr>
            <w:tcW w:w="467" w:type="pct"/>
          </w:tcPr>
          <w:p w14:paraId="3C234451"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szczegółowy</w:t>
            </w:r>
          </w:p>
        </w:tc>
        <w:tc>
          <w:tcPr>
            <w:tcW w:w="534" w:type="pct"/>
          </w:tcPr>
          <w:p w14:paraId="3000B862"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IDENTYFIKATOR</w:t>
            </w:r>
          </w:p>
          <w:p w14:paraId="26AE6317"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[5]</w:t>
            </w:r>
          </w:p>
        </w:tc>
        <w:tc>
          <w:tcPr>
            <w:tcW w:w="1267" w:type="pct"/>
            <w:shd w:val="clear" w:color="auto" w:fill="auto"/>
          </w:tcPr>
          <w:p w14:paraId="0B1C3AE2"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Wskaźnik </w:t>
            </w:r>
          </w:p>
        </w:tc>
        <w:tc>
          <w:tcPr>
            <w:tcW w:w="1000" w:type="pct"/>
          </w:tcPr>
          <w:p w14:paraId="550B9531"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Jednostka miary</w:t>
            </w:r>
          </w:p>
          <w:p w14:paraId="38674F45"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[255]</w:t>
            </w:r>
          </w:p>
        </w:tc>
        <w:tc>
          <w:tcPr>
            <w:tcW w:w="652" w:type="pct"/>
            <w:shd w:val="clear" w:color="auto" w:fill="auto"/>
          </w:tcPr>
          <w:p w14:paraId="6E58D511"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Kamień milowy (2024)</w:t>
            </w:r>
          </w:p>
          <w:p w14:paraId="60F2E68F"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[200]</w:t>
            </w:r>
          </w:p>
        </w:tc>
        <w:tc>
          <w:tcPr>
            <w:tcW w:w="682" w:type="pct"/>
            <w:shd w:val="clear" w:color="auto" w:fill="auto"/>
          </w:tcPr>
          <w:p w14:paraId="6183DFAD"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końcowy (2029)</w:t>
            </w:r>
          </w:p>
          <w:p w14:paraId="1B28E6FC"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[200]</w:t>
            </w:r>
          </w:p>
        </w:tc>
      </w:tr>
      <w:tr w:rsidR="002124A0" w:rsidRPr="001B3725" w14:paraId="0C117D5F" w14:textId="77777777" w:rsidTr="00FA23B4">
        <w:trPr>
          <w:trHeight w:val="579"/>
        </w:trPr>
        <w:tc>
          <w:tcPr>
            <w:tcW w:w="398" w:type="pct"/>
          </w:tcPr>
          <w:p w14:paraId="1D9D9350" w14:textId="77777777" w:rsidR="002124A0" w:rsidRPr="001B3B78" w:rsidRDefault="00D71C22"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467" w:type="pct"/>
          </w:tcPr>
          <w:p w14:paraId="41292B52"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2.2</w:t>
            </w:r>
          </w:p>
        </w:tc>
        <w:tc>
          <w:tcPr>
            <w:tcW w:w="534" w:type="pct"/>
          </w:tcPr>
          <w:p w14:paraId="636FB8A9"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83 RCO</w:t>
            </w:r>
          </w:p>
        </w:tc>
        <w:tc>
          <w:tcPr>
            <w:tcW w:w="1267" w:type="pct"/>
            <w:shd w:val="clear" w:color="auto" w:fill="auto"/>
          </w:tcPr>
          <w:p w14:paraId="500C1D5C" w14:textId="77777777" w:rsidR="002124A0" w:rsidRPr="004A05DB"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Wspólnie opracowane strategie i plany działania</w:t>
            </w:r>
          </w:p>
        </w:tc>
        <w:tc>
          <w:tcPr>
            <w:tcW w:w="1000" w:type="pct"/>
          </w:tcPr>
          <w:p w14:paraId="7BCF36D3" w14:textId="77777777" w:rsidR="002124A0" w:rsidRPr="001B3B78"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Strategia/plan działania</w:t>
            </w:r>
          </w:p>
        </w:tc>
        <w:tc>
          <w:tcPr>
            <w:tcW w:w="652" w:type="pct"/>
            <w:shd w:val="clear" w:color="auto" w:fill="auto"/>
          </w:tcPr>
          <w:p w14:paraId="577725C7"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10F11724"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r>
      <w:tr w:rsidR="002124A0" w:rsidRPr="008727F2" w14:paraId="02B52203" w14:textId="77777777" w:rsidTr="00FA23B4">
        <w:trPr>
          <w:trHeight w:val="579"/>
        </w:trPr>
        <w:tc>
          <w:tcPr>
            <w:tcW w:w="398" w:type="pct"/>
          </w:tcPr>
          <w:p w14:paraId="16036F52" w14:textId="77777777" w:rsidR="002124A0" w:rsidRPr="001B3B78" w:rsidRDefault="00D71C22"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467" w:type="pct"/>
          </w:tcPr>
          <w:p w14:paraId="1CD24D0C"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2.2</w:t>
            </w:r>
          </w:p>
        </w:tc>
        <w:tc>
          <w:tcPr>
            <w:tcW w:w="534" w:type="pct"/>
          </w:tcPr>
          <w:p w14:paraId="4AE277F0"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84 RCO</w:t>
            </w:r>
          </w:p>
        </w:tc>
        <w:tc>
          <w:tcPr>
            <w:tcW w:w="1267" w:type="pct"/>
            <w:shd w:val="clear" w:color="auto" w:fill="auto"/>
          </w:tcPr>
          <w:p w14:paraId="6D1FFCF7" w14:textId="77777777" w:rsidR="002124A0" w:rsidRPr="004A05DB"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Działania pilotażowe opracowane wspólnie i realizowane w ramach projektów</w:t>
            </w:r>
          </w:p>
        </w:tc>
        <w:tc>
          <w:tcPr>
            <w:tcW w:w="1000" w:type="pct"/>
          </w:tcPr>
          <w:p w14:paraId="7F387435" w14:textId="77777777" w:rsidR="002124A0" w:rsidRPr="001B3B78"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Działanie pilotażowe</w:t>
            </w:r>
          </w:p>
        </w:tc>
        <w:tc>
          <w:tcPr>
            <w:tcW w:w="652" w:type="pct"/>
            <w:shd w:val="clear" w:color="auto" w:fill="auto"/>
          </w:tcPr>
          <w:p w14:paraId="33CF056C"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280FD6EE"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r>
      <w:tr w:rsidR="002124A0" w:rsidRPr="008727F2" w14:paraId="08610B2C" w14:textId="77777777" w:rsidTr="00FA23B4">
        <w:trPr>
          <w:trHeight w:val="579"/>
        </w:trPr>
        <w:tc>
          <w:tcPr>
            <w:tcW w:w="398" w:type="pct"/>
          </w:tcPr>
          <w:p w14:paraId="79E66D61" w14:textId="77777777" w:rsidR="002124A0" w:rsidRPr="001B3B78" w:rsidRDefault="00D71C22"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467" w:type="pct"/>
          </w:tcPr>
          <w:p w14:paraId="17FF2D76" w14:textId="77777777" w:rsidR="002124A0" w:rsidRPr="001B3B78" w:rsidRDefault="002124A0" w:rsidP="002124A0">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2.2</w:t>
            </w:r>
          </w:p>
        </w:tc>
        <w:tc>
          <w:tcPr>
            <w:tcW w:w="534" w:type="pct"/>
          </w:tcPr>
          <w:p w14:paraId="337FBECA" w14:textId="77777777" w:rsidR="002124A0"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87 RCO</w:t>
            </w:r>
          </w:p>
        </w:tc>
        <w:tc>
          <w:tcPr>
            <w:tcW w:w="1267" w:type="pct"/>
            <w:shd w:val="clear" w:color="auto" w:fill="auto"/>
          </w:tcPr>
          <w:p w14:paraId="46C72AB1" w14:textId="77777777" w:rsidR="002124A0" w:rsidRPr="001B3B78"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Organizacje współpracujące ponad granicami</w:t>
            </w:r>
          </w:p>
        </w:tc>
        <w:tc>
          <w:tcPr>
            <w:tcW w:w="1000" w:type="pct"/>
          </w:tcPr>
          <w:p w14:paraId="61BDA3F0" w14:textId="77777777" w:rsidR="002124A0" w:rsidRPr="001B3B78"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Organizacja</w:t>
            </w:r>
          </w:p>
        </w:tc>
        <w:tc>
          <w:tcPr>
            <w:tcW w:w="652" w:type="pct"/>
            <w:shd w:val="clear" w:color="auto" w:fill="auto"/>
          </w:tcPr>
          <w:p w14:paraId="43470DA5"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17E35C85"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r>
      <w:tr w:rsidR="002124A0" w:rsidRPr="008727F2" w14:paraId="22974E3F" w14:textId="77777777" w:rsidTr="00FA23B4">
        <w:trPr>
          <w:trHeight w:val="579"/>
        </w:trPr>
        <w:tc>
          <w:tcPr>
            <w:tcW w:w="398" w:type="pct"/>
          </w:tcPr>
          <w:p w14:paraId="0DF65AF3" w14:textId="77777777" w:rsidR="002124A0" w:rsidRPr="001B3B78" w:rsidRDefault="00D71C22"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467" w:type="pct"/>
          </w:tcPr>
          <w:p w14:paraId="3F0BC616" w14:textId="77777777" w:rsidR="002124A0" w:rsidRPr="001B3B78" w:rsidRDefault="002124A0" w:rsidP="002124A0">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2.2</w:t>
            </w:r>
          </w:p>
        </w:tc>
        <w:tc>
          <w:tcPr>
            <w:tcW w:w="534" w:type="pct"/>
          </w:tcPr>
          <w:p w14:paraId="41BB2178" w14:textId="77777777" w:rsidR="002124A0"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116 RCO</w:t>
            </w:r>
          </w:p>
        </w:tc>
        <w:tc>
          <w:tcPr>
            <w:tcW w:w="1267" w:type="pct"/>
            <w:shd w:val="clear" w:color="auto" w:fill="auto"/>
          </w:tcPr>
          <w:p w14:paraId="42FFCC83" w14:textId="77777777" w:rsidR="002124A0" w:rsidRPr="001B3B78"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Wspólnie opracowane rozwiązania</w:t>
            </w:r>
          </w:p>
        </w:tc>
        <w:tc>
          <w:tcPr>
            <w:tcW w:w="1000" w:type="pct"/>
          </w:tcPr>
          <w:p w14:paraId="6A55A836" w14:textId="77777777" w:rsidR="002124A0" w:rsidRPr="001B3B78"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Rozwiązanie</w:t>
            </w:r>
          </w:p>
        </w:tc>
        <w:tc>
          <w:tcPr>
            <w:tcW w:w="652" w:type="pct"/>
            <w:shd w:val="clear" w:color="auto" w:fill="auto"/>
          </w:tcPr>
          <w:p w14:paraId="73230BA9"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22834FC0"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r>
    </w:tbl>
    <w:p w14:paraId="21A18408" w14:textId="77777777" w:rsidR="002124A0" w:rsidRPr="009A0D85" w:rsidRDefault="002124A0" w:rsidP="002124A0">
      <w:pPr>
        <w:spacing w:before="240" w:after="240" w:line="240" w:lineRule="auto"/>
        <w:ind w:left="0"/>
        <w:rPr>
          <w:rFonts w:asciiTheme="minorHAnsi" w:hAnsiTheme="minorHAnsi"/>
          <w:szCs w:val="24"/>
        </w:rPr>
      </w:pPr>
      <w:r>
        <w:rPr>
          <w:rFonts w:asciiTheme="minorHAnsi" w:hAnsiTheme="minorHAnsi"/>
        </w:rPr>
        <w:t>Tabela 3: Wskaźniki wyników</w:t>
      </w:r>
    </w:p>
    <w:tbl>
      <w:tblPr>
        <w:tblStyle w:val="1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53"/>
        <w:gridCol w:w="1083"/>
        <w:gridCol w:w="1151"/>
        <w:gridCol w:w="1313"/>
        <w:gridCol w:w="1086"/>
        <w:gridCol w:w="777"/>
        <w:gridCol w:w="892"/>
        <w:gridCol w:w="738"/>
        <w:gridCol w:w="1266"/>
        <w:gridCol w:w="577"/>
      </w:tblGrid>
      <w:tr w:rsidR="002124A0" w:rsidRPr="008727F2" w14:paraId="2E90D3B9" w14:textId="77777777" w:rsidTr="00985BFB">
        <w:trPr>
          <w:trHeight w:val="947"/>
        </w:trPr>
        <w:tc>
          <w:tcPr>
            <w:tcW w:w="393" w:type="pct"/>
          </w:tcPr>
          <w:p w14:paraId="4C52E2C6"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Priorytet </w:t>
            </w:r>
          </w:p>
        </w:tc>
        <w:tc>
          <w:tcPr>
            <w:tcW w:w="423" w:type="pct"/>
          </w:tcPr>
          <w:p w14:paraId="22D2A4CA"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szczegółowy</w:t>
            </w:r>
          </w:p>
        </w:tc>
        <w:tc>
          <w:tcPr>
            <w:tcW w:w="452" w:type="pct"/>
          </w:tcPr>
          <w:p w14:paraId="0608B194"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IDENTYFIKATOR</w:t>
            </w:r>
          </w:p>
        </w:tc>
        <w:tc>
          <w:tcPr>
            <w:tcW w:w="805" w:type="pct"/>
            <w:shd w:val="clear" w:color="auto" w:fill="auto"/>
          </w:tcPr>
          <w:p w14:paraId="1691263A"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Wskaźnik </w:t>
            </w:r>
          </w:p>
        </w:tc>
        <w:tc>
          <w:tcPr>
            <w:tcW w:w="629" w:type="pct"/>
          </w:tcPr>
          <w:p w14:paraId="59744008"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Jednostka miary</w:t>
            </w:r>
          </w:p>
        </w:tc>
        <w:tc>
          <w:tcPr>
            <w:tcW w:w="380" w:type="pct"/>
          </w:tcPr>
          <w:p w14:paraId="5BC95F40"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Podstawa</w:t>
            </w:r>
          </w:p>
        </w:tc>
        <w:tc>
          <w:tcPr>
            <w:tcW w:w="503" w:type="pct"/>
          </w:tcPr>
          <w:p w14:paraId="57580D1D"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Rok odniesienia</w:t>
            </w:r>
          </w:p>
        </w:tc>
        <w:tc>
          <w:tcPr>
            <w:tcW w:w="377" w:type="pct"/>
            <w:shd w:val="clear" w:color="auto" w:fill="auto"/>
          </w:tcPr>
          <w:p w14:paraId="67FBFCD5"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końcowy (2029)</w:t>
            </w:r>
          </w:p>
        </w:tc>
        <w:tc>
          <w:tcPr>
            <w:tcW w:w="562" w:type="pct"/>
            <w:shd w:val="clear" w:color="auto" w:fill="auto"/>
          </w:tcPr>
          <w:p w14:paraId="491F556A" w14:textId="77777777" w:rsidR="002124A0" w:rsidRPr="008503E7" w:rsidRDefault="002124A0" w:rsidP="00D22A6D">
            <w:pPr>
              <w:pBdr>
                <w:top w:val="nil"/>
                <w:left w:val="nil"/>
                <w:bottom w:val="nil"/>
                <w:right w:val="nil"/>
                <w:between w:val="nil"/>
              </w:pBdr>
              <w:spacing w:after="120" w:line="240" w:lineRule="auto"/>
              <w:ind w:left="0" w:right="0"/>
              <w:jc w:val="center"/>
              <w:rPr>
                <w:rFonts w:asciiTheme="minorHAnsi" w:hAnsiTheme="minorHAnsi"/>
                <w:b/>
                <w:color w:val="000000"/>
                <w:sz w:val="16"/>
                <w:szCs w:val="16"/>
              </w:rPr>
            </w:pPr>
            <w:r>
              <w:rPr>
                <w:rFonts w:asciiTheme="minorHAnsi" w:hAnsiTheme="minorHAnsi"/>
                <w:b/>
                <w:color w:val="000000"/>
                <w:sz w:val="16"/>
              </w:rPr>
              <w:t>Źródło danych</w:t>
            </w:r>
          </w:p>
        </w:tc>
        <w:tc>
          <w:tcPr>
            <w:tcW w:w="476" w:type="pct"/>
          </w:tcPr>
          <w:p w14:paraId="521C9BC6" w14:textId="77777777" w:rsidR="002124A0" w:rsidRPr="00570B26" w:rsidRDefault="002124A0" w:rsidP="00D22A6D">
            <w:pPr>
              <w:pBdr>
                <w:top w:val="nil"/>
                <w:left w:val="nil"/>
                <w:bottom w:val="nil"/>
                <w:right w:val="nil"/>
                <w:between w:val="nil"/>
              </w:pBdr>
              <w:spacing w:after="120" w:line="480" w:lineRule="auto"/>
              <w:ind w:left="0" w:right="0"/>
              <w:rPr>
                <w:rFonts w:asciiTheme="minorHAnsi" w:hAnsiTheme="minorHAnsi"/>
                <w:b/>
                <w:color w:val="000000"/>
                <w:sz w:val="16"/>
                <w:szCs w:val="16"/>
              </w:rPr>
            </w:pPr>
            <w:r>
              <w:rPr>
                <w:rFonts w:asciiTheme="minorHAnsi" w:hAnsiTheme="minorHAnsi"/>
                <w:b/>
                <w:color w:val="000000"/>
                <w:sz w:val="16"/>
              </w:rPr>
              <w:t>Uwagi</w:t>
            </w:r>
          </w:p>
        </w:tc>
      </w:tr>
      <w:tr w:rsidR="002124A0" w:rsidRPr="004854D7" w14:paraId="4CB53514" w14:textId="77777777" w:rsidTr="00985BFB">
        <w:trPr>
          <w:trHeight w:val="629"/>
        </w:trPr>
        <w:tc>
          <w:tcPr>
            <w:tcW w:w="393" w:type="pct"/>
          </w:tcPr>
          <w:p w14:paraId="05171D0D" w14:textId="77777777" w:rsidR="002124A0" w:rsidRPr="004854D7" w:rsidRDefault="00D71C22"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423" w:type="pct"/>
          </w:tcPr>
          <w:p w14:paraId="62C24214" w14:textId="77777777" w:rsidR="002124A0" w:rsidRPr="004854D7" w:rsidRDefault="002124A0" w:rsidP="002124A0">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2.2</w:t>
            </w:r>
          </w:p>
        </w:tc>
        <w:tc>
          <w:tcPr>
            <w:tcW w:w="452" w:type="pct"/>
          </w:tcPr>
          <w:p w14:paraId="516DE89C" w14:textId="77777777" w:rsidR="002124A0" w:rsidRPr="004854D7"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79 RCR</w:t>
            </w:r>
          </w:p>
        </w:tc>
        <w:tc>
          <w:tcPr>
            <w:tcW w:w="805" w:type="pct"/>
            <w:shd w:val="clear" w:color="auto" w:fill="auto"/>
          </w:tcPr>
          <w:p w14:paraId="00817F5E" w14:textId="77777777" w:rsidR="002124A0" w:rsidRPr="004A05DB"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Wspólne strategie i plany działania podejmowane przez organizacje</w:t>
            </w:r>
          </w:p>
        </w:tc>
        <w:tc>
          <w:tcPr>
            <w:tcW w:w="629" w:type="pct"/>
          </w:tcPr>
          <w:p w14:paraId="02FFF2B3" w14:textId="77777777" w:rsidR="002124A0" w:rsidRPr="004854D7"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Wspólna strategia / plan działania</w:t>
            </w:r>
          </w:p>
        </w:tc>
        <w:tc>
          <w:tcPr>
            <w:tcW w:w="380" w:type="pct"/>
          </w:tcPr>
          <w:p w14:paraId="300E5D53" w14:textId="77777777" w:rsidR="002124A0" w:rsidRPr="004854D7"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503" w:type="pct"/>
          </w:tcPr>
          <w:p w14:paraId="321F0325" w14:textId="77777777" w:rsidR="002124A0" w:rsidRPr="004854D7"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377" w:type="pct"/>
            <w:shd w:val="clear" w:color="auto" w:fill="auto"/>
          </w:tcPr>
          <w:p w14:paraId="6AC8604B" w14:textId="77777777" w:rsidR="002124A0" w:rsidRPr="004854D7"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p>
        </w:tc>
        <w:tc>
          <w:tcPr>
            <w:tcW w:w="562" w:type="pct"/>
            <w:shd w:val="clear" w:color="auto" w:fill="auto"/>
          </w:tcPr>
          <w:p w14:paraId="24230822" w14:textId="77777777" w:rsidR="002124A0" w:rsidRPr="004854D7"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System monitorowania programu</w:t>
            </w:r>
          </w:p>
        </w:tc>
        <w:tc>
          <w:tcPr>
            <w:tcW w:w="476" w:type="pct"/>
          </w:tcPr>
          <w:p w14:paraId="6EFBCB5A" w14:textId="77777777" w:rsidR="002124A0" w:rsidRPr="004854D7" w:rsidRDefault="002124A0" w:rsidP="00D22A6D">
            <w:pPr>
              <w:ind w:left="0" w:right="0"/>
              <w:rPr>
                <w:rFonts w:asciiTheme="minorHAnsi" w:hAnsiTheme="minorHAnsi"/>
                <w:color w:val="000000"/>
              </w:rPr>
            </w:pPr>
          </w:p>
        </w:tc>
      </w:tr>
      <w:tr w:rsidR="002124A0" w:rsidRPr="00D465BC" w14:paraId="7C8985B8" w14:textId="77777777" w:rsidTr="00985BFB">
        <w:trPr>
          <w:trHeight w:val="629"/>
        </w:trPr>
        <w:tc>
          <w:tcPr>
            <w:tcW w:w="393" w:type="pct"/>
          </w:tcPr>
          <w:p w14:paraId="5EC223FE" w14:textId="77777777" w:rsidR="002124A0" w:rsidRPr="00D465BC" w:rsidRDefault="00D71C22"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423" w:type="pct"/>
          </w:tcPr>
          <w:p w14:paraId="58EBBE69" w14:textId="77777777" w:rsidR="002124A0" w:rsidRPr="00D465BC"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2.2</w:t>
            </w:r>
          </w:p>
        </w:tc>
        <w:tc>
          <w:tcPr>
            <w:tcW w:w="452" w:type="pct"/>
          </w:tcPr>
          <w:p w14:paraId="66F494A3" w14:textId="77777777" w:rsidR="002124A0" w:rsidRPr="00D465BC"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84 RCR</w:t>
            </w:r>
          </w:p>
        </w:tc>
        <w:tc>
          <w:tcPr>
            <w:tcW w:w="805" w:type="pct"/>
            <w:shd w:val="clear" w:color="auto" w:fill="auto"/>
          </w:tcPr>
          <w:p w14:paraId="4FF730E4" w14:textId="77777777" w:rsidR="002124A0" w:rsidRPr="004A05DB"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Organizacje współpracujące ponad granicami po zakończeniu projektu</w:t>
            </w:r>
          </w:p>
        </w:tc>
        <w:tc>
          <w:tcPr>
            <w:tcW w:w="629" w:type="pct"/>
          </w:tcPr>
          <w:p w14:paraId="591B8872" w14:textId="77777777" w:rsidR="002124A0" w:rsidRPr="00D465BC"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Organizacja</w:t>
            </w:r>
          </w:p>
        </w:tc>
        <w:tc>
          <w:tcPr>
            <w:tcW w:w="380" w:type="pct"/>
          </w:tcPr>
          <w:p w14:paraId="104E73A7" w14:textId="77777777" w:rsidR="002124A0" w:rsidRPr="00D465BC"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503" w:type="pct"/>
          </w:tcPr>
          <w:p w14:paraId="2CB79946" w14:textId="77777777" w:rsidR="002124A0" w:rsidRPr="00D465BC"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377" w:type="pct"/>
            <w:shd w:val="clear" w:color="auto" w:fill="auto"/>
          </w:tcPr>
          <w:p w14:paraId="1A7FD079" w14:textId="77777777" w:rsidR="002124A0" w:rsidRPr="00D465BC"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p>
        </w:tc>
        <w:tc>
          <w:tcPr>
            <w:tcW w:w="562" w:type="pct"/>
            <w:shd w:val="clear" w:color="auto" w:fill="auto"/>
          </w:tcPr>
          <w:p w14:paraId="346D74B8" w14:textId="77777777" w:rsidR="002124A0" w:rsidRPr="00D465BC"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System monitorowania programu</w:t>
            </w:r>
          </w:p>
        </w:tc>
        <w:tc>
          <w:tcPr>
            <w:tcW w:w="476" w:type="pct"/>
          </w:tcPr>
          <w:p w14:paraId="66238A9D" w14:textId="77777777" w:rsidR="002124A0" w:rsidRPr="00D465BC" w:rsidRDefault="002124A0" w:rsidP="00D22A6D">
            <w:pPr>
              <w:ind w:left="0" w:right="0"/>
              <w:rPr>
                <w:rFonts w:asciiTheme="minorHAnsi" w:hAnsiTheme="minorHAnsi"/>
                <w:color w:val="000000"/>
              </w:rPr>
            </w:pPr>
          </w:p>
        </w:tc>
      </w:tr>
      <w:tr w:rsidR="002124A0" w:rsidRPr="00D465BC" w14:paraId="12CD59AD" w14:textId="77777777" w:rsidTr="00985BFB">
        <w:trPr>
          <w:trHeight w:val="629"/>
        </w:trPr>
        <w:tc>
          <w:tcPr>
            <w:tcW w:w="393" w:type="pct"/>
          </w:tcPr>
          <w:p w14:paraId="42DBD822" w14:textId="77777777" w:rsidR="002124A0" w:rsidRPr="00D465BC" w:rsidRDefault="00D71C22"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423" w:type="pct"/>
          </w:tcPr>
          <w:p w14:paraId="06FF6699" w14:textId="77777777" w:rsidR="002124A0" w:rsidRPr="00D465BC" w:rsidRDefault="002124A0" w:rsidP="002124A0">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2.2</w:t>
            </w:r>
          </w:p>
        </w:tc>
        <w:tc>
          <w:tcPr>
            <w:tcW w:w="452" w:type="pct"/>
          </w:tcPr>
          <w:p w14:paraId="0F0FB1AF" w14:textId="77777777" w:rsidR="002124A0" w:rsidRPr="00D465BC"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104 RCR</w:t>
            </w:r>
          </w:p>
        </w:tc>
        <w:tc>
          <w:tcPr>
            <w:tcW w:w="805" w:type="pct"/>
            <w:shd w:val="clear" w:color="auto" w:fill="auto"/>
          </w:tcPr>
          <w:p w14:paraId="68203F98" w14:textId="77777777" w:rsidR="002124A0" w:rsidRPr="004A05DB"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Rozwiązania przyjmowane lub doskonalone przez organizacje</w:t>
            </w:r>
          </w:p>
        </w:tc>
        <w:tc>
          <w:tcPr>
            <w:tcW w:w="629" w:type="pct"/>
          </w:tcPr>
          <w:p w14:paraId="38348CD3" w14:textId="77777777" w:rsidR="002124A0" w:rsidRPr="00D465BC"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Rozwiązanie</w:t>
            </w:r>
          </w:p>
        </w:tc>
        <w:tc>
          <w:tcPr>
            <w:tcW w:w="380" w:type="pct"/>
          </w:tcPr>
          <w:p w14:paraId="530B55FD" w14:textId="77777777" w:rsidR="002124A0" w:rsidRPr="00D465BC"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503" w:type="pct"/>
          </w:tcPr>
          <w:p w14:paraId="74EEB4DB" w14:textId="77777777" w:rsidR="002124A0" w:rsidRPr="00D465BC"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377" w:type="pct"/>
            <w:shd w:val="clear" w:color="auto" w:fill="auto"/>
          </w:tcPr>
          <w:p w14:paraId="049D2F9F" w14:textId="77777777" w:rsidR="002124A0" w:rsidRPr="00D465BC"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p>
        </w:tc>
        <w:tc>
          <w:tcPr>
            <w:tcW w:w="562" w:type="pct"/>
            <w:shd w:val="clear" w:color="auto" w:fill="auto"/>
          </w:tcPr>
          <w:p w14:paraId="1D389632" w14:textId="77777777" w:rsidR="002124A0" w:rsidRPr="00D465BC"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System monitorowania programu</w:t>
            </w:r>
          </w:p>
        </w:tc>
        <w:tc>
          <w:tcPr>
            <w:tcW w:w="476" w:type="pct"/>
          </w:tcPr>
          <w:p w14:paraId="1EE6AED1" w14:textId="77777777" w:rsidR="002124A0" w:rsidRPr="00D465BC" w:rsidRDefault="002124A0" w:rsidP="00D22A6D">
            <w:pPr>
              <w:ind w:left="0" w:right="0"/>
              <w:rPr>
                <w:rFonts w:asciiTheme="minorHAnsi" w:hAnsiTheme="minorHAnsi"/>
                <w:color w:val="000000"/>
              </w:rPr>
            </w:pPr>
          </w:p>
        </w:tc>
      </w:tr>
    </w:tbl>
    <w:p w14:paraId="6AF5FBD7" w14:textId="77777777" w:rsidR="00A01B9B" w:rsidRDefault="00A01B9B" w:rsidP="009A0D85">
      <w:pPr>
        <w:spacing w:before="240" w:after="240" w:line="240" w:lineRule="auto"/>
        <w:ind w:left="709" w:hanging="709"/>
        <w:rPr>
          <w:rFonts w:asciiTheme="minorHAnsi" w:hAnsiTheme="minorHAnsi"/>
          <w:b/>
          <w:sz w:val="24"/>
          <w:szCs w:val="24"/>
          <w:lang w:val="en-GB"/>
        </w:rPr>
      </w:pPr>
    </w:p>
    <w:p w14:paraId="08258FFF" w14:textId="77777777" w:rsidR="00985BFB" w:rsidRDefault="00985BFB" w:rsidP="009A0D85">
      <w:pPr>
        <w:spacing w:before="240" w:after="240" w:line="240" w:lineRule="auto"/>
        <w:ind w:left="709" w:hanging="709"/>
        <w:rPr>
          <w:rFonts w:asciiTheme="minorHAnsi" w:hAnsiTheme="minorHAnsi"/>
          <w:b/>
          <w:sz w:val="24"/>
          <w:szCs w:val="24"/>
          <w:lang w:val="en-GB"/>
        </w:rPr>
      </w:pPr>
    </w:p>
    <w:p w14:paraId="79CB5792" w14:textId="77777777" w:rsidR="009A0D85" w:rsidRPr="00570B26" w:rsidRDefault="009A0D85" w:rsidP="009A0D85">
      <w:pPr>
        <w:spacing w:before="240" w:after="240" w:line="240" w:lineRule="auto"/>
        <w:ind w:left="709" w:hanging="709"/>
        <w:rPr>
          <w:rFonts w:asciiTheme="minorHAnsi" w:hAnsiTheme="minorHAnsi"/>
          <w:b/>
          <w:sz w:val="24"/>
          <w:szCs w:val="24"/>
        </w:rPr>
      </w:pPr>
      <w:r>
        <w:rPr>
          <w:rFonts w:asciiTheme="minorHAnsi" w:hAnsiTheme="minorHAnsi"/>
          <w:b/>
          <w:sz w:val="24"/>
        </w:rPr>
        <w:lastRenderedPageBreak/>
        <w:t>2.2.2.3</w:t>
      </w:r>
      <w:r>
        <w:rPr>
          <w:rFonts w:asciiTheme="minorHAnsi" w:hAnsiTheme="minorHAnsi"/>
          <w:b/>
          <w:sz w:val="24"/>
        </w:rPr>
        <w:tab/>
        <w:t>Główne grupy docelowe</w:t>
      </w:r>
    </w:p>
    <w:p w14:paraId="08EB6E9C" w14:textId="77777777" w:rsidR="009A0D85" w:rsidRPr="00D80606" w:rsidRDefault="009A0D85" w:rsidP="009A0D85">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iii, art. 17 ust. 9 lit. c punkt iv</w:t>
      </w:r>
    </w:p>
    <w:p w14:paraId="4AFEFFCF" w14:textId="77777777" w:rsidR="00A01B9B" w:rsidRPr="00D80606" w:rsidRDefault="00A01B9B" w:rsidP="009A0D85">
      <w:pPr>
        <w:spacing w:before="240" w:after="240" w:line="240" w:lineRule="auto"/>
        <w:ind w:left="0"/>
        <w:rPr>
          <w:rFonts w:asciiTheme="minorHAnsi" w:hAnsiTheme="minorHAnsi"/>
          <w:color w:val="000000"/>
          <w:szCs w:val="24"/>
        </w:rPr>
      </w:pPr>
      <w:r w:rsidRPr="00D80606">
        <w:rPr>
          <w:rFonts w:asciiTheme="minorHAnsi" w:hAnsiTheme="minorHAnsi"/>
          <w:color w:val="000000"/>
        </w:rPr>
        <w:t>Pole tekstowe [7000]</w:t>
      </w:r>
    </w:p>
    <w:p w14:paraId="33A87753" w14:textId="4FF05C5C" w:rsidR="00A01B9B" w:rsidRPr="00D80606" w:rsidRDefault="00A01B9B" w:rsidP="00D80606">
      <w:pPr>
        <w:pBdr>
          <w:top w:val="single" w:sz="4" w:space="1" w:color="000000"/>
          <w:left w:val="single" w:sz="4" w:space="4" w:color="000000"/>
          <w:bottom w:val="single" w:sz="4" w:space="1" w:color="000000"/>
          <w:right w:val="single" w:sz="4" w:space="4" w:color="000000"/>
        </w:pBdr>
        <w:ind w:left="142"/>
        <w:jc w:val="left"/>
        <w:rPr>
          <w:rFonts w:asciiTheme="minorHAnsi" w:hAnsiTheme="minorHAnsi"/>
          <w:sz w:val="24"/>
          <w:szCs w:val="24"/>
        </w:rPr>
      </w:pPr>
      <w:r w:rsidRPr="00D80606">
        <w:rPr>
          <w:rFonts w:asciiTheme="minorHAnsi" w:hAnsiTheme="minorHAnsi"/>
          <w:sz w:val="24"/>
          <w:szCs w:val="24"/>
        </w:rPr>
        <w:t>Grupami docelowymi działań objętych wsparciem mogą być zarówno osoby prywatne, jak i organizacje, które są zaangażowane w ich realizację lub są ich beneficjentami. W konsekwencji będą one zmotywowane do przyjmowania rozwiązań usprawniających realizację celu wzmocnienia odporności na zmiany klimatu i działań adaptacyjnych do zmian klimatycznych w regionach objętych programem Interreg EUROPA ŚRODKOWA. Grupy docelowe obejmują w szczególności sektor publiczny</w:t>
      </w:r>
      <w:r w:rsidRPr="00D80606">
        <w:rPr>
          <w:sz w:val="24"/>
          <w:szCs w:val="24"/>
        </w:rPr>
        <w:t xml:space="preserve"> (</w:t>
      </w:r>
      <w:r w:rsidRPr="00D80606">
        <w:rPr>
          <w:rFonts w:asciiTheme="minorHAnsi" w:hAnsiTheme="minorHAnsi"/>
          <w:sz w:val="24"/>
          <w:szCs w:val="24"/>
        </w:rPr>
        <w:t>w tym</w:t>
      </w:r>
      <w:r w:rsidRPr="00D80606">
        <w:rPr>
          <w:sz w:val="24"/>
          <w:szCs w:val="24"/>
        </w:rPr>
        <w:t xml:space="preserve"> </w:t>
      </w:r>
      <w:r w:rsidRPr="00D80606">
        <w:rPr>
          <w:rFonts w:asciiTheme="minorHAnsi" w:hAnsiTheme="minorHAnsi"/>
          <w:sz w:val="24"/>
          <w:szCs w:val="24"/>
        </w:rPr>
        <w:t>władze lokalne, regionalne i krajowe, decydentów, instytucje badawcze, operatorów infrastruktury, agencje rozwoju regionalnego, stowarzyszenia, szczególne grupy interesu, organizacje ratownicze, organizacje pozarządowe, organizacje edukacyjne i szkoleniowe, instytucje finansowe) oraz sektor prywatny</w:t>
      </w:r>
      <w:r w:rsidRPr="00D80606">
        <w:rPr>
          <w:sz w:val="24"/>
          <w:szCs w:val="24"/>
        </w:rPr>
        <w:t>.</w:t>
      </w:r>
      <w:r w:rsidRPr="00D80606">
        <w:rPr>
          <w:rFonts w:asciiTheme="minorHAnsi" w:hAnsiTheme="minorHAnsi"/>
          <w:sz w:val="24"/>
          <w:szCs w:val="24"/>
        </w:rPr>
        <w:t xml:space="preserve"> Grupami docelowymi są również wszystkie grupy ludności, które skorzystają z poprawionej odporności na zmiany klimatyczne na poziomie regionalnym i lokalnym.</w:t>
      </w:r>
    </w:p>
    <w:p w14:paraId="6B44E25C" w14:textId="77777777" w:rsidR="00930832" w:rsidRPr="00680741" w:rsidRDefault="00930832" w:rsidP="009A0D85">
      <w:pPr>
        <w:spacing w:before="240" w:after="240" w:line="240" w:lineRule="auto"/>
        <w:ind w:left="709" w:hanging="709"/>
        <w:rPr>
          <w:rFonts w:asciiTheme="minorHAnsi" w:hAnsiTheme="minorHAnsi"/>
          <w:b/>
          <w:sz w:val="24"/>
          <w:szCs w:val="24"/>
        </w:rPr>
      </w:pPr>
    </w:p>
    <w:p w14:paraId="4CACC8CD" w14:textId="77777777" w:rsidR="009A0D85" w:rsidRPr="008727F2" w:rsidRDefault="009A0D85" w:rsidP="009A0D85">
      <w:pPr>
        <w:spacing w:before="240" w:after="240" w:line="240" w:lineRule="auto"/>
        <w:ind w:left="709" w:hanging="709"/>
        <w:rPr>
          <w:rFonts w:asciiTheme="minorHAnsi" w:hAnsiTheme="minorHAnsi"/>
          <w:b/>
          <w:sz w:val="24"/>
          <w:szCs w:val="24"/>
        </w:rPr>
      </w:pPr>
      <w:r>
        <w:rPr>
          <w:rFonts w:asciiTheme="minorHAnsi" w:hAnsiTheme="minorHAnsi"/>
          <w:b/>
          <w:sz w:val="24"/>
        </w:rPr>
        <w:t>2.2.2.4</w:t>
      </w:r>
      <w:r>
        <w:rPr>
          <w:rFonts w:asciiTheme="minorHAnsi" w:hAnsiTheme="minorHAnsi"/>
          <w:b/>
          <w:sz w:val="24"/>
        </w:rPr>
        <w:tab/>
        <w:t>Określenie szczególnych terytoriów docelowych, w tym planowego wykorzystania ZIT, RKSL i pozostałych narzędzi terytorialnych</w:t>
      </w:r>
    </w:p>
    <w:p w14:paraId="1BA0312C" w14:textId="77777777" w:rsidR="009A0D85" w:rsidRPr="00D80606" w:rsidRDefault="009A0D85" w:rsidP="009A0D85">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iv</w:t>
      </w:r>
    </w:p>
    <w:p w14:paraId="6B8B3082" w14:textId="77777777" w:rsidR="00A01B9B" w:rsidRPr="00D80606" w:rsidRDefault="00A01B9B" w:rsidP="009A0D85">
      <w:pPr>
        <w:spacing w:before="240" w:after="240" w:line="240" w:lineRule="auto"/>
        <w:ind w:left="0"/>
        <w:rPr>
          <w:rFonts w:asciiTheme="minorHAnsi" w:hAnsiTheme="minorHAnsi"/>
          <w:color w:val="000000"/>
          <w:szCs w:val="24"/>
        </w:rPr>
      </w:pPr>
      <w:r w:rsidRPr="00D80606">
        <w:rPr>
          <w:rFonts w:asciiTheme="minorHAnsi" w:hAnsiTheme="minorHAnsi"/>
          <w:color w:val="000000"/>
        </w:rPr>
        <w:t>Pole tekstowe [7000]</w:t>
      </w:r>
    </w:p>
    <w:p w14:paraId="55D0EF06" w14:textId="77777777" w:rsidR="00756D13" w:rsidRPr="00D80606" w:rsidRDefault="00A01B9B" w:rsidP="00D80606">
      <w:pPr>
        <w:pBdr>
          <w:top w:val="single" w:sz="4" w:space="1" w:color="000000"/>
          <w:left w:val="single" w:sz="4" w:space="4" w:color="000000"/>
          <w:bottom w:val="single" w:sz="4" w:space="1" w:color="000000"/>
          <w:right w:val="single" w:sz="4" w:space="4" w:color="000000"/>
        </w:pBdr>
        <w:ind w:left="142"/>
        <w:jc w:val="left"/>
        <w:rPr>
          <w:rFonts w:asciiTheme="minorHAnsi" w:hAnsiTheme="minorHAnsi"/>
          <w:sz w:val="24"/>
          <w:szCs w:val="24"/>
        </w:rPr>
      </w:pPr>
      <w:r w:rsidRPr="00D80606">
        <w:rPr>
          <w:rFonts w:asciiTheme="minorHAnsi" w:hAnsiTheme="minorHAnsi"/>
          <w:sz w:val="24"/>
          <w:szCs w:val="24"/>
        </w:rPr>
        <w:t xml:space="preserve">Działania mogą być realizowane na całym obszarze objętym programem i odnosić się do dowolnego rodzaju terytorium (zarówno do obszarów wiejskich jak i miejskich). Należy jednak skoncentrować się na najbardziej wrażliwych terytoriach, których w największym stopniu dotykają zmiany klimatu. Skorzystają one najbardziej na wymianie wiedzy i uczeniu się od innych regionów borykających się z podobnymi problemami. </w:t>
      </w:r>
    </w:p>
    <w:p w14:paraId="4B6EA680" w14:textId="0B9351A1" w:rsidR="009A0D85" w:rsidRPr="00D80606" w:rsidRDefault="00756D13" w:rsidP="00D80606">
      <w:pPr>
        <w:pBdr>
          <w:top w:val="single" w:sz="4" w:space="1" w:color="000000"/>
          <w:left w:val="single" w:sz="4" w:space="4" w:color="000000"/>
          <w:bottom w:val="single" w:sz="4" w:space="1" w:color="000000"/>
          <w:right w:val="single" w:sz="4" w:space="4" w:color="000000"/>
        </w:pBdr>
        <w:ind w:left="142"/>
        <w:jc w:val="left"/>
        <w:rPr>
          <w:rFonts w:asciiTheme="minorHAnsi" w:hAnsiTheme="minorHAnsi"/>
          <w:sz w:val="24"/>
          <w:szCs w:val="24"/>
        </w:rPr>
      </w:pPr>
      <w:r w:rsidRPr="00D80606">
        <w:rPr>
          <w:rFonts w:asciiTheme="minorHAnsi" w:hAnsiTheme="minorHAnsi"/>
          <w:sz w:val="24"/>
          <w:szCs w:val="24"/>
        </w:rPr>
        <w:t>Wszelkie możliwe działania muszą uwzględniać specyficzne cechy terytorialne obszarów docelowych i być dostosowane do odpowiednich strategii terytorialnych na odpowiednim poziomie zarządzania (lokalnym, regionalnym, krajowym).</w:t>
      </w:r>
    </w:p>
    <w:p w14:paraId="6EF656DC" w14:textId="77777777" w:rsidR="00A01B9B" w:rsidRPr="00680741" w:rsidRDefault="00A01B9B" w:rsidP="009A0D85">
      <w:pPr>
        <w:spacing w:before="240" w:after="240" w:line="240" w:lineRule="auto"/>
        <w:ind w:left="709" w:hanging="709"/>
        <w:rPr>
          <w:rFonts w:asciiTheme="minorHAnsi" w:hAnsiTheme="minorHAnsi"/>
          <w:b/>
          <w:sz w:val="24"/>
          <w:szCs w:val="24"/>
        </w:rPr>
      </w:pPr>
    </w:p>
    <w:p w14:paraId="7B6F385E" w14:textId="77777777" w:rsidR="009A0D85" w:rsidRPr="008727F2" w:rsidRDefault="009A0D85" w:rsidP="009A0D85">
      <w:pPr>
        <w:spacing w:before="240" w:after="240" w:line="240" w:lineRule="auto"/>
        <w:ind w:left="709" w:hanging="709"/>
        <w:rPr>
          <w:rFonts w:asciiTheme="minorHAnsi" w:hAnsiTheme="minorHAnsi"/>
          <w:b/>
          <w:sz w:val="24"/>
          <w:szCs w:val="24"/>
        </w:rPr>
      </w:pPr>
      <w:r>
        <w:rPr>
          <w:rFonts w:asciiTheme="minorHAnsi" w:hAnsiTheme="minorHAnsi"/>
          <w:b/>
          <w:sz w:val="24"/>
        </w:rPr>
        <w:t>2.2.2.5</w:t>
      </w:r>
      <w:r>
        <w:rPr>
          <w:rFonts w:asciiTheme="minorHAnsi" w:hAnsiTheme="minorHAnsi"/>
          <w:b/>
          <w:sz w:val="24"/>
        </w:rPr>
        <w:tab/>
        <w:t>Planowane wykorzystanie instrumentów finansowych</w:t>
      </w:r>
    </w:p>
    <w:p w14:paraId="74D2777D" w14:textId="77777777" w:rsidR="009A0D85" w:rsidRPr="00D80606" w:rsidRDefault="009A0D85" w:rsidP="009A0D85">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v</w:t>
      </w:r>
    </w:p>
    <w:p w14:paraId="493EF4AA" w14:textId="77777777" w:rsidR="00A01B9B" w:rsidRPr="00D80606" w:rsidRDefault="00A01B9B" w:rsidP="009A0D85">
      <w:pPr>
        <w:spacing w:before="240" w:after="240" w:line="240" w:lineRule="auto"/>
        <w:ind w:left="0"/>
        <w:rPr>
          <w:rFonts w:asciiTheme="minorHAnsi" w:hAnsiTheme="minorHAnsi"/>
          <w:color w:val="000000"/>
          <w:szCs w:val="24"/>
        </w:rPr>
      </w:pPr>
      <w:r w:rsidRPr="00D80606">
        <w:rPr>
          <w:rFonts w:asciiTheme="minorHAnsi" w:hAnsiTheme="minorHAnsi"/>
          <w:color w:val="000000"/>
        </w:rPr>
        <w:t>Pole tekstowe [7000]</w:t>
      </w:r>
    </w:p>
    <w:p w14:paraId="0F3CFA26" w14:textId="77777777" w:rsidR="009A0D85" w:rsidRPr="00D80606" w:rsidRDefault="00004898" w:rsidP="00D80606">
      <w:pPr>
        <w:pBdr>
          <w:top w:val="single" w:sz="4" w:space="1" w:color="000000"/>
          <w:left w:val="single" w:sz="4" w:space="4" w:color="000000"/>
          <w:bottom w:val="single" w:sz="4" w:space="1" w:color="000000"/>
          <w:right w:val="single" w:sz="4" w:space="4" w:color="000000"/>
        </w:pBdr>
        <w:ind w:left="142"/>
        <w:jc w:val="left"/>
        <w:rPr>
          <w:rFonts w:asciiTheme="minorHAnsi" w:hAnsiTheme="minorHAnsi"/>
          <w:sz w:val="24"/>
          <w:szCs w:val="24"/>
        </w:rPr>
      </w:pPr>
      <w:r w:rsidRPr="00D80606">
        <w:rPr>
          <w:rFonts w:asciiTheme="minorHAnsi" w:hAnsiTheme="minorHAnsi"/>
          <w:sz w:val="24"/>
          <w:szCs w:val="24"/>
        </w:rPr>
        <w:t>Nie dotyczy.</w:t>
      </w:r>
    </w:p>
    <w:p w14:paraId="315535DC" w14:textId="77777777" w:rsidR="009A0D85" w:rsidRPr="00680741" w:rsidRDefault="009A0D85" w:rsidP="009A0D85">
      <w:pPr>
        <w:spacing w:before="240" w:after="240" w:line="240" w:lineRule="auto"/>
        <w:ind w:left="709" w:hanging="709"/>
        <w:rPr>
          <w:rFonts w:asciiTheme="minorHAnsi" w:hAnsiTheme="minorHAnsi"/>
          <w:b/>
          <w:sz w:val="24"/>
          <w:szCs w:val="24"/>
        </w:rPr>
      </w:pPr>
    </w:p>
    <w:p w14:paraId="2CFFF949" w14:textId="77777777" w:rsidR="009A0D85" w:rsidRPr="008727F2" w:rsidRDefault="009A0D85" w:rsidP="009A0D85">
      <w:pPr>
        <w:spacing w:before="240" w:after="240" w:line="240" w:lineRule="auto"/>
        <w:ind w:left="709" w:hanging="709"/>
        <w:rPr>
          <w:rFonts w:asciiTheme="minorHAnsi" w:hAnsiTheme="minorHAnsi"/>
          <w:b/>
          <w:sz w:val="24"/>
          <w:szCs w:val="24"/>
        </w:rPr>
      </w:pPr>
      <w:r>
        <w:rPr>
          <w:rFonts w:asciiTheme="minorHAnsi" w:hAnsiTheme="minorHAnsi"/>
          <w:b/>
          <w:sz w:val="24"/>
        </w:rPr>
        <w:t>2.2.2.6</w:t>
      </w:r>
      <w:r>
        <w:rPr>
          <w:rFonts w:asciiTheme="minorHAnsi" w:hAnsiTheme="minorHAnsi"/>
          <w:b/>
          <w:sz w:val="24"/>
        </w:rPr>
        <w:tab/>
        <w:t>Orientacyjny podział zasobów programu UE według rodzaju interwencji</w:t>
      </w:r>
    </w:p>
    <w:p w14:paraId="730B407B" w14:textId="77777777" w:rsidR="009A0D85" w:rsidRPr="00D80606" w:rsidRDefault="009A0D85" w:rsidP="009A0D85">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vi, art. 17 ust. 9 lit. c punkt v</w:t>
      </w:r>
    </w:p>
    <w:p w14:paraId="11B59C28" w14:textId="77777777" w:rsidR="009A0D85" w:rsidRPr="009A0D85" w:rsidRDefault="009A0D85" w:rsidP="009A0D85">
      <w:pPr>
        <w:spacing w:before="240" w:after="240" w:line="240" w:lineRule="auto"/>
        <w:ind w:left="0"/>
        <w:rPr>
          <w:rFonts w:asciiTheme="minorHAnsi" w:hAnsiTheme="minorHAnsi"/>
          <w:szCs w:val="24"/>
        </w:rPr>
      </w:pPr>
      <w:r>
        <w:rPr>
          <w:rFonts w:asciiTheme="minorHAnsi" w:hAnsiTheme="minorHAnsi"/>
        </w:rPr>
        <w:t>Tabela 4: Wymiar 1 – obszar interwencji</w:t>
      </w:r>
    </w:p>
    <w:tbl>
      <w:tblPr>
        <w:tblStyle w:val="16"/>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A0D85" w:rsidRPr="008727F2" w14:paraId="5ABB28B4" w14:textId="77777777" w:rsidTr="00816A75">
        <w:tc>
          <w:tcPr>
            <w:tcW w:w="1869" w:type="dxa"/>
          </w:tcPr>
          <w:p w14:paraId="7F346C8A"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Priorytet nr</w:t>
            </w:r>
          </w:p>
        </w:tc>
        <w:tc>
          <w:tcPr>
            <w:tcW w:w="1657" w:type="dxa"/>
          </w:tcPr>
          <w:p w14:paraId="1934EB50"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w:t>
            </w:r>
          </w:p>
        </w:tc>
        <w:tc>
          <w:tcPr>
            <w:tcW w:w="1898" w:type="dxa"/>
          </w:tcPr>
          <w:p w14:paraId="1E34153C"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Cel szczegółowy</w:t>
            </w:r>
          </w:p>
        </w:tc>
        <w:tc>
          <w:tcPr>
            <w:tcW w:w="1204" w:type="dxa"/>
          </w:tcPr>
          <w:p w14:paraId="4F1F68FA"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Kod </w:t>
            </w:r>
          </w:p>
        </w:tc>
        <w:tc>
          <w:tcPr>
            <w:tcW w:w="2658" w:type="dxa"/>
          </w:tcPr>
          <w:p w14:paraId="030B11EB"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Kwota (EUR)</w:t>
            </w:r>
          </w:p>
        </w:tc>
      </w:tr>
      <w:tr w:rsidR="00790FD4" w:rsidRPr="00930832" w14:paraId="7B54D578" w14:textId="77777777" w:rsidTr="00816A75">
        <w:tc>
          <w:tcPr>
            <w:tcW w:w="1869" w:type="dxa"/>
          </w:tcPr>
          <w:p w14:paraId="59157468" w14:textId="77777777" w:rsidR="00790FD4" w:rsidRPr="00790FD4" w:rsidRDefault="00790FD4" w:rsidP="00790FD4">
            <w:pPr>
              <w:spacing w:after="120" w:line="240" w:lineRule="auto"/>
              <w:ind w:left="0" w:right="0"/>
              <w:jc w:val="center"/>
              <w:rPr>
                <w:rFonts w:ascii="Trebuchet MS" w:eastAsia="Times New Roman" w:hAnsi="Trebuchet MS" w:cs="Times New Roman"/>
                <w:color w:val="000000"/>
                <w:sz w:val="20"/>
                <w:szCs w:val="16"/>
              </w:rPr>
            </w:pPr>
            <w:r>
              <w:rPr>
                <w:rFonts w:ascii="Trebuchet MS" w:hAnsi="Trebuchet MS"/>
                <w:color w:val="000000"/>
                <w:sz w:val="20"/>
              </w:rPr>
              <w:t>2</w:t>
            </w:r>
          </w:p>
        </w:tc>
        <w:tc>
          <w:tcPr>
            <w:tcW w:w="1657" w:type="dxa"/>
          </w:tcPr>
          <w:p w14:paraId="271FA3A8" w14:textId="77777777" w:rsidR="00790FD4" w:rsidRPr="00790FD4" w:rsidRDefault="00790FD4" w:rsidP="00790FD4">
            <w:pPr>
              <w:spacing w:after="120" w:line="240" w:lineRule="auto"/>
              <w:ind w:left="0" w:right="0"/>
              <w:rPr>
                <w:rFonts w:ascii="Trebuchet MS" w:eastAsia="Times New Roman" w:hAnsi="Trebuchet MS" w:cs="Times New Roman"/>
                <w:color w:val="000000"/>
                <w:sz w:val="20"/>
                <w:szCs w:val="16"/>
              </w:rPr>
            </w:pPr>
            <w:r>
              <w:rPr>
                <w:rFonts w:ascii="Trebuchet MS" w:hAnsi="Trebuchet MS"/>
                <w:color w:val="000000"/>
                <w:sz w:val="20"/>
              </w:rPr>
              <w:t>EFRR</w:t>
            </w:r>
          </w:p>
        </w:tc>
        <w:tc>
          <w:tcPr>
            <w:tcW w:w="1898" w:type="dxa"/>
          </w:tcPr>
          <w:p w14:paraId="03D630C3" w14:textId="77777777" w:rsidR="00790FD4" w:rsidRPr="00790FD4" w:rsidRDefault="00790FD4" w:rsidP="00790FD4">
            <w:pPr>
              <w:spacing w:after="120" w:line="240" w:lineRule="auto"/>
              <w:ind w:left="0" w:right="0"/>
              <w:rPr>
                <w:rFonts w:ascii="Trebuchet MS" w:eastAsia="Times New Roman" w:hAnsi="Trebuchet MS" w:cs="Times New Roman"/>
                <w:color w:val="000000"/>
                <w:sz w:val="20"/>
                <w:szCs w:val="16"/>
              </w:rPr>
            </w:pPr>
            <w:r>
              <w:rPr>
                <w:rFonts w:ascii="Trebuchet MS" w:hAnsi="Trebuchet MS"/>
                <w:color w:val="000000"/>
                <w:sz w:val="20"/>
              </w:rPr>
              <w:t>Cel szczegółowy 2.2</w:t>
            </w:r>
          </w:p>
        </w:tc>
        <w:tc>
          <w:tcPr>
            <w:tcW w:w="1204" w:type="dxa"/>
          </w:tcPr>
          <w:p w14:paraId="4B195C51" w14:textId="3B093766" w:rsidR="00790FD4" w:rsidRPr="00790FD4" w:rsidRDefault="00790FD4" w:rsidP="00970BB0">
            <w:pPr>
              <w:spacing w:after="120" w:line="240" w:lineRule="auto"/>
              <w:ind w:left="0" w:right="0"/>
              <w:jc w:val="center"/>
              <w:rPr>
                <w:rFonts w:ascii="Trebuchet MS" w:eastAsia="Times New Roman" w:hAnsi="Trebuchet MS" w:cs="Times New Roman"/>
                <w:color w:val="000000"/>
                <w:sz w:val="20"/>
                <w:szCs w:val="16"/>
              </w:rPr>
            </w:pPr>
            <w:r>
              <w:rPr>
                <w:rFonts w:ascii="Trebuchet MS" w:hAnsi="Trebuchet MS"/>
                <w:sz w:val="20"/>
              </w:rPr>
              <w:t>35</w:t>
            </w:r>
          </w:p>
        </w:tc>
        <w:tc>
          <w:tcPr>
            <w:tcW w:w="2658" w:type="dxa"/>
          </w:tcPr>
          <w:p w14:paraId="26F76119" w14:textId="77777777" w:rsidR="00790FD4" w:rsidRPr="00790FD4" w:rsidRDefault="00790FD4" w:rsidP="00790FD4">
            <w:pPr>
              <w:spacing w:after="120" w:line="240" w:lineRule="auto"/>
              <w:ind w:left="0" w:right="0"/>
              <w:rPr>
                <w:rFonts w:ascii="Trebuchet MS" w:eastAsia="Times New Roman" w:hAnsi="Trebuchet MS" w:cs="Times New Roman"/>
                <w:color w:val="000000"/>
                <w:sz w:val="20"/>
                <w:szCs w:val="16"/>
              </w:rPr>
            </w:pPr>
          </w:p>
        </w:tc>
      </w:tr>
      <w:tr w:rsidR="00790FD4" w:rsidRPr="00930832" w14:paraId="28C3663C" w14:textId="77777777" w:rsidTr="00816A75">
        <w:tc>
          <w:tcPr>
            <w:tcW w:w="1869" w:type="dxa"/>
          </w:tcPr>
          <w:p w14:paraId="0B24547E" w14:textId="6D167CC7" w:rsidR="00790FD4" w:rsidRPr="00790FD4" w:rsidRDefault="00790FD4" w:rsidP="00790FD4">
            <w:pPr>
              <w:spacing w:after="120" w:line="240" w:lineRule="auto"/>
              <w:ind w:left="0" w:right="0"/>
              <w:jc w:val="center"/>
              <w:rPr>
                <w:rFonts w:ascii="Trebuchet MS" w:hAnsi="Trebuchet MS"/>
                <w:color w:val="000000"/>
                <w:sz w:val="20"/>
                <w:szCs w:val="16"/>
              </w:rPr>
            </w:pPr>
            <w:r>
              <w:rPr>
                <w:rFonts w:ascii="Trebuchet MS" w:hAnsi="Trebuchet MS"/>
                <w:sz w:val="20"/>
              </w:rPr>
              <w:t>2</w:t>
            </w:r>
          </w:p>
        </w:tc>
        <w:tc>
          <w:tcPr>
            <w:tcW w:w="1657" w:type="dxa"/>
          </w:tcPr>
          <w:p w14:paraId="0BCA0BB1" w14:textId="12BDCB51" w:rsidR="00790FD4" w:rsidRPr="00790FD4" w:rsidRDefault="00790FD4" w:rsidP="00790FD4">
            <w:pPr>
              <w:spacing w:after="120" w:line="240" w:lineRule="auto"/>
              <w:ind w:left="0" w:right="0"/>
              <w:rPr>
                <w:rFonts w:ascii="Trebuchet MS" w:hAnsi="Trebuchet MS"/>
                <w:color w:val="000000"/>
                <w:sz w:val="20"/>
                <w:szCs w:val="16"/>
              </w:rPr>
            </w:pPr>
            <w:r>
              <w:rPr>
                <w:rFonts w:ascii="Trebuchet MS" w:hAnsi="Trebuchet MS"/>
                <w:sz w:val="20"/>
              </w:rPr>
              <w:t>EFRR</w:t>
            </w:r>
          </w:p>
        </w:tc>
        <w:tc>
          <w:tcPr>
            <w:tcW w:w="1898" w:type="dxa"/>
          </w:tcPr>
          <w:p w14:paraId="612F3554" w14:textId="162DA0FE" w:rsidR="00790FD4" w:rsidRPr="00790FD4" w:rsidRDefault="00790FD4" w:rsidP="00790FD4">
            <w:pPr>
              <w:spacing w:after="120" w:line="240" w:lineRule="auto"/>
              <w:ind w:left="0" w:right="0"/>
              <w:rPr>
                <w:rFonts w:ascii="Trebuchet MS" w:hAnsi="Trebuchet MS"/>
                <w:color w:val="000000"/>
                <w:sz w:val="20"/>
                <w:szCs w:val="16"/>
              </w:rPr>
            </w:pPr>
            <w:r>
              <w:rPr>
                <w:rFonts w:ascii="Trebuchet MS" w:hAnsi="Trebuchet MS"/>
                <w:sz w:val="20"/>
              </w:rPr>
              <w:t>Cel szczegółowy 2.2</w:t>
            </w:r>
          </w:p>
        </w:tc>
        <w:tc>
          <w:tcPr>
            <w:tcW w:w="1204" w:type="dxa"/>
          </w:tcPr>
          <w:p w14:paraId="6B1DC1E9" w14:textId="6B9F23BC" w:rsidR="00790FD4" w:rsidRPr="00790FD4" w:rsidRDefault="00790FD4" w:rsidP="00970BB0">
            <w:pPr>
              <w:spacing w:after="120" w:line="240" w:lineRule="auto"/>
              <w:ind w:left="0" w:right="0"/>
              <w:jc w:val="center"/>
              <w:rPr>
                <w:rFonts w:ascii="Trebuchet MS" w:hAnsi="Trebuchet MS"/>
                <w:color w:val="000000"/>
                <w:sz w:val="20"/>
                <w:szCs w:val="16"/>
              </w:rPr>
            </w:pPr>
            <w:r>
              <w:rPr>
                <w:rFonts w:ascii="Trebuchet MS" w:hAnsi="Trebuchet MS"/>
                <w:sz w:val="20"/>
              </w:rPr>
              <w:t>36</w:t>
            </w:r>
          </w:p>
        </w:tc>
        <w:tc>
          <w:tcPr>
            <w:tcW w:w="2658" w:type="dxa"/>
          </w:tcPr>
          <w:p w14:paraId="6FA50526" w14:textId="77777777" w:rsidR="00790FD4" w:rsidRPr="00790FD4" w:rsidRDefault="00790FD4" w:rsidP="00790FD4">
            <w:pPr>
              <w:spacing w:after="120" w:line="240" w:lineRule="auto"/>
              <w:ind w:left="0" w:right="0"/>
              <w:rPr>
                <w:rFonts w:ascii="Trebuchet MS" w:hAnsi="Trebuchet MS"/>
                <w:color w:val="000000"/>
                <w:sz w:val="20"/>
                <w:szCs w:val="16"/>
              </w:rPr>
            </w:pPr>
          </w:p>
        </w:tc>
      </w:tr>
      <w:tr w:rsidR="00790FD4" w:rsidRPr="00930832" w14:paraId="2529E741" w14:textId="77777777" w:rsidTr="00816A75">
        <w:tc>
          <w:tcPr>
            <w:tcW w:w="1869" w:type="dxa"/>
          </w:tcPr>
          <w:p w14:paraId="2857F976" w14:textId="6F85FD72" w:rsidR="00790FD4" w:rsidRPr="00790FD4" w:rsidRDefault="00790FD4" w:rsidP="00790FD4">
            <w:pPr>
              <w:spacing w:after="120" w:line="240" w:lineRule="auto"/>
              <w:ind w:left="0" w:right="0"/>
              <w:jc w:val="center"/>
              <w:rPr>
                <w:rFonts w:ascii="Trebuchet MS" w:hAnsi="Trebuchet MS"/>
                <w:color w:val="000000"/>
                <w:sz w:val="20"/>
                <w:szCs w:val="16"/>
              </w:rPr>
            </w:pPr>
            <w:r>
              <w:rPr>
                <w:rFonts w:ascii="Trebuchet MS" w:hAnsi="Trebuchet MS"/>
                <w:sz w:val="20"/>
              </w:rPr>
              <w:t>2</w:t>
            </w:r>
          </w:p>
        </w:tc>
        <w:tc>
          <w:tcPr>
            <w:tcW w:w="1657" w:type="dxa"/>
          </w:tcPr>
          <w:p w14:paraId="5209DAF0" w14:textId="02590211" w:rsidR="00790FD4" w:rsidRPr="00790FD4" w:rsidRDefault="00790FD4" w:rsidP="00790FD4">
            <w:pPr>
              <w:spacing w:after="120" w:line="240" w:lineRule="auto"/>
              <w:ind w:left="0" w:right="0"/>
              <w:rPr>
                <w:rFonts w:ascii="Trebuchet MS" w:hAnsi="Trebuchet MS"/>
                <w:color w:val="000000"/>
                <w:sz w:val="20"/>
                <w:szCs w:val="16"/>
              </w:rPr>
            </w:pPr>
            <w:r>
              <w:rPr>
                <w:rFonts w:ascii="Trebuchet MS" w:hAnsi="Trebuchet MS"/>
                <w:sz w:val="20"/>
              </w:rPr>
              <w:t>EFRR</w:t>
            </w:r>
          </w:p>
        </w:tc>
        <w:tc>
          <w:tcPr>
            <w:tcW w:w="1898" w:type="dxa"/>
          </w:tcPr>
          <w:p w14:paraId="5F21166E" w14:textId="2BB0FF33" w:rsidR="00790FD4" w:rsidRPr="00790FD4" w:rsidRDefault="00790FD4" w:rsidP="00790FD4">
            <w:pPr>
              <w:spacing w:after="120" w:line="240" w:lineRule="auto"/>
              <w:ind w:left="0" w:right="0"/>
              <w:rPr>
                <w:rFonts w:ascii="Trebuchet MS" w:hAnsi="Trebuchet MS"/>
                <w:color w:val="000000"/>
                <w:sz w:val="20"/>
                <w:szCs w:val="16"/>
              </w:rPr>
            </w:pPr>
            <w:r>
              <w:rPr>
                <w:rFonts w:ascii="Trebuchet MS" w:hAnsi="Trebuchet MS"/>
                <w:sz w:val="20"/>
              </w:rPr>
              <w:t>Cel szczegółowy 2.2</w:t>
            </w:r>
          </w:p>
        </w:tc>
        <w:tc>
          <w:tcPr>
            <w:tcW w:w="1204" w:type="dxa"/>
          </w:tcPr>
          <w:p w14:paraId="136673B9" w14:textId="532AE1C6" w:rsidR="00790FD4" w:rsidRPr="00790FD4" w:rsidRDefault="00790FD4" w:rsidP="00970BB0">
            <w:pPr>
              <w:spacing w:after="120" w:line="240" w:lineRule="auto"/>
              <w:ind w:left="0" w:right="0"/>
              <w:jc w:val="center"/>
              <w:rPr>
                <w:rFonts w:ascii="Trebuchet MS" w:hAnsi="Trebuchet MS"/>
                <w:color w:val="000000"/>
                <w:sz w:val="20"/>
                <w:szCs w:val="16"/>
              </w:rPr>
            </w:pPr>
            <w:r>
              <w:rPr>
                <w:rFonts w:ascii="Trebuchet MS" w:hAnsi="Trebuchet MS"/>
                <w:sz w:val="20"/>
              </w:rPr>
              <w:t>37</w:t>
            </w:r>
          </w:p>
        </w:tc>
        <w:tc>
          <w:tcPr>
            <w:tcW w:w="2658" w:type="dxa"/>
          </w:tcPr>
          <w:p w14:paraId="5C723A0D" w14:textId="77777777" w:rsidR="00790FD4" w:rsidRPr="00790FD4" w:rsidRDefault="00790FD4" w:rsidP="00790FD4">
            <w:pPr>
              <w:spacing w:after="120" w:line="240" w:lineRule="auto"/>
              <w:ind w:left="0" w:right="0"/>
              <w:rPr>
                <w:rFonts w:ascii="Trebuchet MS" w:hAnsi="Trebuchet MS"/>
                <w:color w:val="000000"/>
                <w:sz w:val="20"/>
                <w:szCs w:val="16"/>
              </w:rPr>
            </w:pPr>
          </w:p>
        </w:tc>
      </w:tr>
      <w:tr w:rsidR="00790FD4" w:rsidRPr="00930832" w14:paraId="170FD1D3" w14:textId="77777777" w:rsidTr="00816A75">
        <w:tc>
          <w:tcPr>
            <w:tcW w:w="1869" w:type="dxa"/>
          </w:tcPr>
          <w:p w14:paraId="6CE417C7" w14:textId="403B03C6" w:rsidR="00790FD4" w:rsidRPr="00790FD4" w:rsidRDefault="00790FD4" w:rsidP="00790FD4">
            <w:pPr>
              <w:spacing w:after="120" w:line="240" w:lineRule="auto"/>
              <w:ind w:left="0" w:right="0"/>
              <w:jc w:val="center"/>
              <w:rPr>
                <w:rFonts w:ascii="Trebuchet MS" w:hAnsi="Trebuchet MS"/>
                <w:color w:val="000000"/>
                <w:sz w:val="20"/>
                <w:szCs w:val="16"/>
              </w:rPr>
            </w:pPr>
            <w:r>
              <w:rPr>
                <w:rFonts w:ascii="Trebuchet MS" w:hAnsi="Trebuchet MS"/>
                <w:sz w:val="20"/>
              </w:rPr>
              <w:t>2</w:t>
            </w:r>
          </w:p>
        </w:tc>
        <w:tc>
          <w:tcPr>
            <w:tcW w:w="1657" w:type="dxa"/>
          </w:tcPr>
          <w:p w14:paraId="05710F74" w14:textId="330C8EE8" w:rsidR="00790FD4" w:rsidRPr="00790FD4" w:rsidRDefault="00790FD4" w:rsidP="00790FD4">
            <w:pPr>
              <w:spacing w:after="120" w:line="240" w:lineRule="auto"/>
              <w:ind w:left="0" w:right="0"/>
              <w:rPr>
                <w:rFonts w:ascii="Trebuchet MS" w:hAnsi="Trebuchet MS"/>
                <w:color w:val="000000"/>
                <w:sz w:val="20"/>
                <w:szCs w:val="16"/>
              </w:rPr>
            </w:pPr>
            <w:r>
              <w:rPr>
                <w:rFonts w:ascii="Trebuchet MS" w:hAnsi="Trebuchet MS"/>
                <w:sz w:val="20"/>
              </w:rPr>
              <w:t>EFRR</w:t>
            </w:r>
          </w:p>
        </w:tc>
        <w:tc>
          <w:tcPr>
            <w:tcW w:w="1898" w:type="dxa"/>
          </w:tcPr>
          <w:p w14:paraId="5D6A86D1" w14:textId="03D33B2B" w:rsidR="00790FD4" w:rsidRPr="00790FD4" w:rsidRDefault="00790FD4" w:rsidP="00790FD4">
            <w:pPr>
              <w:spacing w:after="120" w:line="240" w:lineRule="auto"/>
              <w:ind w:left="0" w:right="0"/>
              <w:rPr>
                <w:rFonts w:ascii="Trebuchet MS" w:hAnsi="Trebuchet MS"/>
                <w:color w:val="000000"/>
                <w:sz w:val="20"/>
                <w:szCs w:val="16"/>
              </w:rPr>
            </w:pPr>
            <w:r>
              <w:rPr>
                <w:rFonts w:ascii="Trebuchet MS" w:hAnsi="Trebuchet MS"/>
                <w:sz w:val="20"/>
              </w:rPr>
              <w:t>Cel szczegółowy 2.2</w:t>
            </w:r>
          </w:p>
        </w:tc>
        <w:tc>
          <w:tcPr>
            <w:tcW w:w="1204" w:type="dxa"/>
          </w:tcPr>
          <w:p w14:paraId="5AC2EA2C" w14:textId="2F245A26" w:rsidR="00790FD4" w:rsidRPr="00790FD4" w:rsidRDefault="00790FD4" w:rsidP="00970BB0">
            <w:pPr>
              <w:spacing w:after="120" w:line="240" w:lineRule="auto"/>
              <w:ind w:left="0" w:right="0"/>
              <w:jc w:val="center"/>
              <w:rPr>
                <w:rFonts w:ascii="Trebuchet MS" w:hAnsi="Trebuchet MS"/>
                <w:color w:val="000000"/>
                <w:sz w:val="20"/>
                <w:szCs w:val="16"/>
              </w:rPr>
            </w:pPr>
            <w:r>
              <w:rPr>
                <w:rFonts w:ascii="Trebuchet MS" w:hAnsi="Trebuchet MS"/>
                <w:sz w:val="20"/>
              </w:rPr>
              <w:t>38</w:t>
            </w:r>
          </w:p>
        </w:tc>
        <w:tc>
          <w:tcPr>
            <w:tcW w:w="2658" w:type="dxa"/>
          </w:tcPr>
          <w:p w14:paraId="029E898F" w14:textId="77777777" w:rsidR="00790FD4" w:rsidRPr="00790FD4" w:rsidRDefault="00790FD4" w:rsidP="00790FD4">
            <w:pPr>
              <w:spacing w:after="120" w:line="240" w:lineRule="auto"/>
              <w:ind w:left="0" w:right="0"/>
              <w:rPr>
                <w:rFonts w:ascii="Trebuchet MS" w:hAnsi="Trebuchet MS"/>
                <w:color w:val="000000"/>
                <w:sz w:val="20"/>
                <w:szCs w:val="16"/>
              </w:rPr>
            </w:pPr>
          </w:p>
        </w:tc>
      </w:tr>
      <w:tr w:rsidR="00790FD4" w:rsidRPr="00930832" w14:paraId="18E2FC3A" w14:textId="77777777" w:rsidTr="00816A75">
        <w:tc>
          <w:tcPr>
            <w:tcW w:w="1869" w:type="dxa"/>
          </w:tcPr>
          <w:p w14:paraId="16733BFE" w14:textId="59918EC7" w:rsidR="00790FD4" w:rsidRPr="00790FD4" w:rsidRDefault="00790FD4" w:rsidP="00790FD4">
            <w:pPr>
              <w:spacing w:after="120" w:line="240" w:lineRule="auto"/>
              <w:ind w:left="0" w:right="0"/>
              <w:jc w:val="center"/>
              <w:rPr>
                <w:rFonts w:ascii="Trebuchet MS" w:hAnsi="Trebuchet MS"/>
                <w:color w:val="000000"/>
                <w:sz w:val="20"/>
                <w:szCs w:val="16"/>
              </w:rPr>
            </w:pPr>
            <w:r>
              <w:rPr>
                <w:rFonts w:ascii="Trebuchet MS" w:hAnsi="Trebuchet MS"/>
                <w:sz w:val="20"/>
              </w:rPr>
              <w:t>2</w:t>
            </w:r>
          </w:p>
        </w:tc>
        <w:tc>
          <w:tcPr>
            <w:tcW w:w="1657" w:type="dxa"/>
          </w:tcPr>
          <w:p w14:paraId="5DD1488E" w14:textId="401F3DF0" w:rsidR="00790FD4" w:rsidRPr="00790FD4" w:rsidRDefault="00790FD4" w:rsidP="00790FD4">
            <w:pPr>
              <w:spacing w:after="120" w:line="240" w:lineRule="auto"/>
              <w:ind w:left="0" w:right="0"/>
              <w:rPr>
                <w:rFonts w:ascii="Trebuchet MS" w:hAnsi="Trebuchet MS"/>
                <w:color w:val="000000"/>
                <w:sz w:val="20"/>
                <w:szCs w:val="16"/>
              </w:rPr>
            </w:pPr>
            <w:r>
              <w:rPr>
                <w:rFonts w:ascii="Trebuchet MS" w:hAnsi="Trebuchet MS"/>
                <w:sz w:val="20"/>
              </w:rPr>
              <w:t>EFRR</w:t>
            </w:r>
          </w:p>
        </w:tc>
        <w:tc>
          <w:tcPr>
            <w:tcW w:w="1898" w:type="dxa"/>
          </w:tcPr>
          <w:p w14:paraId="40D952CB" w14:textId="0997EB45" w:rsidR="00790FD4" w:rsidRPr="00790FD4" w:rsidRDefault="00790FD4" w:rsidP="00790FD4">
            <w:pPr>
              <w:spacing w:after="120" w:line="240" w:lineRule="auto"/>
              <w:ind w:left="0" w:right="0"/>
              <w:rPr>
                <w:rFonts w:ascii="Trebuchet MS" w:hAnsi="Trebuchet MS"/>
                <w:color w:val="000000"/>
                <w:sz w:val="20"/>
                <w:szCs w:val="16"/>
              </w:rPr>
            </w:pPr>
            <w:r>
              <w:rPr>
                <w:rFonts w:ascii="Trebuchet MS" w:hAnsi="Trebuchet MS"/>
                <w:sz w:val="20"/>
              </w:rPr>
              <w:t>Cel szczegółowy 2.2</w:t>
            </w:r>
          </w:p>
        </w:tc>
        <w:tc>
          <w:tcPr>
            <w:tcW w:w="1204" w:type="dxa"/>
          </w:tcPr>
          <w:p w14:paraId="6C49FC1A" w14:textId="3E3672A6" w:rsidR="00790FD4" w:rsidRPr="00790FD4" w:rsidRDefault="00790FD4" w:rsidP="00970BB0">
            <w:pPr>
              <w:spacing w:after="120" w:line="240" w:lineRule="auto"/>
              <w:ind w:left="0" w:right="0"/>
              <w:jc w:val="center"/>
              <w:rPr>
                <w:rFonts w:ascii="Trebuchet MS" w:hAnsi="Trebuchet MS"/>
                <w:color w:val="000000"/>
                <w:sz w:val="20"/>
                <w:szCs w:val="16"/>
              </w:rPr>
            </w:pPr>
            <w:r>
              <w:rPr>
                <w:rFonts w:ascii="Trebuchet MS" w:hAnsi="Trebuchet MS"/>
                <w:sz w:val="20"/>
              </w:rPr>
              <w:t>40</w:t>
            </w:r>
          </w:p>
        </w:tc>
        <w:tc>
          <w:tcPr>
            <w:tcW w:w="2658" w:type="dxa"/>
          </w:tcPr>
          <w:p w14:paraId="6D5960C9" w14:textId="77777777" w:rsidR="00790FD4" w:rsidRPr="00790FD4" w:rsidRDefault="00790FD4" w:rsidP="00790FD4">
            <w:pPr>
              <w:spacing w:after="120" w:line="240" w:lineRule="auto"/>
              <w:ind w:left="0" w:right="0"/>
              <w:rPr>
                <w:rFonts w:ascii="Trebuchet MS" w:hAnsi="Trebuchet MS"/>
                <w:color w:val="000000"/>
                <w:sz w:val="20"/>
                <w:szCs w:val="16"/>
              </w:rPr>
            </w:pPr>
          </w:p>
        </w:tc>
      </w:tr>
    </w:tbl>
    <w:p w14:paraId="008E5130" w14:textId="77777777" w:rsidR="009A0D85" w:rsidRPr="009A0D85" w:rsidRDefault="009A0D85" w:rsidP="009A0D85">
      <w:pPr>
        <w:spacing w:before="240" w:after="240" w:line="240" w:lineRule="auto"/>
        <w:ind w:left="0"/>
        <w:rPr>
          <w:rFonts w:asciiTheme="minorHAnsi" w:hAnsiTheme="minorHAnsi"/>
          <w:szCs w:val="24"/>
        </w:rPr>
      </w:pPr>
      <w:r>
        <w:rPr>
          <w:rFonts w:asciiTheme="minorHAnsi" w:hAnsiTheme="minorHAnsi"/>
        </w:rPr>
        <w:t>Tabela 5: Wymiar 2 – forma finansowania</w:t>
      </w:r>
    </w:p>
    <w:tbl>
      <w:tblPr>
        <w:tblStyle w:val="15"/>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A0D85" w:rsidRPr="008727F2" w14:paraId="2173BF88" w14:textId="77777777" w:rsidTr="00816A75">
        <w:tc>
          <w:tcPr>
            <w:tcW w:w="1869" w:type="dxa"/>
          </w:tcPr>
          <w:p w14:paraId="6ECD43D3"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Priorytet nr</w:t>
            </w:r>
          </w:p>
        </w:tc>
        <w:tc>
          <w:tcPr>
            <w:tcW w:w="1657" w:type="dxa"/>
          </w:tcPr>
          <w:p w14:paraId="53AFE7FE"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w:t>
            </w:r>
          </w:p>
        </w:tc>
        <w:tc>
          <w:tcPr>
            <w:tcW w:w="1898" w:type="dxa"/>
          </w:tcPr>
          <w:p w14:paraId="1E63E7B2"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Cel szczegółowy</w:t>
            </w:r>
          </w:p>
        </w:tc>
        <w:tc>
          <w:tcPr>
            <w:tcW w:w="1204" w:type="dxa"/>
          </w:tcPr>
          <w:p w14:paraId="79BC6B22"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Kod </w:t>
            </w:r>
          </w:p>
        </w:tc>
        <w:tc>
          <w:tcPr>
            <w:tcW w:w="2658" w:type="dxa"/>
          </w:tcPr>
          <w:p w14:paraId="4C66DE87"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Kwota (EUR)</w:t>
            </w:r>
          </w:p>
        </w:tc>
      </w:tr>
      <w:tr w:rsidR="00930832" w:rsidRPr="008727F2" w14:paraId="79B4C217" w14:textId="77777777" w:rsidTr="00816A75">
        <w:tc>
          <w:tcPr>
            <w:tcW w:w="1869" w:type="dxa"/>
          </w:tcPr>
          <w:p w14:paraId="708779C1" w14:textId="77777777" w:rsidR="00930832" w:rsidRPr="00570B26" w:rsidRDefault="00930832" w:rsidP="00AC4A28">
            <w:pPr>
              <w:spacing w:after="120" w:line="240" w:lineRule="auto"/>
              <w:ind w:left="0" w:right="0"/>
              <w:jc w:val="center"/>
              <w:rPr>
                <w:rFonts w:asciiTheme="minorHAnsi" w:eastAsia="Times New Roman" w:hAnsiTheme="minorHAnsi" w:cs="Times New Roman"/>
                <w:b/>
                <w:color w:val="000000"/>
                <w:sz w:val="16"/>
                <w:szCs w:val="16"/>
              </w:rPr>
            </w:pPr>
            <w:r>
              <w:rPr>
                <w:rFonts w:asciiTheme="minorHAnsi" w:hAnsiTheme="minorHAnsi"/>
                <w:color w:val="000000"/>
                <w:sz w:val="20"/>
              </w:rPr>
              <w:t>2</w:t>
            </w:r>
          </w:p>
        </w:tc>
        <w:tc>
          <w:tcPr>
            <w:tcW w:w="1657" w:type="dxa"/>
          </w:tcPr>
          <w:p w14:paraId="1856C78B" w14:textId="77777777" w:rsidR="00930832" w:rsidRPr="00570B26" w:rsidRDefault="00930832" w:rsidP="00930832">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color w:val="000000"/>
                <w:sz w:val="20"/>
              </w:rPr>
              <w:t>EFRR</w:t>
            </w:r>
          </w:p>
        </w:tc>
        <w:tc>
          <w:tcPr>
            <w:tcW w:w="1898" w:type="dxa"/>
          </w:tcPr>
          <w:p w14:paraId="5431DEA9" w14:textId="77777777" w:rsidR="00930832" w:rsidRPr="00570B26" w:rsidRDefault="00930832" w:rsidP="00930832">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color w:val="000000"/>
                <w:sz w:val="20"/>
              </w:rPr>
              <w:t>Cel szczegółowy 2.2</w:t>
            </w:r>
          </w:p>
        </w:tc>
        <w:tc>
          <w:tcPr>
            <w:tcW w:w="1204" w:type="dxa"/>
          </w:tcPr>
          <w:p w14:paraId="1837D7F5" w14:textId="2C8D0D9E" w:rsidR="00930832" w:rsidRPr="00970BB0" w:rsidRDefault="00790FD4" w:rsidP="00970BB0">
            <w:pPr>
              <w:spacing w:after="120" w:line="240" w:lineRule="auto"/>
              <w:ind w:left="0" w:right="0"/>
              <w:jc w:val="center"/>
              <w:rPr>
                <w:rFonts w:ascii="Trebuchet MS" w:hAnsi="Trebuchet MS"/>
                <w:sz w:val="20"/>
              </w:rPr>
            </w:pPr>
            <w:r>
              <w:rPr>
                <w:rFonts w:ascii="Trebuchet MS" w:hAnsi="Trebuchet MS"/>
                <w:sz w:val="20"/>
              </w:rPr>
              <w:t>01</w:t>
            </w:r>
          </w:p>
        </w:tc>
        <w:tc>
          <w:tcPr>
            <w:tcW w:w="2658" w:type="dxa"/>
          </w:tcPr>
          <w:p w14:paraId="31648E53" w14:textId="77777777" w:rsidR="00930832" w:rsidRPr="00570B26" w:rsidRDefault="00930832" w:rsidP="00930832">
            <w:pPr>
              <w:spacing w:after="120" w:line="240" w:lineRule="auto"/>
              <w:ind w:left="0" w:right="0"/>
              <w:rPr>
                <w:rFonts w:asciiTheme="minorHAnsi" w:eastAsia="Times New Roman" w:hAnsiTheme="minorHAnsi" w:cs="Times New Roman"/>
                <w:b/>
                <w:color w:val="000000"/>
                <w:sz w:val="16"/>
                <w:szCs w:val="16"/>
              </w:rPr>
            </w:pPr>
          </w:p>
        </w:tc>
      </w:tr>
    </w:tbl>
    <w:p w14:paraId="2686F88C" w14:textId="77777777" w:rsidR="009A0D85" w:rsidRPr="009A0D85" w:rsidRDefault="009A0D85" w:rsidP="009A0D85">
      <w:pPr>
        <w:spacing w:before="240" w:after="240" w:line="240" w:lineRule="auto"/>
        <w:ind w:left="0"/>
        <w:rPr>
          <w:rFonts w:asciiTheme="minorHAnsi" w:hAnsiTheme="minorHAnsi"/>
          <w:szCs w:val="24"/>
        </w:rPr>
      </w:pPr>
      <w:r>
        <w:rPr>
          <w:rFonts w:asciiTheme="minorHAnsi" w:hAnsiTheme="minorHAnsi"/>
        </w:rPr>
        <w:t>Tabela 6: Wymiar 3 – mechanizm realizacji terytorialnej i koncentracja na terytorium</w:t>
      </w:r>
    </w:p>
    <w:tbl>
      <w:tblPr>
        <w:tblStyle w:val="14"/>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A0D85" w:rsidRPr="008727F2" w14:paraId="1EDDADD5" w14:textId="77777777" w:rsidTr="00816A75">
        <w:tc>
          <w:tcPr>
            <w:tcW w:w="1869" w:type="dxa"/>
          </w:tcPr>
          <w:p w14:paraId="22F9E702"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Priorytet nr</w:t>
            </w:r>
          </w:p>
        </w:tc>
        <w:tc>
          <w:tcPr>
            <w:tcW w:w="1657" w:type="dxa"/>
          </w:tcPr>
          <w:p w14:paraId="681FEA87"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w:t>
            </w:r>
          </w:p>
        </w:tc>
        <w:tc>
          <w:tcPr>
            <w:tcW w:w="1898" w:type="dxa"/>
          </w:tcPr>
          <w:p w14:paraId="2B751CBA"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Cel szczegółowy</w:t>
            </w:r>
          </w:p>
        </w:tc>
        <w:tc>
          <w:tcPr>
            <w:tcW w:w="1204" w:type="dxa"/>
          </w:tcPr>
          <w:p w14:paraId="46DBE3B0"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Kod </w:t>
            </w:r>
          </w:p>
        </w:tc>
        <w:tc>
          <w:tcPr>
            <w:tcW w:w="2658" w:type="dxa"/>
          </w:tcPr>
          <w:p w14:paraId="7CBAA1CA" w14:textId="77777777" w:rsidR="009A0D85" w:rsidRPr="00570B26" w:rsidRDefault="009A0D85"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Kwota (EUR)</w:t>
            </w:r>
          </w:p>
        </w:tc>
      </w:tr>
      <w:tr w:rsidR="00930832" w:rsidRPr="008727F2" w14:paraId="60DB83EC" w14:textId="77777777" w:rsidTr="00816A75">
        <w:tc>
          <w:tcPr>
            <w:tcW w:w="1869" w:type="dxa"/>
          </w:tcPr>
          <w:p w14:paraId="39628A23" w14:textId="77777777" w:rsidR="00930832" w:rsidRPr="00570B26" w:rsidRDefault="00930832" w:rsidP="00AC4A28">
            <w:pPr>
              <w:spacing w:after="120" w:line="240" w:lineRule="auto"/>
              <w:ind w:left="0" w:right="0"/>
              <w:jc w:val="center"/>
              <w:rPr>
                <w:rFonts w:asciiTheme="minorHAnsi" w:eastAsia="Times New Roman" w:hAnsiTheme="minorHAnsi" w:cs="Times New Roman"/>
                <w:b/>
                <w:color w:val="000000"/>
                <w:sz w:val="16"/>
                <w:szCs w:val="16"/>
              </w:rPr>
            </w:pPr>
            <w:r>
              <w:rPr>
                <w:rFonts w:asciiTheme="minorHAnsi" w:hAnsiTheme="minorHAnsi"/>
                <w:color w:val="000000"/>
                <w:sz w:val="20"/>
              </w:rPr>
              <w:t>2</w:t>
            </w:r>
          </w:p>
        </w:tc>
        <w:tc>
          <w:tcPr>
            <w:tcW w:w="1657" w:type="dxa"/>
          </w:tcPr>
          <w:p w14:paraId="145A3EAE" w14:textId="77777777" w:rsidR="00930832" w:rsidRPr="00570B26" w:rsidRDefault="00930832" w:rsidP="00930832">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color w:val="000000"/>
                <w:sz w:val="20"/>
              </w:rPr>
              <w:t>EFRR</w:t>
            </w:r>
          </w:p>
        </w:tc>
        <w:tc>
          <w:tcPr>
            <w:tcW w:w="1898" w:type="dxa"/>
          </w:tcPr>
          <w:p w14:paraId="65234425" w14:textId="77777777" w:rsidR="00930832" w:rsidRPr="00570B26" w:rsidRDefault="00930832" w:rsidP="00930832">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color w:val="000000"/>
                <w:sz w:val="20"/>
              </w:rPr>
              <w:t>Cel szczegółowy 2.2</w:t>
            </w:r>
          </w:p>
        </w:tc>
        <w:tc>
          <w:tcPr>
            <w:tcW w:w="1204" w:type="dxa"/>
          </w:tcPr>
          <w:p w14:paraId="14FA1C5B" w14:textId="4D3057DC" w:rsidR="00930832" w:rsidRPr="00570B26" w:rsidRDefault="00790FD4" w:rsidP="00970BB0">
            <w:pPr>
              <w:spacing w:after="120" w:line="240" w:lineRule="auto"/>
              <w:ind w:left="0" w:right="0"/>
              <w:jc w:val="center"/>
              <w:rPr>
                <w:rFonts w:asciiTheme="minorHAnsi" w:eastAsia="Times New Roman" w:hAnsiTheme="minorHAnsi" w:cs="Times New Roman"/>
                <w:b/>
                <w:color w:val="000000"/>
                <w:sz w:val="16"/>
                <w:szCs w:val="16"/>
              </w:rPr>
            </w:pPr>
            <w:r>
              <w:rPr>
                <w:rFonts w:ascii="Trebuchet MS" w:hAnsi="Trebuchet MS"/>
                <w:sz w:val="20"/>
              </w:rPr>
              <w:t>48</w:t>
            </w:r>
          </w:p>
        </w:tc>
        <w:tc>
          <w:tcPr>
            <w:tcW w:w="2658" w:type="dxa"/>
          </w:tcPr>
          <w:p w14:paraId="5A1E8B86" w14:textId="77777777" w:rsidR="00930832" w:rsidRPr="00570B26" w:rsidRDefault="00930832" w:rsidP="00930832">
            <w:pPr>
              <w:spacing w:after="120" w:line="240" w:lineRule="auto"/>
              <w:ind w:left="0" w:right="0"/>
              <w:rPr>
                <w:rFonts w:asciiTheme="minorHAnsi" w:eastAsia="Times New Roman" w:hAnsiTheme="minorHAnsi" w:cs="Times New Roman"/>
                <w:b/>
                <w:color w:val="000000"/>
                <w:sz w:val="16"/>
                <w:szCs w:val="16"/>
              </w:rPr>
            </w:pPr>
          </w:p>
        </w:tc>
      </w:tr>
    </w:tbl>
    <w:p w14:paraId="6060D251" w14:textId="77777777" w:rsidR="009D6F42" w:rsidRDefault="009D6F42">
      <w:pPr>
        <w:spacing w:before="0" w:line="240" w:lineRule="auto"/>
        <w:ind w:left="0" w:right="0"/>
        <w:jc w:val="left"/>
        <w:rPr>
          <w:rFonts w:asciiTheme="minorHAnsi" w:hAnsiTheme="minorHAnsi"/>
        </w:rPr>
      </w:pPr>
      <w:r>
        <w:br w:type="page"/>
      </w:r>
    </w:p>
    <w:p w14:paraId="7D71689B" w14:textId="77777777" w:rsidR="009D6F42" w:rsidRPr="008727F2" w:rsidRDefault="009D6F42" w:rsidP="009D6F42">
      <w:pPr>
        <w:spacing w:before="240" w:after="240" w:line="240" w:lineRule="auto"/>
        <w:ind w:left="709" w:hanging="709"/>
        <w:rPr>
          <w:rFonts w:asciiTheme="minorHAnsi" w:hAnsiTheme="minorHAnsi"/>
          <w:sz w:val="24"/>
          <w:szCs w:val="24"/>
        </w:rPr>
      </w:pPr>
      <w:r>
        <w:rPr>
          <w:rFonts w:asciiTheme="minorHAnsi" w:hAnsiTheme="minorHAnsi"/>
          <w:b/>
          <w:sz w:val="24"/>
        </w:rPr>
        <w:lastRenderedPageBreak/>
        <w:t>2.2.3.</w:t>
      </w:r>
      <w:r>
        <w:rPr>
          <w:rFonts w:asciiTheme="minorHAnsi" w:hAnsiTheme="minorHAnsi"/>
          <w:b/>
          <w:sz w:val="24"/>
        </w:rPr>
        <w:tab/>
        <w:t xml:space="preserve">Cel szczegółowy </w:t>
      </w:r>
      <w:r>
        <w:rPr>
          <w:rFonts w:asciiTheme="minorHAnsi" w:hAnsiTheme="minorHAnsi"/>
          <w:sz w:val="24"/>
        </w:rPr>
        <w:t xml:space="preserve"> (dla każdego wybranego celu szczegółowego, priorytetów, z wyłączeniem pomocy technicznej)</w:t>
      </w:r>
    </w:p>
    <w:p w14:paraId="02C6F3D4" w14:textId="77777777" w:rsidR="009D6F42" w:rsidRPr="00D80606" w:rsidRDefault="009D6F42" w:rsidP="009D6F42">
      <w:pPr>
        <w:ind w:left="0"/>
        <w:rPr>
          <w:rFonts w:asciiTheme="minorHAnsi" w:hAnsiTheme="minorHAnsi"/>
          <w:color w:val="000000"/>
        </w:rPr>
      </w:pPr>
      <w:r w:rsidRPr="00D80606">
        <w:rPr>
          <w:rFonts w:asciiTheme="minorHAnsi" w:hAnsiTheme="minorHAnsi"/>
          <w:color w:val="000000"/>
        </w:rPr>
        <w:t>Podstawa: art. 17 ust. 4 lit. e</w:t>
      </w:r>
    </w:p>
    <w:p w14:paraId="2584C6B0" w14:textId="221B7B66" w:rsidR="00A32928" w:rsidRPr="00EB444C" w:rsidRDefault="00A32928" w:rsidP="00173920">
      <w:pPr>
        <w:pStyle w:val="CE-Headline4"/>
      </w:pPr>
      <w:bookmarkStart w:id="103" w:name="_Toc61245874"/>
      <w:bookmarkStart w:id="104" w:name="_Toc71036607"/>
      <w:r>
        <w:t xml:space="preserve">PO2- </w:t>
      </w:r>
      <w:r>
        <w:tab/>
        <w:t>(vi) Promowanie przejścia do gospodarki o obiegu zamkniętym, o efektywnym wykorzystaniu zasobów</w:t>
      </w:r>
      <w:bookmarkEnd w:id="103"/>
      <w:bookmarkEnd w:id="104"/>
      <w:r>
        <w:t xml:space="preserve"> </w:t>
      </w:r>
    </w:p>
    <w:p w14:paraId="71C70A08" w14:textId="270081B5" w:rsidR="009D6F42" w:rsidRDefault="009D6F42" w:rsidP="009D6F42">
      <w:pPr>
        <w:spacing w:before="240" w:after="240" w:line="240" w:lineRule="auto"/>
        <w:ind w:left="709" w:hanging="709"/>
        <w:rPr>
          <w:rFonts w:asciiTheme="minorHAnsi" w:hAnsiTheme="minorHAnsi"/>
          <w:b/>
          <w:sz w:val="24"/>
          <w:szCs w:val="24"/>
        </w:rPr>
      </w:pPr>
      <w:r>
        <w:rPr>
          <w:rFonts w:asciiTheme="minorHAnsi" w:hAnsiTheme="minorHAnsi"/>
          <w:b/>
          <w:sz w:val="24"/>
        </w:rPr>
        <w:t>2.2.3.1 Powiązane rodzaje działań i ich planowany wkład w osiągnięcie odpowiednio celów szczegółowych i strategii makroregionalnych i strategii dotyczących basenów morskich</w:t>
      </w:r>
    </w:p>
    <w:p w14:paraId="7BD8B94F" w14:textId="77777777" w:rsidR="009D6F42" w:rsidRPr="00D80606" w:rsidRDefault="009D6F42" w:rsidP="009D6F42">
      <w:pPr>
        <w:ind w:left="0"/>
        <w:rPr>
          <w:rFonts w:asciiTheme="minorHAnsi" w:hAnsiTheme="minorHAnsi"/>
          <w:color w:val="000000"/>
        </w:rPr>
      </w:pPr>
      <w:r w:rsidRPr="00D80606">
        <w:rPr>
          <w:rFonts w:asciiTheme="minorHAnsi" w:hAnsiTheme="minorHAnsi"/>
          <w:color w:val="000000"/>
        </w:rPr>
        <w:t>Podstawa: art. 17 ust. 4 lit. e pkt i, artykuł 17 ust. 9 lit. c pkt ii</w:t>
      </w:r>
    </w:p>
    <w:p w14:paraId="4449F4D3" w14:textId="77777777" w:rsidR="009D6F42" w:rsidRPr="00D80606" w:rsidRDefault="009D6F42" w:rsidP="009D6F42">
      <w:pPr>
        <w:ind w:left="0"/>
        <w:rPr>
          <w:rFonts w:asciiTheme="minorHAnsi" w:hAnsiTheme="minorHAnsi"/>
        </w:rPr>
      </w:pPr>
      <w:r w:rsidRPr="00D80606">
        <w:rPr>
          <w:rFonts w:asciiTheme="minorHAnsi" w:hAnsiTheme="minorHAnsi"/>
        </w:rPr>
        <w:t>Pole tekstowe [7000]</w:t>
      </w:r>
    </w:p>
    <w:tbl>
      <w:tblPr>
        <w:tblStyle w:val="Tabela-Siatka"/>
        <w:tblW w:w="0" w:type="auto"/>
        <w:tblLook w:val="04A0" w:firstRow="1" w:lastRow="0" w:firstColumn="1" w:lastColumn="0" w:noHBand="0" w:noVBand="1"/>
      </w:tblPr>
      <w:tblGrid>
        <w:gridCol w:w="9060"/>
      </w:tblGrid>
      <w:tr w:rsidR="009D6F42" w:rsidRPr="00A557D8" w14:paraId="52789E11" w14:textId="77777777" w:rsidTr="00816A75">
        <w:tc>
          <w:tcPr>
            <w:tcW w:w="9060" w:type="dxa"/>
          </w:tcPr>
          <w:p w14:paraId="6442167F" w14:textId="77777777" w:rsidR="009D6F42" w:rsidRPr="00D80606" w:rsidRDefault="00EB1C9F" w:rsidP="00816A75">
            <w:pPr>
              <w:ind w:left="0"/>
              <w:rPr>
                <w:rFonts w:asciiTheme="minorHAnsi" w:hAnsiTheme="minorHAnsi"/>
                <w:b/>
                <w:color w:val="000000"/>
                <w:sz w:val="26"/>
                <w:szCs w:val="26"/>
              </w:rPr>
            </w:pPr>
            <w:r w:rsidRPr="00D80606">
              <w:rPr>
                <w:rFonts w:asciiTheme="minorHAnsi" w:hAnsiTheme="minorHAnsi"/>
                <w:b/>
                <w:color w:val="000000"/>
                <w:sz w:val="26"/>
                <w:szCs w:val="26"/>
              </w:rPr>
              <w:t>Cel szczegółowy 2.3: Rozwój gospodarki o obiegu zamkniętym</w:t>
            </w:r>
          </w:p>
          <w:p w14:paraId="5665E9CA" w14:textId="77777777" w:rsidR="00EB1C9F" w:rsidRPr="00D80606" w:rsidRDefault="00EB1C9F" w:rsidP="00D80606">
            <w:pPr>
              <w:ind w:left="0" w:right="25"/>
              <w:jc w:val="left"/>
              <w:rPr>
                <w:rFonts w:asciiTheme="minorHAnsi" w:hAnsiTheme="minorHAnsi"/>
                <w:sz w:val="24"/>
                <w:szCs w:val="24"/>
              </w:rPr>
            </w:pPr>
            <w:r w:rsidRPr="00D80606">
              <w:rPr>
                <w:rFonts w:asciiTheme="minorHAnsi" w:hAnsiTheme="minorHAnsi"/>
                <w:b/>
                <w:sz w:val="24"/>
                <w:szCs w:val="24"/>
              </w:rPr>
              <w:t>Potrzeby terytorialne Europy Środkowej</w:t>
            </w:r>
            <w:r w:rsidRPr="00D80606">
              <w:rPr>
                <w:rFonts w:asciiTheme="minorHAnsi" w:hAnsiTheme="minorHAnsi"/>
                <w:sz w:val="24"/>
                <w:szCs w:val="24"/>
              </w:rPr>
              <w:t xml:space="preserve"> </w:t>
            </w:r>
          </w:p>
          <w:p w14:paraId="4A5451BD" w14:textId="2411E728" w:rsidR="00C96445" w:rsidRPr="00D80606" w:rsidRDefault="00A43D23" w:rsidP="00D80606">
            <w:pPr>
              <w:ind w:left="0" w:right="25"/>
              <w:jc w:val="left"/>
              <w:rPr>
                <w:rFonts w:asciiTheme="minorHAnsi" w:hAnsiTheme="minorHAnsi"/>
                <w:sz w:val="24"/>
                <w:szCs w:val="24"/>
              </w:rPr>
            </w:pPr>
            <w:r w:rsidRPr="00D80606">
              <w:rPr>
                <w:rFonts w:asciiTheme="minorHAnsi" w:hAnsiTheme="minorHAnsi"/>
                <w:sz w:val="24"/>
                <w:szCs w:val="24"/>
              </w:rPr>
              <w:t xml:space="preserve">Gospodarka o obiegu zamkniętym definiowana jest jako gospodarka, „w której wartość produktów, materiałów i zasobów jest zachowana przez jak najdłuższy czas, a wytwarzanie odpadów jest zminimalizowane” (KE, 2015). Jest ona również rozumiana jako strategia rozwoju, która „zakłada wzrost gospodarczy bez zwiększania konsumpcji zasobów, głęboką przemianę łańcuchów produkcji i nawyków konsumpcyjnych oraz przekształcenie systemów przemysłowych na poziomie systemowym” (KE, 2014, załącznik I). </w:t>
            </w:r>
          </w:p>
          <w:p w14:paraId="72A5A25F" w14:textId="7B1D447A" w:rsidR="008211C9" w:rsidRPr="00D80606" w:rsidRDefault="00C96445" w:rsidP="00D80606">
            <w:pPr>
              <w:ind w:left="0" w:right="25"/>
              <w:jc w:val="left"/>
              <w:rPr>
                <w:rFonts w:asciiTheme="minorHAnsi" w:hAnsiTheme="minorHAnsi"/>
                <w:sz w:val="24"/>
                <w:szCs w:val="24"/>
              </w:rPr>
            </w:pPr>
            <w:r w:rsidRPr="00D80606">
              <w:rPr>
                <w:rFonts w:asciiTheme="minorHAnsi" w:hAnsiTheme="minorHAnsi"/>
                <w:sz w:val="24"/>
                <w:szCs w:val="24"/>
              </w:rPr>
              <w:t xml:space="preserve">Oba rozumienia tego terminu znajdują odzwierciedlenie w nowym planie działania UE na rzecz gospodarki o obiegu zamkniętym (2020), który zapowiada inicjatywy </w:t>
            </w:r>
            <w:r w:rsidR="00677121" w:rsidRPr="00D80606">
              <w:rPr>
                <w:rFonts w:asciiTheme="minorHAnsi" w:hAnsiTheme="minorHAnsi"/>
                <w:sz w:val="24"/>
                <w:szCs w:val="24"/>
              </w:rPr>
              <w:t xml:space="preserve"> dotyczące</w:t>
            </w:r>
            <w:r w:rsidR="000562D3">
              <w:rPr>
                <w:rFonts w:asciiTheme="minorHAnsi" w:hAnsiTheme="minorHAnsi"/>
                <w:sz w:val="24"/>
                <w:szCs w:val="24"/>
              </w:rPr>
              <w:t xml:space="preserve"> </w:t>
            </w:r>
            <w:r w:rsidRPr="00D80606">
              <w:rPr>
                <w:rFonts w:asciiTheme="minorHAnsi" w:hAnsiTheme="minorHAnsi"/>
                <w:sz w:val="24"/>
                <w:szCs w:val="24"/>
              </w:rPr>
              <w:t xml:space="preserve">całego cyklu życia produktów, ukierunkowane na przykład na ich projektowanie, wspieranie procesów gospodarki o obiegu zamkniętym i wspieranie zrównoważonej konsumpcji. Koncepcja ta odznacza się znaczącym potencjałem do zmniejszenia presji na środowisko naturalne i tworzy nowe, ekologiczne możliwości prowadzenia działalności gospodarczej i tworzenia nowych miejsc pracy, przynosząc tym samym korzyści gospodarcze dla regionów. </w:t>
            </w:r>
          </w:p>
          <w:p w14:paraId="1EC6DA8E" w14:textId="0DED8889" w:rsidR="00EB1C9F" w:rsidRPr="00D80606" w:rsidRDefault="001F003F" w:rsidP="00D80606">
            <w:pPr>
              <w:ind w:left="0" w:right="25"/>
              <w:jc w:val="left"/>
              <w:rPr>
                <w:rFonts w:asciiTheme="minorHAnsi" w:hAnsiTheme="minorHAnsi"/>
                <w:sz w:val="24"/>
                <w:szCs w:val="24"/>
              </w:rPr>
            </w:pPr>
            <w:r w:rsidRPr="00D80606">
              <w:rPr>
                <w:rFonts w:asciiTheme="minorHAnsi" w:hAnsiTheme="minorHAnsi"/>
                <w:sz w:val="24"/>
                <w:szCs w:val="24"/>
              </w:rPr>
              <w:t xml:space="preserve">Europa Środkowa przybliża się do europejskich celów w zakresie ponownego wykorzystania i recyklingu odpadów, ale część jej regionów pozostaje nadal w tyle. Żeby zbudować bardziej efektywną pod względem wykorzystania zasobów i konkurencyjną gospodarkę, konieczne jest dalsze rozwijanie i doskonalenie sposobów podejścia opartych na gospodarce o obiegu zamkniętym, dopasowanych do konkretnych potrzeb obszarów miejskich i wiejskich. Taka transformacja wymaga stworzenia ram polityki na rzecz zrównoważonych produktów, reorganizacji najważniejszych łańcuchów wartości i przepływów materiałów (w tym energii i wody), lepszej gospodarki odpadami, a także stworzenia nowych modeli gospodarczych. </w:t>
            </w:r>
          </w:p>
          <w:p w14:paraId="4DBB29D7" w14:textId="77777777" w:rsidR="001F003F" w:rsidRPr="00D80606" w:rsidRDefault="001F003F" w:rsidP="00D80606">
            <w:pPr>
              <w:ind w:left="0" w:right="25"/>
              <w:jc w:val="left"/>
              <w:rPr>
                <w:rFonts w:asciiTheme="minorHAnsi" w:hAnsiTheme="minorHAnsi"/>
                <w:sz w:val="24"/>
                <w:szCs w:val="24"/>
                <w:highlight w:val="yellow"/>
              </w:rPr>
            </w:pPr>
          </w:p>
          <w:p w14:paraId="2040F60C" w14:textId="77777777" w:rsidR="001F003F" w:rsidRPr="00D80606" w:rsidRDefault="001F003F" w:rsidP="00D80606">
            <w:pPr>
              <w:ind w:left="0" w:right="25"/>
              <w:jc w:val="left"/>
              <w:rPr>
                <w:rFonts w:asciiTheme="minorHAnsi" w:hAnsiTheme="minorHAnsi"/>
                <w:b/>
                <w:sz w:val="24"/>
                <w:szCs w:val="24"/>
              </w:rPr>
            </w:pPr>
            <w:r w:rsidRPr="00D80606">
              <w:rPr>
                <w:rFonts w:asciiTheme="minorHAnsi" w:hAnsiTheme="minorHAnsi"/>
                <w:b/>
                <w:sz w:val="24"/>
                <w:szCs w:val="24"/>
              </w:rPr>
              <w:lastRenderedPageBreak/>
              <w:t xml:space="preserve">Działania w zakresie współpracy transnarodowej </w:t>
            </w:r>
          </w:p>
          <w:p w14:paraId="772BF523" w14:textId="199366EB" w:rsidR="001F003F" w:rsidRPr="00D80606" w:rsidRDefault="00AA1707" w:rsidP="00D80606">
            <w:pPr>
              <w:ind w:left="0" w:right="25"/>
              <w:jc w:val="left"/>
              <w:rPr>
                <w:rFonts w:asciiTheme="minorHAnsi" w:hAnsiTheme="minorHAnsi"/>
                <w:sz w:val="24"/>
                <w:szCs w:val="24"/>
              </w:rPr>
            </w:pPr>
            <w:r w:rsidRPr="00D80606">
              <w:rPr>
                <w:rFonts w:asciiTheme="minorHAnsi" w:hAnsiTheme="minorHAnsi"/>
                <w:sz w:val="24"/>
                <w:szCs w:val="24"/>
              </w:rPr>
              <w:t xml:space="preserve">W ramach niniejszego celu szczegółowego wsparcie z programu Interreg EUROPA ŚRODKOWA będzie przyznawane na współpracę transnarodową ukierunkowaną na stosowanie </w:t>
            </w:r>
            <w:r w:rsidR="004B049E" w:rsidRPr="00D80606">
              <w:rPr>
                <w:rFonts w:asciiTheme="minorHAnsi" w:hAnsiTheme="minorHAnsi"/>
                <w:sz w:val="24"/>
                <w:szCs w:val="24"/>
              </w:rPr>
              <w:t xml:space="preserve">podejść </w:t>
            </w:r>
            <w:r w:rsidRPr="00D80606">
              <w:rPr>
                <w:rFonts w:asciiTheme="minorHAnsi" w:hAnsiTheme="minorHAnsi"/>
                <w:sz w:val="24"/>
                <w:szCs w:val="24"/>
              </w:rPr>
              <w:t xml:space="preserve">opartych na gospodarce o obiegu zamkniętym w skali całego obszaru objętego programem. Przyczyni się to do wzmocnienia regionalnej wartości dodanej, zwłaszcza w regionach wiejskich i peryferyjnych. Dopuszczalne działania z zakresu współpracy obejmują </w:t>
            </w:r>
            <w:r w:rsidR="00677121" w:rsidRPr="00D80606">
              <w:rPr>
                <w:rFonts w:asciiTheme="minorHAnsi" w:hAnsiTheme="minorHAnsi"/>
                <w:sz w:val="24"/>
                <w:szCs w:val="24"/>
              </w:rPr>
              <w:t xml:space="preserve">wspólne </w:t>
            </w:r>
            <w:r w:rsidRPr="00D80606">
              <w:rPr>
                <w:rFonts w:asciiTheme="minorHAnsi" w:hAnsiTheme="minorHAnsi"/>
                <w:sz w:val="24"/>
                <w:szCs w:val="24"/>
              </w:rPr>
              <w:t xml:space="preserve">opracowanie i realizację strategii i planów działania, narzędzi, szkoleń, działań pilotażowych i powiązanych działań. Działania powinny być zgodne z Europejskim Zielonym Ładem i planem działania UE na rzecz gospodarki o obiegu zamkniętym i w konsekwencji przyczyniać się do poprawy cyklów życia produktów, promowania procesów gospodarki o obiegu zamkniętym i propagowania zrównoważonej konsumpcji (odrzucanie, przemyślenie, redukcja, ponowne wykorzystanie, naprawa, odnowienie, regeneracja, ponowne wykorzystanie, recykling, odzysk). Współpraca transnarodowa powinna przyczyniać się do przyspieszenia przejścia do gospodarki o obiegu zamkniętym przez pogłębianie wiedzy, doskonalenie uczenia się na temat polityki, a także przeprowadzanie testów dobrych praktyk w praktyce. </w:t>
            </w:r>
          </w:p>
          <w:p w14:paraId="6C682431" w14:textId="2B5A61B2" w:rsidR="001F003F" w:rsidRPr="00D80606" w:rsidRDefault="00E5384C" w:rsidP="00D80606">
            <w:pPr>
              <w:ind w:left="0" w:right="25"/>
              <w:jc w:val="left"/>
              <w:rPr>
                <w:rFonts w:asciiTheme="minorHAnsi" w:hAnsiTheme="minorHAnsi"/>
                <w:sz w:val="24"/>
                <w:szCs w:val="24"/>
              </w:rPr>
            </w:pPr>
            <w:r w:rsidRPr="00E5384C">
              <w:rPr>
                <w:rFonts w:asciiTheme="minorHAnsi" w:hAnsiTheme="minorHAnsi"/>
                <w:sz w:val="24"/>
                <w:szCs w:val="24"/>
              </w:rPr>
              <w:t>Konkretyzując</w:t>
            </w:r>
            <w:r w:rsidR="001F003F" w:rsidRPr="00D80606">
              <w:rPr>
                <w:rFonts w:asciiTheme="minorHAnsi" w:hAnsiTheme="minorHAnsi"/>
                <w:sz w:val="24"/>
                <w:szCs w:val="24"/>
              </w:rPr>
              <w:t>, program będzie finansował działania w następujących dziedzinach (prezentowana lista nie jest katalogiem zamkniętym):</w:t>
            </w:r>
          </w:p>
          <w:p w14:paraId="72415BF7" w14:textId="77777777" w:rsidR="001F003F" w:rsidRPr="00D80606" w:rsidRDefault="001F003F" w:rsidP="00D80606">
            <w:pPr>
              <w:pStyle w:val="Akapitzlist"/>
              <w:numPr>
                <w:ilvl w:val="0"/>
                <w:numId w:val="44"/>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Zapobieganie powstawaniu odpadów i zarządzanie nimi, recykling oraz odzyskiwanie zasobów i surowców</w:t>
            </w:r>
          </w:p>
          <w:p w14:paraId="50720FC9" w14:textId="77777777" w:rsidR="001F003F" w:rsidRPr="00D80606" w:rsidRDefault="001F003F" w:rsidP="00D80606">
            <w:pPr>
              <w:pStyle w:val="Akapitzlist"/>
              <w:numPr>
                <w:ilvl w:val="0"/>
                <w:numId w:val="44"/>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 xml:space="preserve">Naprawa i ponowne wykorzystanie </w:t>
            </w:r>
          </w:p>
          <w:p w14:paraId="42D47201" w14:textId="77777777" w:rsidR="001F003F" w:rsidRPr="00D80606" w:rsidRDefault="001F003F" w:rsidP="00D80606">
            <w:pPr>
              <w:pStyle w:val="Akapitzlist"/>
              <w:numPr>
                <w:ilvl w:val="0"/>
                <w:numId w:val="44"/>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Łańcuchy wartości w gospodarce o obiegu zamkniętym</w:t>
            </w:r>
          </w:p>
          <w:p w14:paraId="6B265DFD" w14:textId="77777777" w:rsidR="001F003F" w:rsidRPr="00D80606" w:rsidRDefault="001F003F" w:rsidP="00D80606">
            <w:pPr>
              <w:pStyle w:val="Akapitzlist"/>
              <w:numPr>
                <w:ilvl w:val="0"/>
                <w:numId w:val="44"/>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Ekologiczne procesy produkcyjne i systemy o obiegu zamkniętym</w:t>
            </w:r>
          </w:p>
          <w:p w14:paraId="39F093A5" w14:textId="77777777" w:rsidR="001F003F" w:rsidRPr="00D80606" w:rsidRDefault="001F003F" w:rsidP="00D80606">
            <w:pPr>
              <w:pStyle w:val="Akapitzlist"/>
              <w:numPr>
                <w:ilvl w:val="0"/>
                <w:numId w:val="44"/>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Zrównoważone projektowanie produktów (np. projektowanie ekologiczne) i procesy rozwoju produktów</w:t>
            </w:r>
          </w:p>
          <w:p w14:paraId="5D5CE799" w14:textId="77777777" w:rsidR="001F003F" w:rsidRPr="00D80606" w:rsidRDefault="001F003F" w:rsidP="00D80606">
            <w:pPr>
              <w:pStyle w:val="Akapitzlist"/>
              <w:numPr>
                <w:ilvl w:val="0"/>
                <w:numId w:val="44"/>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Zmiany sposobów postępowania producentów, konsumentów, nabywców publicznych itd.</w:t>
            </w:r>
          </w:p>
          <w:p w14:paraId="0F0952A4" w14:textId="77777777" w:rsidR="00862A66" w:rsidRPr="00D80606" w:rsidRDefault="00862A66" w:rsidP="00D80606">
            <w:pPr>
              <w:ind w:left="0" w:right="25"/>
              <w:jc w:val="left"/>
              <w:rPr>
                <w:rFonts w:asciiTheme="minorHAnsi" w:hAnsiTheme="minorHAnsi"/>
                <w:sz w:val="24"/>
                <w:szCs w:val="24"/>
              </w:rPr>
            </w:pPr>
          </w:p>
          <w:p w14:paraId="05C937E6" w14:textId="77777777" w:rsidR="001F003F" w:rsidRPr="00D80606" w:rsidRDefault="001F003F" w:rsidP="00D80606">
            <w:pPr>
              <w:spacing w:before="80" w:after="80"/>
              <w:ind w:left="0" w:right="0"/>
              <w:jc w:val="left"/>
              <w:rPr>
                <w:rFonts w:ascii="Trebuchet MS" w:eastAsiaTheme="minorHAnsi" w:hAnsi="Trebuchet MS" w:cstheme="minorBidi"/>
                <w:b/>
                <w:sz w:val="24"/>
                <w:szCs w:val="24"/>
                <w:u w:val="single"/>
              </w:rPr>
            </w:pPr>
            <w:r w:rsidRPr="00D80606">
              <w:rPr>
                <w:rFonts w:ascii="Trebuchet MS" w:hAnsi="Trebuchet MS"/>
                <w:b/>
                <w:sz w:val="24"/>
                <w:szCs w:val="24"/>
                <w:u w:val="single"/>
              </w:rPr>
              <w:t xml:space="preserve">Przykłady wspieranych działań (prezentowana lista nie jest katalogiem zamkniętym): </w:t>
            </w:r>
          </w:p>
          <w:p w14:paraId="13722D9A" w14:textId="77777777" w:rsidR="001F003F" w:rsidRPr="00D80606" w:rsidRDefault="001F003F" w:rsidP="00D80606">
            <w:pPr>
              <w:pStyle w:val="Akapitzlist"/>
              <w:numPr>
                <w:ilvl w:val="0"/>
                <w:numId w:val="45"/>
              </w:numPr>
              <w:ind w:left="452" w:right="23" w:hanging="425"/>
              <w:contextualSpacing w:val="0"/>
              <w:jc w:val="left"/>
              <w:rPr>
                <w:rFonts w:asciiTheme="minorHAnsi" w:hAnsiTheme="minorHAnsi"/>
                <w:sz w:val="24"/>
                <w:szCs w:val="24"/>
              </w:rPr>
            </w:pPr>
            <w:r w:rsidRPr="00D80606">
              <w:rPr>
                <w:rFonts w:asciiTheme="minorHAnsi" w:hAnsiTheme="minorHAnsi"/>
                <w:sz w:val="24"/>
                <w:szCs w:val="24"/>
              </w:rPr>
              <w:t>Zwiększanie świadomości decydentów politycznych i interesariuszy w zakresie szans, jakie gospodarka o obiegu zamkniętym tworzy dla środowiska naturalnego i gospodarki, a także zwiększanie ich zdolności do wykorzystania sposobów podejścia opartych na gospodarce o obiegu zamkniętym w praktyce.</w:t>
            </w:r>
          </w:p>
          <w:p w14:paraId="1E4C2585" w14:textId="70F322F3" w:rsidR="001F003F" w:rsidRPr="00D80606" w:rsidRDefault="001F003F" w:rsidP="00D80606">
            <w:pPr>
              <w:pStyle w:val="Akapitzlist"/>
              <w:numPr>
                <w:ilvl w:val="0"/>
                <w:numId w:val="45"/>
              </w:numPr>
              <w:ind w:left="452" w:right="23" w:hanging="425"/>
              <w:contextualSpacing w:val="0"/>
              <w:jc w:val="left"/>
              <w:rPr>
                <w:rFonts w:asciiTheme="minorHAnsi" w:hAnsiTheme="minorHAnsi"/>
                <w:sz w:val="24"/>
                <w:szCs w:val="24"/>
              </w:rPr>
            </w:pPr>
            <w:r w:rsidRPr="00D80606">
              <w:rPr>
                <w:rFonts w:asciiTheme="minorHAnsi" w:hAnsiTheme="minorHAnsi"/>
                <w:sz w:val="24"/>
                <w:szCs w:val="24"/>
              </w:rPr>
              <w:t xml:space="preserve">Wspieranie ram polityki na rzecz stosowania i doskonalenia sposobów </w:t>
            </w:r>
            <w:r w:rsidRPr="00D80606">
              <w:rPr>
                <w:rFonts w:asciiTheme="minorHAnsi" w:hAnsiTheme="minorHAnsi"/>
                <w:sz w:val="24"/>
                <w:szCs w:val="24"/>
              </w:rPr>
              <w:lastRenderedPageBreak/>
              <w:t>podejścia opartych na gospodarce o obiegu zamkniętym, np. przez wdrażanie i realizację zintegrowanych strategii i planów działania na rzecz gospodarki o obiegu zamkniętym na poziomie lokalnym i regionalnym</w:t>
            </w:r>
            <w:r w:rsidR="00B30D7F" w:rsidRPr="00D80606">
              <w:rPr>
                <w:rFonts w:asciiTheme="minorHAnsi" w:hAnsiTheme="minorHAnsi"/>
                <w:sz w:val="24"/>
                <w:szCs w:val="24"/>
              </w:rPr>
              <w:t xml:space="preserve">, w tym </w:t>
            </w:r>
            <w:r w:rsidR="00D75368" w:rsidRPr="00D80606">
              <w:rPr>
                <w:rFonts w:asciiTheme="minorHAnsi" w:hAnsiTheme="minorHAnsi"/>
                <w:sz w:val="24"/>
                <w:szCs w:val="24"/>
              </w:rPr>
              <w:t>powiązane regionalne programy innowacji</w:t>
            </w:r>
            <w:r w:rsidRPr="00D80606">
              <w:rPr>
                <w:rFonts w:asciiTheme="minorHAnsi" w:hAnsiTheme="minorHAnsi"/>
                <w:sz w:val="24"/>
                <w:szCs w:val="24"/>
              </w:rPr>
              <w:t>.</w:t>
            </w:r>
          </w:p>
          <w:p w14:paraId="6A48181C" w14:textId="7D3E0FCB" w:rsidR="001F003F" w:rsidRPr="00D80606" w:rsidRDefault="001F003F" w:rsidP="00D80606">
            <w:pPr>
              <w:pStyle w:val="Akapitzlist"/>
              <w:numPr>
                <w:ilvl w:val="0"/>
                <w:numId w:val="45"/>
              </w:numPr>
              <w:ind w:left="452" w:right="23" w:hanging="425"/>
              <w:contextualSpacing w:val="0"/>
              <w:jc w:val="left"/>
              <w:rPr>
                <w:rFonts w:asciiTheme="minorHAnsi" w:hAnsiTheme="minorHAnsi"/>
                <w:sz w:val="24"/>
                <w:szCs w:val="24"/>
              </w:rPr>
            </w:pPr>
            <w:r w:rsidRPr="00D80606">
              <w:rPr>
                <w:rFonts w:asciiTheme="minorHAnsi" w:hAnsiTheme="minorHAnsi"/>
                <w:sz w:val="24"/>
                <w:szCs w:val="24"/>
              </w:rPr>
              <w:t>Doskonalenie polityk i kompetencji w zakresie gospodarki odpadami w sektorze publicznym i prywatnym, w tym przeciwdziałanie, przetwarzanie i recykling odpadów komunalnych (np. odzyskiwanie odpadów organicznych, w tym substancji odżywczych ze ścieków komunalnych) i przemysłowych</w:t>
            </w:r>
          </w:p>
          <w:p w14:paraId="50F0D86E" w14:textId="3BC1FC66" w:rsidR="00805CBD" w:rsidRPr="00D80606" w:rsidRDefault="00805CBD" w:rsidP="00D80606">
            <w:pPr>
              <w:pStyle w:val="Akapitzlist"/>
              <w:numPr>
                <w:ilvl w:val="0"/>
                <w:numId w:val="45"/>
              </w:numPr>
              <w:ind w:left="452" w:right="23" w:hanging="425"/>
              <w:contextualSpacing w:val="0"/>
              <w:jc w:val="left"/>
              <w:rPr>
                <w:rFonts w:asciiTheme="minorHAnsi" w:hAnsiTheme="minorHAnsi"/>
                <w:sz w:val="24"/>
                <w:szCs w:val="24"/>
              </w:rPr>
            </w:pPr>
            <w:r w:rsidRPr="00D80606">
              <w:rPr>
                <w:rFonts w:asciiTheme="minorHAnsi" w:hAnsiTheme="minorHAnsi"/>
                <w:sz w:val="24"/>
                <w:szCs w:val="24"/>
              </w:rPr>
              <w:t>Wspieranie podejść mających na celu ograniczenie składowania wszystkich rodzajów odpadów i zachowanie ich wartości (jako przyszłych zasobów) w cyklu gospodarczym</w:t>
            </w:r>
          </w:p>
          <w:p w14:paraId="286E2E19" w14:textId="59D1E90F" w:rsidR="00B40FCF" w:rsidRPr="00D80606" w:rsidRDefault="001F003F" w:rsidP="00D80606">
            <w:pPr>
              <w:pStyle w:val="Akapitzlist"/>
              <w:numPr>
                <w:ilvl w:val="0"/>
                <w:numId w:val="45"/>
              </w:numPr>
              <w:ind w:left="452" w:right="23" w:hanging="425"/>
              <w:contextualSpacing w:val="0"/>
              <w:jc w:val="left"/>
              <w:rPr>
                <w:rFonts w:asciiTheme="minorHAnsi" w:hAnsiTheme="minorHAnsi"/>
                <w:sz w:val="24"/>
                <w:szCs w:val="24"/>
              </w:rPr>
            </w:pPr>
            <w:r w:rsidRPr="00D80606">
              <w:rPr>
                <w:rFonts w:asciiTheme="minorHAnsi" w:hAnsiTheme="minorHAnsi"/>
                <w:sz w:val="24"/>
                <w:szCs w:val="24"/>
              </w:rPr>
              <w:t>Rozwijanie i przeprowadzanie testów rozwiązań sprzyjających odzyskowi i ponownemu wykorzystaniu surowców (np. tworzenie lokalnych rynków surowców wtórnych, stworzenie rynku produktów pochodzących z recyklingu w Europie Środkowej)</w:t>
            </w:r>
          </w:p>
          <w:p w14:paraId="10478B80" w14:textId="3BCC1CE3" w:rsidR="001F003F" w:rsidRPr="00D80606" w:rsidRDefault="0002090C" w:rsidP="00D80606">
            <w:pPr>
              <w:pStyle w:val="Akapitzlist"/>
              <w:numPr>
                <w:ilvl w:val="0"/>
                <w:numId w:val="45"/>
              </w:numPr>
              <w:ind w:left="452" w:right="23" w:hanging="425"/>
              <w:contextualSpacing w:val="0"/>
              <w:jc w:val="left"/>
              <w:rPr>
                <w:rFonts w:asciiTheme="minorHAnsi" w:hAnsiTheme="minorHAnsi"/>
                <w:sz w:val="24"/>
                <w:szCs w:val="24"/>
              </w:rPr>
            </w:pPr>
            <w:r w:rsidRPr="00D80606">
              <w:rPr>
                <w:rFonts w:asciiTheme="minorHAnsi" w:hAnsiTheme="minorHAnsi"/>
                <w:sz w:val="24"/>
                <w:szCs w:val="24"/>
              </w:rPr>
              <w:t>Przeprowadzanie testów działań polegających na naprawie, ponownym wykorzystaniu i odnowie przez prowadzenie działań pilotażowych z bezpośrednim zaangażowaniem obywateli</w:t>
            </w:r>
          </w:p>
          <w:p w14:paraId="23BF6FF7" w14:textId="683E632C" w:rsidR="001F003F" w:rsidRPr="00D80606" w:rsidRDefault="001F003F" w:rsidP="00D80606">
            <w:pPr>
              <w:pStyle w:val="Akapitzlist"/>
              <w:numPr>
                <w:ilvl w:val="0"/>
                <w:numId w:val="45"/>
              </w:numPr>
              <w:ind w:left="452" w:right="23" w:hanging="425"/>
              <w:contextualSpacing w:val="0"/>
              <w:jc w:val="left"/>
              <w:rPr>
                <w:rFonts w:asciiTheme="minorHAnsi" w:hAnsiTheme="minorHAnsi"/>
                <w:sz w:val="24"/>
                <w:szCs w:val="24"/>
              </w:rPr>
            </w:pPr>
            <w:r w:rsidRPr="00D80606">
              <w:rPr>
                <w:rFonts w:asciiTheme="minorHAnsi" w:hAnsiTheme="minorHAnsi"/>
                <w:sz w:val="24"/>
                <w:szCs w:val="24"/>
              </w:rPr>
              <w:t>Rozwijanie i wdrażanie w praktyce koncepcji symbiozy przemysłowej na poziomie terytorialnym i wzmacnianie przemysłowych sieci efektywnie wykorzystujących zasoby i ekosystemów gospodarczych</w:t>
            </w:r>
          </w:p>
          <w:p w14:paraId="7E51833C" w14:textId="1049E28F" w:rsidR="00B40FCF" w:rsidRPr="00D80606" w:rsidRDefault="001F003F" w:rsidP="00D80606">
            <w:pPr>
              <w:pStyle w:val="Akapitzlist"/>
              <w:numPr>
                <w:ilvl w:val="0"/>
                <w:numId w:val="45"/>
              </w:numPr>
              <w:ind w:left="452" w:right="23" w:hanging="425"/>
              <w:contextualSpacing w:val="0"/>
              <w:jc w:val="left"/>
              <w:rPr>
                <w:rFonts w:asciiTheme="minorHAnsi" w:hAnsiTheme="minorHAnsi"/>
                <w:sz w:val="24"/>
                <w:szCs w:val="24"/>
              </w:rPr>
            </w:pPr>
            <w:r w:rsidRPr="00D80606">
              <w:rPr>
                <w:rFonts w:asciiTheme="minorHAnsi" w:hAnsiTheme="minorHAnsi"/>
                <w:sz w:val="24"/>
                <w:szCs w:val="24"/>
              </w:rPr>
              <w:t>Tworzenie ram polityki na rzecz zrównoważonych produktów i wsparcia lokalnych i regionalnych struktur zarządzania, które promują obieg zamknięty</w:t>
            </w:r>
            <w:r w:rsidR="004B049E" w:rsidRPr="00D80606">
              <w:rPr>
                <w:rFonts w:asciiTheme="minorHAnsi" w:hAnsiTheme="minorHAnsi"/>
                <w:sz w:val="24"/>
                <w:szCs w:val="24"/>
              </w:rPr>
              <w:t>,</w:t>
            </w:r>
            <w:r w:rsidRPr="00D80606">
              <w:rPr>
                <w:rFonts w:asciiTheme="minorHAnsi" w:hAnsiTheme="minorHAnsi"/>
                <w:sz w:val="24"/>
                <w:szCs w:val="24"/>
              </w:rPr>
              <w:t xml:space="preserve"> eko-innowacje i ekologiczne projektowanie w skali całego cyklu życia produktów</w:t>
            </w:r>
          </w:p>
          <w:p w14:paraId="1538FD4C" w14:textId="19DBF101" w:rsidR="001F003F" w:rsidRPr="00D80606" w:rsidRDefault="001F003F" w:rsidP="00D80606">
            <w:pPr>
              <w:pStyle w:val="Akapitzlist"/>
              <w:numPr>
                <w:ilvl w:val="0"/>
                <w:numId w:val="45"/>
              </w:numPr>
              <w:ind w:left="452" w:right="23" w:hanging="425"/>
              <w:contextualSpacing w:val="0"/>
              <w:jc w:val="left"/>
              <w:rPr>
                <w:rFonts w:asciiTheme="minorHAnsi" w:hAnsiTheme="minorHAnsi"/>
                <w:sz w:val="24"/>
                <w:szCs w:val="24"/>
              </w:rPr>
            </w:pPr>
            <w:r w:rsidRPr="00D80606">
              <w:rPr>
                <w:rFonts w:asciiTheme="minorHAnsi" w:hAnsiTheme="minorHAnsi"/>
                <w:sz w:val="24"/>
                <w:szCs w:val="24"/>
              </w:rPr>
              <w:t>Wymiana wiedzy i dobrych praktyk w zakresie rozwiązań związanych z ekologicznymi procesami produkcyjnymi uwzględniającymi obieg zamknięty w różnych sektorach przemysłowych (np. w elektronice, budownictwie i mieszkalnictwie, przemyśle tekstylnym, tworzyw sztucznych, opakowań, produkcji żywności i rolnictwie) i przeprowadzanie ich testów w ramach działań pilotażowych</w:t>
            </w:r>
          </w:p>
          <w:p w14:paraId="465A190A" w14:textId="7BFEA9FA" w:rsidR="001F003F" w:rsidRPr="00D80606" w:rsidRDefault="001F003F" w:rsidP="00D80606">
            <w:pPr>
              <w:pStyle w:val="Akapitzlist"/>
              <w:numPr>
                <w:ilvl w:val="0"/>
                <w:numId w:val="45"/>
              </w:numPr>
              <w:ind w:left="452" w:right="23" w:hanging="425"/>
              <w:contextualSpacing w:val="0"/>
              <w:jc w:val="left"/>
              <w:rPr>
                <w:rFonts w:asciiTheme="minorHAnsi" w:hAnsiTheme="minorHAnsi"/>
                <w:sz w:val="24"/>
                <w:szCs w:val="24"/>
              </w:rPr>
            </w:pPr>
            <w:r w:rsidRPr="00D80606">
              <w:rPr>
                <w:rFonts w:asciiTheme="minorHAnsi" w:hAnsiTheme="minorHAnsi"/>
                <w:sz w:val="24"/>
                <w:szCs w:val="24"/>
              </w:rPr>
              <w:t>Wzmacnianie współpracy między podmiotami z najważniejszych łańcuchów wartości w celu znoszenia barier w stosowaniu sposobów podejścia opartych na gospodarce o obiegu zamkniętym (z uwzględnieniem aspektów rynkowych i globalizacji)</w:t>
            </w:r>
          </w:p>
          <w:p w14:paraId="097F699B" w14:textId="373ECD85" w:rsidR="001F003F" w:rsidRPr="00D80606" w:rsidRDefault="001F003F" w:rsidP="00D80606">
            <w:pPr>
              <w:pStyle w:val="Akapitzlist"/>
              <w:numPr>
                <w:ilvl w:val="0"/>
                <w:numId w:val="45"/>
              </w:numPr>
              <w:ind w:left="452" w:right="23" w:hanging="425"/>
              <w:contextualSpacing w:val="0"/>
              <w:jc w:val="left"/>
              <w:rPr>
                <w:rFonts w:asciiTheme="minorHAnsi" w:hAnsiTheme="minorHAnsi"/>
                <w:sz w:val="24"/>
                <w:szCs w:val="24"/>
              </w:rPr>
            </w:pPr>
            <w:r w:rsidRPr="00D80606">
              <w:rPr>
                <w:rFonts w:asciiTheme="minorHAnsi" w:hAnsiTheme="minorHAnsi"/>
                <w:sz w:val="24"/>
                <w:szCs w:val="24"/>
              </w:rPr>
              <w:t>Propagowanie i przeprowadzanie testów rozwiązań cyfrowych na potrzeby gospodarki o obiegu zamkniętym, w tym aplikacji i usług (np. paszportów produktów, mapowania zasobów i informacji konsumenckiej)</w:t>
            </w:r>
          </w:p>
          <w:p w14:paraId="78031208" w14:textId="77777777" w:rsidR="001F003F" w:rsidRPr="00D80606" w:rsidRDefault="001F003F" w:rsidP="00D80606">
            <w:pPr>
              <w:pStyle w:val="Akapitzlist"/>
              <w:numPr>
                <w:ilvl w:val="0"/>
                <w:numId w:val="45"/>
              </w:numPr>
              <w:ind w:left="452" w:right="23" w:hanging="425"/>
              <w:contextualSpacing w:val="0"/>
              <w:jc w:val="left"/>
              <w:rPr>
                <w:rFonts w:asciiTheme="minorHAnsi" w:hAnsiTheme="minorHAnsi"/>
                <w:sz w:val="24"/>
                <w:szCs w:val="24"/>
              </w:rPr>
            </w:pPr>
            <w:r w:rsidRPr="00D80606">
              <w:rPr>
                <w:rFonts w:asciiTheme="minorHAnsi" w:hAnsiTheme="minorHAnsi"/>
                <w:sz w:val="24"/>
                <w:szCs w:val="24"/>
              </w:rPr>
              <w:t xml:space="preserve">Wzmacnianie współpracy między sektorem publicznym i prywatnym w celu </w:t>
            </w:r>
            <w:r w:rsidRPr="00D80606">
              <w:rPr>
                <w:rFonts w:asciiTheme="minorHAnsi" w:hAnsiTheme="minorHAnsi"/>
                <w:sz w:val="24"/>
                <w:szCs w:val="24"/>
              </w:rPr>
              <w:lastRenderedPageBreak/>
              <w:t>projektowania instrumentów finansowych i zrównoważonych modeli gospodarczych, które przyczyniają się do wprowadzania innowacyjnych rozwiązań z zakresu gospodarki o obiegu zamkniętym i bardziej ekologicznych procesów produkcyjnych</w:t>
            </w:r>
          </w:p>
          <w:p w14:paraId="28D7BBFD" w14:textId="34C9127C" w:rsidR="001F003F" w:rsidRPr="00D80606" w:rsidRDefault="001F003F" w:rsidP="00D80606">
            <w:pPr>
              <w:pStyle w:val="Akapitzlist"/>
              <w:numPr>
                <w:ilvl w:val="0"/>
                <w:numId w:val="45"/>
              </w:numPr>
              <w:ind w:left="449" w:right="23" w:hanging="425"/>
              <w:contextualSpacing w:val="0"/>
              <w:jc w:val="left"/>
              <w:rPr>
                <w:rFonts w:asciiTheme="minorHAnsi" w:hAnsiTheme="minorHAnsi"/>
                <w:sz w:val="24"/>
                <w:szCs w:val="24"/>
              </w:rPr>
            </w:pPr>
            <w:r w:rsidRPr="00D80606">
              <w:rPr>
                <w:rFonts w:asciiTheme="minorHAnsi" w:hAnsiTheme="minorHAnsi"/>
                <w:sz w:val="24"/>
                <w:szCs w:val="24"/>
              </w:rPr>
              <w:t xml:space="preserve">Rozwijanie i przeprowadzanie testów sposobów podejścia, które przyczyniają się do zmiany sposobu postępowania i zwiększenia akceptacji bardziej zrównoważonych produktów (np. poprzez promocję i przyjmowanie mechanizmów takich jak EMAS, </w:t>
            </w:r>
            <w:r w:rsidRPr="008A72BA">
              <w:rPr>
                <w:rFonts w:asciiTheme="minorHAnsi" w:hAnsiTheme="minorHAnsi"/>
                <w:sz w:val="24"/>
                <w:szCs w:val="24"/>
              </w:rPr>
              <w:t>EU Ecolabel</w:t>
            </w:r>
            <w:r w:rsidRPr="00D80606">
              <w:rPr>
                <w:rFonts w:asciiTheme="minorHAnsi" w:hAnsiTheme="minorHAnsi"/>
                <w:sz w:val="24"/>
                <w:szCs w:val="24"/>
              </w:rPr>
              <w:t xml:space="preserve"> czy Zielone Zamówienia Publiczne (</w:t>
            </w:r>
            <w:r w:rsidRPr="008A72BA">
              <w:rPr>
                <w:rFonts w:asciiTheme="minorHAnsi" w:hAnsiTheme="minorHAnsi"/>
                <w:sz w:val="24"/>
                <w:szCs w:val="24"/>
              </w:rPr>
              <w:t>Green Public Procurement</w:t>
            </w:r>
            <w:r w:rsidRPr="00D80606">
              <w:rPr>
                <w:rFonts w:asciiTheme="minorHAnsi" w:hAnsiTheme="minorHAnsi"/>
                <w:sz w:val="24"/>
                <w:szCs w:val="24"/>
              </w:rPr>
              <w:t>) i efektywnych pod względem wykorzystania zasobów wzorców konsumpcji i produkcji (np. zintegrowanych sposobów podejścia na rzecz przeciwdziałania marnotrawieniu żywności)</w:t>
            </w:r>
          </w:p>
          <w:p w14:paraId="77538EC8" w14:textId="7BBB5AC6" w:rsidR="001F003F" w:rsidRPr="00D80606" w:rsidRDefault="001F003F" w:rsidP="00D80606">
            <w:pPr>
              <w:pStyle w:val="Akapitzlist"/>
              <w:numPr>
                <w:ilvl w:val="0"/>
                <w:numId w:val="45"/>
              </w:numPr>
              <w:ind w:left="452" w:right="23" w:hanging="425"/>
              <w:contextualSpacing w:val="0"/>
              <w:jc w:val="left"/>
              <w:rPr>
                <w:rFonts w:asciiTheme="minorHAnsi" w:hAnsiTheme="minorHAnsi"/>
                <w:sz w:val="24"/>
                <w:szCs w:val="24"/>
              </w:rPr>
            </w:pPr>
            <w:r w:rsidRPr="00D80606">
              <w:rPr>
                <w:rFonts w:asciiTheme="minorHAnsi" w:hAnsiTheme="minorHAnsi"/>
                <w:sz w:val="24"/>
                <w:szCs w:val="24"/>
              </w:rPr>
              <w:t>Rozwijanie i przeprowadzanie testów sposobów podejścia, które zwiększają popyt rynkowy na materiały i produkty pochodzące z recyklingu (np. zrównoważone zamówienia publiczne)</w:t>
            </w:r>
          </w:p>
          <w:p w14:paraId="616CB6EC" w14:textId="2E624289" w:rsidR="00F001BD" w:rsidRPr="00D80606" w:rsidRDefault="00F001BD" w:rsidP="00D80606">
            <w:pPr>
              <w:ind w:left="0" w:right="25"/>
              <w:jc w:val="left"/>
              <w:rPr>
                <w:rFonts w:asciiTheme="minorHAnsi" w:hAnsiTheme="minorHAnsi"/>
                <w:sz w:val="24"/>
                <w:szCs w:val="24"/>
              </w:rPr>
            </w:pPr>
            <w:r w:rsidRPr="00D80606">
              <w:rPr>
                <w:rFonts w:asciiTheme="minorHAnsi" w:hAnsiTheme="minorHAnsi"/>
                <w:sz w:val="24"/>
                <w:szCs w:val="24"/>
              </w:rPr>
              <w:t>Działania w ramach niniejszego celu szczegółowego powinny mieć na celu w szczególności uczenie się polityki oraz szerokie stosowanie i rozpowszechnianie rozwiązań gospodarki o obiegu zamkniętym na terytoriach Europy Środkowej. Różni się to od działań oczekiwanych w ramach celu szczegółowego nr 1.1, które mogą również przyczynić się do rozwoju gospodarki w większym stopniu opartej na obiegu zamkniętym, ale bardziej ogólnie dotyczy aspektów badań naukowych i innowacji mających na celu wspieranie bardziej ekologicznej i inteligentnej gospodarki, w tym przejścia na gospodarkę o obiegu zamkniętym, zgodnie z priorytetami dotyczącymi inteligentnej specjalizacji.</w:t>
            </w:r>
          </w:p>
          <w:p w14:paraId="5659C4EF" w14:textId="2D6937AC" w:rsidR="003C1BA9" w:rsidRPr="00D80606" w:rsidRDefault="001F003F" w:rsidP="00D80606">
            <w:pPr>
              <w:ind w:left="0" w:right="25"/>
              <w:jc w:val="left"/>
              <w:rPr>
                <w:rFonts w:asciiTheme="minorHAnsi" w:hAnsiTheme="minorHAnsi"/>
                <w:sz w:val="24"/>
                <w:szCs w:val="24"/>
              </w:rPr>
            </w:pPr>
            <w:r w:rsidRPr="00D80606">
              <w:rPr>
                <w:rFonts w:asciiTheme="minorHAnsi" w:hAnsiTheme="minorHAnsi"/>
                <w:sz w:val="24"/>
                <w:szCs w:val="24"/>
              </w:rPr>
              <w:t>Szczególnie zachęca się, by działania generowały synergie z instrumentami krajowymi i UE na rzecz wykorzystania innowacyjnych wyników i technologii (np. z programu Horyzont Europa) w tym stowarzyszenia na rzecz obiegowej gospodarki tworzywami sztucznymi (</w:t>
            </w:r>
            <w:r w:rsidRPr="008A72BA">
              <w:rPr>
                <w:rFonts w:asciiTheme="minorHAnsi" w:hAnsiTheme="minorHAnsi"/>
                <w:sz w:val="24"/>
                <w:szCs w:val="24"/>
              </w:rPr>
              <w:t>Circular Plastic Alliance</w:t>
            </w:r>
            <w:r w:rsidRPr="00D80606">
              <w:rPr>
                <w:rFonts w:asciiTheme="minorHAnsi" w:hAnsiTheme="minorHAnsi"/>
                <w:sz w:val="24"/>
                <w:szCs w:val="24"/>
              </w:rPr>
              <w:t>) lub konsorcjum przemysłowego opartego na biogospodarce, a także do uwzględnienia planów działania w ramach strategii makroregionalnych. Działania powinny przyczyniać się do wykorzystania inwestycji finansowanych na przykład z krajowych i regionalnych programów EFRR lub Wspólnego Funduszu Transformacji.</w:t>
            </w:r>
          </w:p>
          <w:p w14:paraId="2ABD1A42" w14:textId="77777777" w:rsidR="009D6F42" w:rsidRPr="00D80606" w:rsidRDefault="009D6F42" w:rsidP="00D80606">
            <w:pPr>
              <w:ind w:left="0"/>
              <w:jc w:val="left"/>
              <w:rPr>
                <w:rFonts w:asciiTheme="minorHAnsi" w:hAnsiTheme="minorHAnsi"/>
                <w:color w:val="000000"/>
                <w:sz w:val="24"/>
                <w:szCs w:val="24"/>
              </w:rPr>
            </w:pPr>
          </w:p>
          <w:p w14:paraId="33A517C4" w14:textId="77777777" w:rsidR="00A0399C" w:rsidRPr="00D80606" w:rsidRDefault="00A0399C" w:rsidP="00D80606">
            <w:pPr>
              <w:ind w:left="0" w:right="25"/>
              <w:jc w:val="left"/>
              <w:rPr>
                <w:rFonts w:asciiTheme="minorHAnsi" w:hAnsiTheme="minorHAnsi"/>
                <w:b/>
                <w:sz w:val="24"/>
                <w:szCs w:val="24"/>
              </w:rPr>
            </w:pPr>
            <w:r w:rsidRPr="00D80606">
              <w:rPr>
                <w:rFonts w:asciiTheme="minorHAnsi" w:hAnsiTheme="minorHAnsi"/>
                <w:b/>
                <w:sz w:val="24"/>
                <w:szCs w:val="24"/>
              </w:rPr>
              <w:t xml:space="preserve">Planowane wyniki </w:t>
            </w:r>
          </w:p>
          <w:p w14:paraId="5F8D801C" w14:textId="3829706E" w:rsidR="009D6F42" w:rsidRPr="008727F2" w:rsidRDefault="00786E4D" w:rsidP="00D80606">
            <w:pPr>
              <w:ind w:left="0" w:right="25"/>
              <w:jc w:val="left"/>
              <w:rPr>
                <w:rFonts w:asciiTheme="minorHAnsi" w:hAnsiTheme="minorHAnsi"/>
                <w:i/>
                <w:color w:val="000000"/>
              </w:rPr>
            </w:pPr>
            <w:r w:rsidRPr="00D80606">
              <w:rPr>
                <w:rFonts w:asciiTheme="minorHAnsi" w:hAnsiTheme="minorHAnsi"/>
                <w:sz w:val="24"/>
                <w:szCs w:val="24"/>
              </w:rPr>
              <w:t xml:space="preserve">Działania w ramach współpracy transnarodowej przyczynią się do zwiększenia zdolności publicznych i prywatnych interesariuszy w Europie Środkowej w zakresie realizacji polityk na rzecz gospodarki o obiegu zamkniętym i wykorzystania w praktyce rozwiązań o charakterze innowacyjnym. Działania będą przyczyniać się do poprawy ram polityki na rzecz tworzenia zrównoważonych produktów i wywołania zmiany w sposobie postępowania konsumentów. Przyczynią się one także do wyeliminowania barier w realizacji i </w:t>
            </w:r>
            <w:r w:rsidRPr="00D80606">
              <w:rPr>
                <w:rFonts w:asciiTheme="minorHAnsi" w:hAnsiTheme="minorHAnsi"/>
                <w:sz w:val="24"/>
                <w:szCs w:val="24"/>
              </w:rPr>
              <w:lastRenderedPageBreak/>
              <w:t>wykorzystania inwestycji na rzecz realizacji działań z zakresu gospodarki o obiegu zamkniętym zarówno w sektorze publicznym, jak i prywatnym. Integracja w połączeniu z różnymi sposobami podejścia opartymi na gospodarce o obiegu zamkniętym powinna odnosić się do głównych podmiotów gospodarczych, a nie tylko liderów.</w:t>
            </w:r>
          </w:p>
        </w:tc>
      </w:tr>
    </w:tbl>
    <w:p w14:paraId="7854E197" w14:textId="77777777" w:rsidR="009D6F42" w:rsidRPr="00680741" w:rsidRDefault="009D6F42" w:rsidP="009D6F42">
      <w:pPr>
        <w:rPr>
          <w:rFonts w:asciiTheme="minorHAnsi" w:hAnsiTheme="minorHAnsi"/>
          <w:i/>
          <w:color w:val="000000"/>
        </w:rPr>
      </w:pPr>
    </w:p>
    <w:p w14:paraId="6B5F61E0" w14:textId="77777777" w:rsidR="009D6F42" w:rsidRPr="00D80606" w:rsidRDefault="009D6F42" w:rsidP="009D6F42">
      <w:pPr>
        <w:spacing w:before="240" w:after="240" w:line="240" w:lineRule="auto"/>
        <w:ind w:left="0"/>
        <w:rPr>
          <w:rFonts w:asciiTheme="minorHAnsi" w:hAnsiTheme="minorHAnsi"/>
          <w:b/>
          <w:sz w:val="24"/>
          <w:szCs w:val="24"/>
        </w:rPr>
      </w:pPr>
      <w:r w:rsidRPr="00D80606">
        <w:rPr>
          <w:rFonts w:asciiTheme="minorHAnsi" w:hAnsiTheme="minorHAnsi"/>
          <w:b/>
          <w:sz w:val="24"/>
          <w:szCs w:val="24"/>
        </w:rPr>
        <w:t>Dla programów INTERACT i ESPON:</w:t>
      </w:r>
    </w:p>
    <w:p w14:paraId="453AD0AD" w14:textId="77777777" w:rsidR="009D6F42" w:rsidRPr="00D80606" w:rsidRDefault="009D6F42"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9 lit. c punkt i</w:t>
      </w:r>
    </w:p>
    <w:p w14:paraId="7C6451E3" w14:textId="77777777" w:rsidR="009D6F42" w:rsidRPr="00D80606" w:rsidRDefault="009D6F42"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Definicja pojedynczego beneficjenta lub zamkniętej listy beneficjentów i procedura przyznawania środków finansowych.</w:t>
      </w:r>
    </w:p>
    <w:p w14:paraId="2FA677E3" w14:textId="77777777" w:rsidR="007F2121" w:rsidRPr="00D80606" w:rsidRDefault="007F2121"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Pole tekstowe [7000]</w:t>
      </w:r>
    </w:p>
    <w:p w14:paraId="20521436" w14:textId="77777777" w:rsidR="009D6F42" w:rsidRPr="00D80606" w:rsidRDefault="00004898" w:rsidP="009D6F42">
      <w:pPr>
        <w:pBdr>
          <w:top w:val="single" w:sz="4" w:space="1" w:color="000000"/>
          <w:left w:val="single" w:sz="4" w:space="4" w:color="000000"/>
          <w:bottom w:val="single" w:sz="4" w:space="1" w:color="000000"/>
          <w:right w:val="single" w:sz="4" w:space="4" w:color="000000"/>
        </w:pBdr>
        <w:ind w:left="142"/>
        <w:rPr>
          <w:rFonts w:asciiTheme="minorHAnsi" w:hAnsiTheme="minorHAnsi"/>
          <w:color w:val="000000"/>
          <w:sz w:val="24"/>
          <w:szCs w:val="24"/>
        </w:rPr>
      </w:pPr>
      <w:r w:rsidRPr="00D80606">
        <w:rPr>
          <w:rFonts w:asciiTheme="minorHAnsi" w:hAnsiTheme="minorHAnsi"/>
          <w:color w:val="000000"/>
          <w:sz w:val="24"/>
          <w:szCs w:val="24"/>
        </w:rPr>
        <w:t>Nie dotyczy.</w:t>
      </w:r>
    </w:p>
    <w:p w14:paraId="07DE1FCE" w14:textId="77777777" w:rsidR="007F2121" w:rsidRPr="00680741" w:rsidRDefault="007F2121" w:rsidP="009D6F42">
      <w:pPr>
        <w:spacing w:before="240" w:after="240" w:line="240" w:lineRule="auto"/>
        <w:ind w:left="709" w:hanging="709"/>
        <w:rPr>
          <w:rFonts w:asciiTheme="minorHAnsi" w:hAnsiTheme="minorHAnsi"/>
          <w:b/>
          <w:sz w:val="24"/>
          <w:szCs w:val="24"/>
        </w:rPr>
      </w:pPr>
    </w:p>
    <w:p w14:paraId="6F76E08C" w14:textId="77777777" w:rsidR="009D6F42" w:rsidRPr="008727F2" w:rsidRDefault="009D6F42" w:rsidP="009D6F42">
      <w:pPr>
        <w:spacing w:before="240" w:after="240" w:line="240" w:lineRule="auto"/>
        <w:ind w:left="709" w:hanging="709"/>
        <w:rPr>
          <w:rFonts w:asciiTheme="minorHAnsi" w:hAnsiTheme="minorHAnsi"/>
          <w:b/>
          <w:sz w:val="24"/>
          <w:szCs w:val="24"/>
        </w:rPr>
      </w:pPr>
      <w:r>
        <w:rPr>
          <w:rFonts w:asciiTheme="minorHAnsi" w:hAnsiTheme="minorHAnsi"/>
          <w:b/>
          <w:sz w:val="24"/>
        </w:rPr>
        <w:t>2.2.3.2</w:t>
      </w:r>
      <w:r>
        <w:rPr>
          <w:rFonts w:asciiTheme="minorHAnsi" w:hAnsiTheme="minorHAnsi"/>
          <w:b/>
          <w:sz w:val="24"/>
        </w:rPr>
        <w:tab/>
        <w:t>Wskaźniki</w:t>
      </w:r>
    </w:p>
    <w:p w14:paraId="3E915C56" w14:textId="77777777" w:rsidR="009D6F42" w:rsidRPr="00D80606" w:rsidRDefault="009D6F42"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ii, art. 17 ust. 9 lit. c punkt iii</w:t>
      </w:r>
    </w:p>
    <w:p w14:paraId="69902449" w14:textId="77777777" w:rsidR="002124A0" w:rsidRPr="009A0D85" w:rsidRDefault="002124A0" w:rsidP="002124A0">
      <w:pPr>
        <w:spacing w:before="240" w:after="240" w:line="240" w:lineRule="auto"/>
        <w:ind w:left="0"/>
        <w:rPr>
          <w:rFonts w:asciiTheme="minorHAnsi" w:hAnsiTheme="minorHAnsi"/>
          <w:szCs w:val="24"/>
        </w:rPr>
      </w:pPr>
      <w:r>
        <w:rPr>
          <w:rFonts w:asciiTheme="minorHAnsi" w:hAnsiTheme="minorHAnsi"/>
        </w:rPr>
        <w:t>Tabela 2: Wskaźniki produktów</w:t>
      </w:r>
    </w:p>
    <w:tbl>
      <w:tblPr>
        <w:tblStyle w:val="18"/>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4"/>
        <w:gridCol w:w="1331"/>
        <w:gridCol w:w="1418"/>
        <w:gridCol w:w="2202"/>
        <w:gridCol w:w="1688"/>
        <w:gridCol w:w="1018"/>
        <w:gridCol w:w="1075"/>
      </w:tblGrid>
      <w:tr w:rsidR="002124A0" w:rsidRPr="008727F2" w14:paraId="408027FB" w14:textId="77777777" w:rsidTr="003D3F2E">
        <w:trPr>
          <w:trHeight w:val="836"/>
        </w:trPr>
        <w:tc>
          <w:tcPr>
            <w:tcW w:w="398" w:type="pct"/>
          </w:tcPr>
          <w:p w14:paraId="59CCE494"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Priorytet </w:t>
            </w:r>
          </w:p>
        </w:tc>
        <w:tc>
          <w:tcPr>
            <w:tcW w:w="467" w:type="pct"/>
          </w:tcPr>
          <w:p w14:paraId="2469D65D"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szczegółowy</w:t>
            </w:r>
          </w:p>
        </w:tc>
        <w:tc>
          <w:tcPr>
            <w:tcW w:w="534" w:type="pct"/>
          </w:tcPr>
          <w:p w14:paraId="0B516409"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IDENTYFIKATOR</w:t>
            </w:r>
          </w:p>
          <w:p w14:paraId="4C77743A"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[5]</w:t>
            </w:r>
          </w:p>
        </w:tc>
        <w:tc>
          <w:tcPr>
            <w:tcW w:w="1267" w:type="pct"/>
            <w:shd w:val="clear" w:color="auto" w:fill="auto"/>
          </w:tcPr>
          <w:p w14:paraId="1DB2AF70"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Wskaźnik </w:t>
            </w:r>
          </w:p>
        </w:tc>
        <w:tc>
          <w:tcPr>
            <w:tcW w:w="1000" w:type="pct"/>
          </w:tcPr>
          <w:p w14:paraId="6B011169"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Jednostka miary</w:t>
            </w:r>
          </w:p>
          <w:p w14:paraId="2305CC0D"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[255]</w:t>
            </w:r>
          </w:p>
        </w:tc>
        <w:tc>
          <w:tcPr>
            <w:tcW w:w="652" w:type="pct"/>
            <w:shd w:val="clear" w:color="auto" w:fill="auto"/>
          </w:tcPr>
          <w:p w14:paraId="3071DF92"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Kamień milowy (2024)</w:t>
            </w:r>
          </w:p>
          <w:p w14:paraId="1B9ABD82"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[200]</w:t>
            </w:r>
          </w:p>
        </w:tc>
        <w:tc>
          <w:tcPr>
            <w:tcW w:w="682" w:type="pct"/>
            <w:shd w:val="clear" w:color="auto" w:fill="auto"/>
          </w:tcPr>
          <w:p w14:paraId="1A64D30F"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końcowy (2029)</w:t>
            </w:r>
          </w:p>
          <w:p w14:paraId="2901AE15"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[200]</w:t>
            </w:r>
          </w:p>
        </w:tc>
      </w:tr>
      <w:tr w:rsidR="002124A0" w:rsidRPr="001B3725" w14:paraId="29301149" w14:textId="77777777" w:rsidTr="003D3F2E">
        <w:trPr>
          <w:trHeight w:val="579"/>
        </w:trPr>
        <w:tc>
          <w:tcPr>
            <w:tcW w:w="398" w:type="pct"/>
          </w:tcPr>
          <w:p w14:paraId="0F8AA58C" w14:textId="77777777" w:rsidR="002124A0" w:rsidRPr="001B3B78"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467" w:type="pct"/>
          </w:tcPr>
          <w:p w14:paraId="54FDABC6" w14:textId="77777777" w:rsidR="002124A0" w:rsidRPr="001B3B78" w:rsidRDefault="002124A0" w:rsidP="002124A0">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2.3</w:t>
            </w:r>
          </w:p>
        </w:tc>
        <w:tc>
          <w:tcPr>
            <w:tcW w:w="534" w:type="pct"/>
          </w:tcPr>
          <w:p w14:paraId="22B3A273"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83 RCO</w:t>
            </w:r>
          </w:p>
        </w:tc>
        <w:tc>
          <w:tcPr>
            <w:tcW w:w="1267" w:type="pct"/>
            <w:shd w:val="clear" w:color="auto" w:fill="auto"/>
          </w:tcPr>
          <w:p w14:paraId="606BCF3F" w14:textId="77777777" w:rsidR="002124A0" w:rsidRPr="000A12A1"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Wspólnie opracowane strategie i plany działania</w:t>
            </w:r>
          </w:p>
        </w:tc>
        <w:tc>
          <w:tcPr>
            <w:tcW w:w="1000" w:type="pct"/>
          </w:tcPr>
          <w:p w14:paraId="22FA89F1" w14:textId="77777777" w:rsidR="002124A0" w:rsidRPr="001B3B78"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Strategia/plan działania</w:t>
            </w:r>
          </w:p>
        </w:tc>
        <w:tc>
          <w:tcPr>
            <w:tcW w:w="652" w:type="pct"/>
            <w:shd w:val="clear" w:color="auto" w:fill="auto"/>
          </w:tcPr>
          <w:p w14:paraId="008AA52B"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61EF0217"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r>
      <w:tr w:rsidR="002124A0" w:rsidRPr="008727F2" w14:paraId="7A247E83" w14:textId="77777777" w:rsidTr="003D3F2E">
        <w:trPr>
          <w:trHeight w:val="579"/>
        </w:trPr>
        <w:tc>
          <w:tcPr>
            <w:tcW w:w="398" w:type="pct"/>
          </w:tcPr>
          <w:p w14:paraId="3413F629" w14:textId="77777777" w:rsidR="002124A0" w:rsidRPr="001B3B78"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467" w:type="pct"/>
          </w:tcPr>
          <w:p w14:paraId="7CD75829" w14:textId="77777777" w:rsidR="002124A0" w:rsidRPr="001B3B78" w:rsidRDefault="002124A0" w:rsidP="002124A0">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2.3</w:t>
            </w:r>
          </w:p>
        </w:tc>
        <w:tc>
          <w:tcPr>
            <w:tcW w:w="534" w:type="pct"/>
          </w:tcPr>
          <w:p w14:paraId="6C5E11DB"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84 RCO</w:t>
            </w:r>
          </w:p>
        </w:tc>
        <w:tc>
          <w:tcPr>
            <w:tcW w:w="1267" w:type="pct"/>
            <w:shd w:val="clear" w:color="auto" w:fill="auto"/>
          </w:tcPr>
          <w:p w14:paraId="6FDFED3A" w14:textId="77777777" w:rsidR="002124A0" w:rsidRPr="000A12A1"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Działania pilotażowe opracowane wspólnie i realizowane w ramach projektów</w:t>
            </w:r>
          </w:p>
        </w:tc>
        <w:tc>
          <w:tcPr>
            <w:tcW w:w="1000" w:type="pct"/>
          </w:tcPr>
          <w:p w14:paraId="7C9CAED8" w14:textId="77777777" w:rsidR="002124A0" w:rsidRPr="001B3B78"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Działanie pilotażowe</w:t>
            </w:r>
          </w:p>
        </w:tc>
        <w:tc>
          <w:tcPr>
            <w:tcW w:w="652" w:type="pct"/>
            <w:shd w:val="clear" w:color="auto" w:fill="auto"/>
          </w:tcPr>
          <w:p w14:paraId="21ECA083"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0DD687CD"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r>
      <w:tr w:rsidR="002124A0" w:rsidRPr="008727F2" w14:paraId="65D9552F" w14:textId="77777777" w:rsidTr="003D3F2E">
        <w:trPr>
          <w:trHeight w:val="579"/>
        </w:trPr>
        <w:tc>
          <w:tcPr>
            <w:tcW w:w="398" w:type="pct"/>
          </w:tcPr>
          <w:p w14:paraId="65166CE3" w14:textId="77777777" w:rsidR="002124A0" w:rsidRPr="001B3B78"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467" w:type="pct"/>
          </w:tcPr>
          <w:p w14:paraId="285C1FB3" w14:textId="77777777" w:rsidR="002124A0" w:rsidRPr="001B3B78" w:rsidRDefault="002124A0" w:rsidP="002124A0">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2.3</w:t>
            </w:r>
          </w:p>
        </w:tc>
        <w:tc>
          <w:tcPr>
            <w:tcW w:w="534" w:type="pct"/>
          </w:tcPr>
          <w:p w14:paraId="7138EAB2" w14:textId="77777777" w:rsidR="002124A0"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87 RCO</w:t>
            </w:r>
          </w:p>
        </w:tc>
        <w:tc>
          <w:tcPr>
            <w:tcW w:w="1267" w:type="pct"/>
            <w:shd w:val="clear" w:color="auto" w:fill="auto"/>
          </w:tcPr>
          <w:p w14:paraId="2F90923F" w14:textId="77777777" w:rsidR="002124A0" w:rsidRPr="001B3B78"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Organizacje współpracujące ponad granicami</w:t>
            </w:r>
          </w:p>
        </w:tc>
        <w:tc>
          <w:tcPr>
            <w:tcW w:w="1000" w:type="pct"/>
          </w:tcPr>
          <w:p w14:paraId="58473DCC" w14:textId="77777777" w:rsidR="002124A0" w:rsidRPr="001B3B78"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Organizacja</w:t>
            </w:r>
          </w:p>
        </w:tc>
        <w:tc>
          <w:tcPr>
            <w:tcW w:w="652" w:type="pct"/>
            <w:shd w:val="clear" w:color="auto" w:fill="auto"/>
          </w:tcPr>
          <w:p w14:paraId="401A9CD1"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57FED25E"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r>
      <w:tr w:rsidR="002124A0" w:rsidRPr="008727F2" w14:paraId="1C448D27" w14:textId="77777777" w:rsidTr="003D3F2E">
        <w:trPr>
          <w:trHeight w:val="579"/>
        </w:trPr>
        <w:tc>
          <w:tcPr>
            <w:tcW w:w="398" w:type="pct"/>
          </w:tcPr>
          <w:p w14:paraId="5DA5E1A3" w14:textId="77777777" w:rsidR="002124A0" w:rsidRPr="001B3B78"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467" w:type="pct"/>
          </w:tcPr>
          <w:p w14:paraId="3FCE03D4" w14:textId="77777777" w:rsidR="002124A0" w:rsidRPr="001B3B78" w:rsidRDefault="002124A0" w:rsidP="002124A0">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2.3</w:t>
            </w:r>
          </w:p>
        </w:tc>
        <w:tc>
          <w:tcPr>
            <w:tcW w:w="534" w:type="pct"/>
          </w:tcPr>
          <w:p w14:paraId="5D75BF25" w14:textId="77777777" w:rsidR="002124A0"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116 RCO</w:t>
            </w:r>
          </w:p>
        </w:tc>
        <w:tc>
          <w:tcPr>
            <w:tcW w:w="1267" w:type="pct"/>
            <w:shd w:val="clear" w:color="auto" w:fill="auto"/>
          </w:tcPr>
          <w:p w14:paraId="0932D433" w14:textId="77777777" w:rsidR="002124A0" w:rsidRPr="001B3B78"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Wspólnie opracowane rozwiązania</w:t>
            </w:r>
          </w:p>
        </w:tc>
        <w:tc>
          <w:tcPr>
            <w:tcW w:w="1000" w:type="pct"/>
          </w:tcPr>
          <w:p w14:paraId="7E034F43" w14:textId="77777777" w:rsidR="002124A0" w:rsidRPr="001B3B78"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Rozwiązanie</w:t>
            </w:r>
          </w:p>
        </w:tc>
        <w:tc>
          <w:tcPr>
            <w:tcW w:w="652" w:type="pct"/>
            <w:shd w:val="clear" w:color="auto" w:fill="auto"/>
          </w:tcPr>
          <w:p w14:paraId="6004BA05"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3061353F" w14:textId="77777777" w:rsidR="002124A0" w:rsidRPr="001B3B78" w:rsidRDefault="002124A0" w:rsidP="00D22A6D">
            <w:pPr>
              <w:pBdr>
                <w:top w:val="nil"/>
                <w:left w:val="nil"/>
                <w:bottom w:val="nil"/>
                <w:right w:val="nil"/>
                <w:between w:val="nil"/>
              </w:pBdr>
              <w:spacing w:after="120" w:line="240" w:lineRule="auto"/>
              <w:ind w:left="0" w:right="0"/>
              <w:rPr>
                <w:rFonts w:asciiTheme="minorHAnsi" w:hAnsiTheme="minorHAnsi"/>
                <w:color w:val="000000"/>
              </w:rPr>
            </w:pPr>
          </w:p>
        </w:tc>
      </w:tr>
    </w:tbl>
    <w:p w14:paraId="0CE7CDCA" w14:textId="77777777" w:rsidR="002124A0" w:rsidRPr="009A0D85" w:rsidRDefault="002124A0" w:rsidP="002124A0">
      <w:pPr>
        <w:spacing w:before="240" w:after="240" w:line="240" w:lineRule="auto"/>
        <w:ind w:left="0"/>
        <w:rPr>
          <w:rFonts w:asciiTheme="minorHAnsi" w:hAnsiTheme="minorHAnsi"/>
          <w:szCs w:val="24"/>
        </w:rPr>
      </w:pPr>
      <w:r>
        <w:rPr>
          <w:rFonts w:asciiTheme="minorHAnsi" w:hAnsiTheme="minorHAnsi"/>
        </w:rPr>
        <w:t>Tabela 3: Wskaźniki wyników</w:t>
      </w:r>
    </w:p>
    <w:tbl>
      <w:tblPr>
        <w:tblStyle w:val="1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53"/>
        <w:gridCol w:w="1083"/>
        <w:gridCol w:w="1151"/>
        <w:gridCol w:w="1313"/>
        <w:gridCol w:w="1086"/>
        <w:gridCol w:w="777"/>
        <w:gridCol w:w="892"/>
        <w:gridCol w:w="738"/>
        <w:gridCol w:w="1266"/>
        <w:gridCol w:w="577"/>
      </w:tblGrid>
      <w:tr w:rsidR="002124A0" w:rsidRPr="008727F2" w14:paraId="3CDFD8CC" w14:textId="77777777" w:rsidTr="003D3F2E">
        <w:trPr>
          <w:trHeight w:val="947"/>
        </w:trPr>
        <w:tc>
          <w:tcPr>
            <w:tcW w:w="404" w:type="pct"/>
          </w:tcPr>
          <w:p w14:paraId="33CE6FD6"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Priorytet </w:t>
            </w:r>
          </w:p>
        </w:tc>
        <w:tc>
          <w:tcPr>
            <w:tcW w:w="435" w:type="pct"/>
          </w:tcPr>
          <w:p w14:paraId="11A53A17"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szczegółowy</w:t>
            </w:r>
          </w:p>
        </w:tc>
        <w:tc>
          <w:tcPr>
            <w:tcW w:w="390" w:type="pct"/>
          </w:tcPr>
          <w:p w14:paraId="0AB23390"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IDENTYFIKATOR</w:t>
            </w:r>
          </w:p>
        </w:tc>
        <w:tc>
          <w:tcPr>
            <w:tcW w:w="828" w:type="pct"/>
            <w:shd w:val="clear" w:color="auto" w:fill="auto"/>
          </w:tcPr>
          <w:p w14:paraId="7170DF6B"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Wskaźnik </w:t>
            </w:r>
          </w:p>
        </w:tc>
        <w:tc>
          <w:tcPr>
            <w:tcW w:w="584" w:type="pct"/>
          </w:tcPr>
          <w:p w14:paraId="12381059"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Jednostka miary</w:t>
            </w:r>
          </w:p>
        </w:tc>
        <w:tc>
          <w:tcPr>
            <w:tcW w:w="390" w:type="pct"/>
          </w:tcPr>
          <w:p w14:paraId="0BD7DF35"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Podstawa</w:t>
            </w:r>
          </w:p>
        </w:tc>
        <w:tc>
          <w:tcPr>
            <w:tcW w:w="517" w:type="pct"/>
          </w:tcPr>
          <w:p w14:paraId="739AA28F"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Rok odniesienia</w:t>
            </w:r>
          </w:p>
        </w:tc>
        <w:tc>
          <w:tcPr>
            <w:tcW w:w="385" w:type="pct"/>
            <w:shd w:val="clear" w:color="auto" w:fill="auto"/>
          </w:tcPr>
          <w:p w14:paraId="0E5B2B88" w14:textId="77777777" w:rsidR="002124A0" w:rsidRPr="00570B26" w:rsidRDefault="002124A0"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końcowy (2029)</w:t>
            </w:r>
          </w:p>
        </w:tc>
        <w:tc>
          <w:tcPr>
            <w:tcW w:w="577" w:type="pct"/>
            <w:shd w:val="clear" w:color="auto" w:fill="auto"/>
          </w:tcPr>
          <w:p w14:paraId="5AA1C351" w14:textId="77777777" w:rsidR="002124A0" w:rsidRPr="008503E7" w:rsidRDefault="002124A0" w:rsidP="00D22A6D">
            <w:pPr>
              <w:pBdr>
                <w:top w:val="nil"/>
                <w:left w:val="nil"/>
                <w:bottom w:val="nil"/>
                <w:right w:val="nil"/>
                <w:between w:val="nil"/>
              </w:pBdr>
              <w:spacing w:after="120" w:line="240" w:lineRule="auto"/>
              <w:ind w:left="0" w:right="0"/>
              <w:jc w:val="center"/>
              <w:rPr>
                <w:rFonts w:asciiTheme="minorHAnsi" w:hAnsiTheme="minorHAnsi"/>
                <w:b/>
                <w:color w:val="000000"/>
                <w:sz w:val="16"/>
                <w:szCs w:val="16"/>
              </w:rPr>
            </w:pPr>
            <w:r>
              <w:rPr>
                <w:rFonts w:asciiTheme="minorHAnsi" w:hAnsiTheme="minorHAnsi"/>
                <w:b/>
                <w:color w:val="000000"/>
                <w:sz w:val="16"/>
              </w:rPr>
              <w:t>Źródło danych</w:t>
            </w:r>
          </w:p>
        </w:tc>
        <w:tc>
          <w:tcPr>
            <w:tcW w:w="490" w:type="pct"/>
          </w:tcPr>
          <w:p w14:paraId="0ACEDC23" w14:textId="77777777" w:rsidR="002124A0" w:rsidRPr="00570B26" w:rsidRDefault="002124A0" w:rsidP="00D22A6D">
            <w:pPr>
              <w:pBdr>
                <w:top w:val="nil"/>
                <w:left w:val="nil"/>
                <w:bottom w:val="nil"/>
                <w:right w:val="nil"/>
                <w:between w:val="nil"/>
              </w:pBdr>
              <w:spacing w:after="120" w:line="480" w:lineRule="auto"/>
              <w:ind w:left="0" w:right="0"/>
              <w:rPr>
                <w:rFonts w:asciiTheme="minorHAnsi" w:hAnsiTheme="minorHAnsi"/>
                <w:b/>
                <w:color w:val="000000"/>
                <w:sz w:val="16"/>
                <w:szCs w:val="16"/>
              </w:rPr>
            </w:pPr>
            <w:r>
              <w:rPr>
                <w:rFonts w:asciiTheme="minorHAnsi" w:hAnsiTheme="minorHAnsi"/>
                <w:b/>
                <w:color w:val="000000"/>
                <w:sz w:val="16"/>
              </w:rPr>
              <w:t>Uwagi</w:t>
            </w:r>
          </w:p>
        </w:tc>
      </w:tr>
      <w:tr w:rsidR="002124A0" w:rsidRPr="004854D7" w14:paraId="31F4CD4B" w14:textId="77777777" w:rsidTr="003D3F2E">
        <w:trPr>
          <w:trHeight w:val="629"/>
        </w:trPr>
        <w:tc>
          <w:tcPr>
            <w:tcW w:w="404" w:type="pct"/>
          </w:tcPr>
          <w:p w14:paraId="728CD8C8" w14:textId="77777777" w:rsidR="002124A0" w:rsidRPr="004854D7"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lastRenderedPageBreak/>
              <w:t>2</w:t>
            </w:r>
          </w:p>
        </w:tc>
        <w:tc>
          <w:tcPr>
            <w:tcW w:w="435" w:type="pct"/>
          </w:tcPr>
          <w:p w14:paraId="20656639" w14:textId="77777777" w:rsidR="002124A0" w:rsidRPr="004854D7" w:rsidRDefault="002124A0" w:rsidP="002124A0">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2.3</w:t>
            </w:r>
          </w:p>
        </w:tc>
        <w:tc>
          <w:tcPr>
            <w:tcW w:w="390" w:type="pct"/>
          </w:tcPr>
          <w:p w14:paraId="6D0F4C08" w14:textId="77777777" w:rsidR="002124A0" w:rsidRPr="004854D7"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79 RCR</w:t>
            </w:r>
          </w:p>
        </w:tc>
        <w:tc>
          <w:tcPr>
            <w:tcW w:w="828" w:type="pct"/>
            <w:shd w:val="clear" w:color="auto" w:fill="auto"/>
          </w:tcPr>
          <w:p w14:paraId="7EE4B900" w14:textId="77777777" w:rsidR="002124A0" w:rsidRPr="000A12A1"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Wspólne strategie i plany działania podejmowane przez organizacje</w:t>
            </w:r>
          </w:p>
        </w:tc>
        <w:tc>
          <w:tcPr>
            <w:tcW w:w="584" w:type="pct"/>
          </w:tcPr>
          <w:p w14:paraId="279A3CFF" w14:textId="77777777" w:rsidR="002124A0" w:rsidRPr="004854D7"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Wspólna strategia / plan działania</w:t>
            </w:r>
          </w:p>
        </w:tc>
        <w:tc>
          <w:tcPr>
            <w:tcW w:w="390" w:type="pct"/>
          </w:tcPr>
          <w:p w14:paraId="6322D030" w14:textId="77777777" w:rsidR="002124A0" w:rsidRPr="004854D7"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517" w:type="pct"/>
          </w:tcPr>
          <w:p w14:paraId="49999B34" w14:textId="77777777" w:rsidR="002124A0" w:rsidRPr="004854D7"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385" w:type="pct"/>
            <w:shd w:val="clear" w:color="auto" w:fill="auto"/>
          </w:tcPr>
          <w:p w14:paraId="24E3E499" w14:textId="77777777" w:rsidR="002124A0" w:rsidRPr="004854D7"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p>
        </w:tc>
        <w:tc>
          <w:tcPr>
            <w:tcW w:w="577" w:type="pct"/>
            <w:shd w:val="clear" w:color="auto" w:fill="auto"/>
          </w:tcPr>
          <w:p w14:paraId="55C578BA" w14:textId="77777777" w:rsidR="002124A0" w:rsidRPr="004854D7"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System monitorowania programu</w:t>
            </w:r>
          </w:p>
        </w:tc>
        <w:tc>
          <w:tcPr>
            <w:tcW w:w="490" w:type="pct"/>
          </w:tcPr>
          <w:p w14:paraId="13B56BCA" w14:textId="77777777" w:rsidR="002124A0" w:rsidRPr="004854D7" w:rsidRDefault="002124A0" w:rsidP="00D22A6D">
            <w:pPr>
              <w:ind w:left="0" w:right="0"/>
              <w:rPr>
                <w:rFonts w:asciiTheme="minorHAnsi" w:hAnsiTheme="minorHAnsi"/>
                <w:color w:val="000000"/>
              </w:rPr>
            </w:pPr>
          </w:p>
        </w:tc>
      </w:tr>
      <w:tr w:rsidR="002124A0" w:rsidRPr="00D465BC" w14:paraId="4D09597C" w14:textId="77777777" w:rsidTr="003D3F2E">
        <w:trPr>
          <w:trHeight w:val="629"/>
        </w:trPr>
        <w:tc>
          <w:tcPr>
            <w:tcW w:w="404" w:type="pct"/>
          </w:tcPr>
          <w:p w14:paraId="177496D5" w14:textId="77777777" w:rsidR="002124A0" w:rsidRPr="00D465BC"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435" w:type="pct"/>
          </w:tcPr>
          <w:p w14:paraId="6ECB2206" w14:textId="77777777" w:rsidR="002124A0" w:rsidRPr="00D465BC" w:rsidRDefault="002124A0" w:rsidP="002124A0">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2.3</w:t>
            </w:r>
          </w:p>
        </w:tc>
        <w:tc>
          <w:tcPr>
            <w:tcW w:w="390" w:type="pct"/>
          </w:tcPr>
          <w:p w14:paraId="01E52650" w14:textId="77777777" w:rsidR="002124A0" w:rsidRPr="00D465BC"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84 RCR</w:t>
            </w:r>
          </w:p>
        </w:tc>
        <w:tc>
          <w:tcPr>
            <w:tcW w:w="828" w:type="pct"/>
            <w:shd w:val="clear" w:color="auto" w:fill="auto"/>
          </w:tcPr>
          <w:p w14:paraId="4EFB6E5A" w14:textId="77777777" w:rsidR="002124A0" w:rsidRPr="000A12A1"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Organizacje współpracujące ponad granicami po zakończeniu projektu</w:t>
            </w:r>
          </w:p>
        </w:tc>
        <w:tc>
          <w:tcPr>
            <w:tcW w:w="584" w:type="pct"/>
          </w:tcPr>
          <w:p w14:paraId="1EC561BE" w14:textId="77777777" w:rsidR="002124A0" w:rsidRPr="00D465BC"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Organizacja</w:t>
            </w:r>
          </w:p>
        </w:tc>
        <w:tc>
          <w:tcPr>
            <w:tcW w:w="390" w:type="pct"/>
          </w:tcPr>
          <w:p w14:paraId="154387D9" w14:textId="77777777" w:rsidR="002124A0" w:rsidRPr="00D465BC"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517" w:type="pct"/>
          </w:tcPr>
          <w:p w14:paraId="5ABF50CB" w14:textId="77777777" w:rsidR="002124A0" w:rsidRPr="00D465BC"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385" w:type="pct"/>
            <w:shd w:val="clear" w:color="auto" w:fill="auto"/>
          </w:tcPr>
          <w:p w14:paraId="788B6817" w14:textId="77777777" w:rsidR="002124A0" w:rsidRPr="00D465BC"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p>
        </w:tc>
        <w:tc>
          <w:tcPr>
            <w:tcW w:w="577" w:type="pct"/>
            <w:shd w:val="clear" w:color="auto" w:fill="auto"/>
          </w:tcPr>
          <w:p w14:paraId="17252D39" w14:textId="77777777" w:rsidR="002124A0" w:rsidRPr="00D465BC"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System monitorowania programu</w:t>
            </w:r>
          </w:p>
        </w:tc>
        <w:tc>
          <w:tcPr>
            <w:tcW w:w="490" w:type="pct"/>
          </w:tcPr>
          <w:p w14:paraId="0844A8B8" w14:textId="77777777" w:rsidR="002124A0" w:rsidRPr="00D465BC" w:rsidRDefault="002124A0" w:rsidP="00D22A6D">
            <w:pPr>
              <w:ind w:left="0" w:right="0"/>
              <w:rPr>
                <w:rFonts w:asciiTheme="minorHAnsi" w:hAnsiTheme="minorHAnsi"/>
                <w:color w:val="000000"/>
              </w:rPr>
            </w:pPr>
          </w:p>
        </w:tc>
      </w:tr>
      <w:tr w:rsidR="002124A0" w:rsidRPr="00D465BC" w14:paraId="042DB57A" w14:textId="77777777" w:rsidTr="003D3F2E">
        <w:trPr>
          <w:trHeight w:val="629"/>
        </w:trPr>
        <w:tc>
          <w:tcPr>
            <w:tcW w:w="404" w:type="pct"/>
          </w:tcPr>
          <w:p w14:paraId="7ABABE30" w14:textId="77777777" w:rsidR="002124A0" w:rsidRPr="00D465BC"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435" w:type="pct"/>
          </w:tcPr>
          <w:p w14:paraId="691F36F7" w14:textId="77777777" w:rsidR="002124A0" w:rsidRPr="00D465BC"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2.3</w:t>
            </w:r>
          </w:p>
        </w:tc>
        <w:tc>
          <w:tcPr>
            <w:tcW w:w="390" w:type="pct"/>
          </w:tcPr>
          <w:p w14:paraId="6D8C8190" w14:textId="77777777" w:rsidR="002124A0" w:rsidRPr="00D465BC"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104 RCR</w:t>
            </w:r>
          </w:p>
        </w:tc>
        <w:tc>
          <w:tcPr>
            <w:tcW w:w="828" w:type="pct"/>
            <w:shd w:val="clear" w:color="auto" w:fill="auto"/>
          </w:tcPr>
          <w:p w14:paraId="4253575D" w14:textId="77777777" w:rsidR="002124A0" w:rsidRPr="000A12A1" w:rsidRDefault="002124A0"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Rozwiązania przyjmowane lub doskonalone przez organizacje</w:t>
            </w:r>
          </w:p>
        </w:tc>
        <w:tc>
          <w:tcPr>
            <w:tcW w:w="584" w:type="pct"/>
          </w:tcPr>
          <w:p w14:paraId="124B73EA" w14:textId="77777777" w:rsidR="002124A0" w:rsidRPr="00D465BC"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Rozwiązanie</w:t>
            </w:r>
          </w:p>
        </w:tc>
        <w:tc>
          <w:tcPr>
            <w:tcW w:w="390" w:type="pct"/>
          </w:tcPr>
          <w:p w14:paraId="73AA8569" w14:textId="77777777" w:rsidR="002124A0" w:rsidRPr="00D465BC"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517" w:type="pct"/>
          </w:tcPr>
          <w:p w14:paraId="6FCD1031" w14:textId="77777777" w:rsidR="002124A0" w:rsidRPr="00D465BC"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385" w:type="pct"/>
            <w:shd w:val="clear" w:color="auto" w:fill="auto"/>
          </w:tcPr>
          <w:p w14:paraId="28F31C2B" w14:textId="77777777" w:rsidR="002124A0" w:rsidRPr="00D465BC" w:rsidRDefault="002124A0" w:rsidP="00D22A6D">
            <w:pPr>
              <w:pBdr>
                <w:top w:val="nil"/>
                <w:left w:val="nil"/>
                <w:bottom w:val="nil"/>
                <w:right w:val="nil"/>
                <w:between w:val="nil"/>
              </w:pBdr>
              <w:spacing w:after="120" w:line="240" w:lineRule="auto"/>
              <w:ind w:left="0" w:right="0"/>
              <w:jc w:val="center"/>
              <w:rPr>
                <w:rFonts w:asciiTheme="minorHAnsi" w:hAnsiTheme="minorHAnsi"/>
                <w:color w:val="000000"/>
              </w:rPr>
            </w:pPr>
          </w:p>
        </w:tc>
        <w:tc>
          <w:tcPr>
            <w:tcW w:w="577" w:type="pct"/>
            <w:shd w:val="clear" w:color="auto" w:fill="auto"/>
          </w:tcPr>
          <w:p w14:paraId="118C548C" w14:textId="77777777" w:rsidR="002124A0" w:rsidRPr="00D465BC" w:rsidRDefault="002124A0"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System monitorowania programu</w:t>
            </w:r>
          </w:p>
        </w:tc>
        <w:tc>
          <w:tcPr>
            <w:tcW w:w="490" w:type="pct"/>
          </w:tcPr>
          <w:p w14:paraId="4F9437CE" w14:textId="77777777" w:rsidR="002124A0" w:rsidRPr="00D465BC" w:rsidRDefault="002124A0" w:rsidP="00D22A6D">
            <w:pPr>
              <w:ind w:left="0" w:right="0"/>
              <w:rPr>
                <w:rFonts w:asciiTheme="minorHAnsi" w:hAnsiTheme="minorHAnsi"/>
                <w:color w:val="000000"/>
              </w:rPr>
            </w:pPr>
          </w:p>
        </w:tc>
      </w:tr>
    </w:tbl>
    <w:p w14:paraId="6897C26A" w14:textId="77777777" w:rsidR="007F2121" w:rsidRDefault="007F2121" w:rsidP="009D6F42">
      <w:pPr>
        <w:spacing w:before="240" w:after="240" w:line="240" w:lineRule="auto"/>
        <w:ind w:left="709" w:hanging="709"/>
        <w:rPr>
          <w:rFonts w:asciiTheme="minorHAnsi" w:hAnsiTheme="minorHAnsi"/>
          <w:b/>
          <w:sz w:val="24"/>
          <w:szCs w:val="24"/>
          <w:lang w:val="en-GB"/>
        </w:rPr>
      </w:pPr>
    </w:p>
    <w:p w14:paraId="210A4616" w14:textId="77777777" w:rsidR="009D6F42" w:rsidRPr="00570B26" w:rsidRDefault="009D6F42" w:rsidP="009D6F42">
      <w:pPr>
        <w:spacing w:before="240" w:after="240" w:line="240" w:lineRule="auto"/>
        <w:ind w:left="709" w:hanging="709"/>
        <w:rPr>
          <w:rFonts w:asciiTheme="minorHAnsi" w:hAnsiTheme="minorHAnsi"/>
          <w:b/>
          <w:sz w:val="24"/>
          <w:szCs w:val="24"/>
        </w:rPr>
      </w:pPr>
      <w:r>
        <w:rPr>
          <w:rFonts w:asciiTheme="minorHAnsi" w:hAnsiTheme="minorHAnsi"/>
          <w:b/>
          <w:sz w:val="24"/>
        </w:rPr>
        <w:t>2.2.3.3</w:t>
      </w:r>
      <w:r>
        <w:rPr>
          <w:rFonts w:asciiTheme="minorHAnsi" w:hAnsiTheme="minorHAnsi"/>
          <w:b/>
          <w:sz w:val="24"/>
        </w:rPr>
        <w:tab/>
        <w:t>Główne grupy docelowe</w:t>
      </w:r>
    </w:p>
    <w:p w14:paraId="222F6AD9" w14:textId="77777777" w:rsidR="009D6F42" w:rsidRPr="00D80606" w:rsidRDefault="009D6F42"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iii, art. 17 ust. 9 lit. c punkt iv</w:t>
      </w:r>
    </w:p>
    <w:p w14:paraId="1022CACC" w14:textId="77777777" w:rsidR="007F2121" w:rsidRPr="00D80606" w:rsidRDefault="007F2121"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Pole tekstowe [7000]</w:t>
      </w:r>
    </w:p>
    <w:p w14:paraId="21CA9DEC" w14:textId="46DFFB78" w:rsidR="007F2121" w:rsidRPr="00D80606" w:rsidRDefault="007F2121" w:rsidP="00D80606">
      <w:pPr>
        <w:pBdr>
          <w:top w:val="single" w:sz="4" w:space="1" w:color="000000"/>
          <w:left w:val="single" w:sz="4" w:space="4" w:color="000000"/>
          <w:bottom w:val="single" w:sz="4" w:space="1" w:color="000000"/>
          <w:right w:val="single" w:sz="4" w:space="4" w:color="000000"/>
        </w:pBdr>
        <w:ind w:left="142"/>
        <w:jc w:val="left"/>
        <w:rPr>
          <w:rFonts w:asciiTheme="minorHAnsi" w:hAnsiTheme="minorHAnsi"/>
          <w:sz w:val="24"/>
          <w:szCs w:val="24"/>
        </w:rPr>
      </w:pPr>
      <w:r w:rsidRPr="00D80606">
        <w:rPr>
          <w:rFonts w:asciiTheme="minorHAnsi" w:hAnsiTheme="minorHAnsi"/>
          <w:sz w:val="24"/>
          <w:szCs w:val="24"/>
        </w:rPr>
        <w:t xml:space="preserve">Grupami docelowymi działań objętych wsparciem mogą być zarówno osoby prywatne, jak i organizacje, które są zaangażowane w ich realizację lub są ich beneficjentami. W konsekwencji będą one zmotywowane do podejmowania rozwiązań sprzyjających doskonaleniu ram gospodarki o obiegu zamkniętym i bardziej zrównoważonych i efektywnych pod względem wykorzystania zasobów procesów. Grupy docelowe składają się w szczególności zarówno z podmiotów publicznych jak i podmiotów prywatnych na szczeblu lokalnym, regionalnym i krajowym, obejmując szereg różnych sektorów i poziomów zarządzania, takich jak: decydentów politycznych, przemysł, w tym MŚP, planistów miejskich i wiejskich, przedsiębiorstwa gospodarki odpadami, właścicieli i operatorów infrastruktury, a także innych organizacji, takich jak pośrednicy, agencje rozwoju regionalnego i innowacji, instytucje ochrony środowiska, organizacje pozarządowe, instytucje finansowe, organizacje edukacyjne i szkoleniowe oraz uniwersytety i instytuty badawcze. W skład grup docelowych wchodzą ponadto przedstawiciele wszystkich grup społecznych, w tym konsumentów, którzy będą czerpać korzyści z rozwiązań z zakresu gospodarki o obiegu zamkniętym. </w:t>
      </w:r>
    </w:p>
    <w:p w14:paraId="611A83C0" w14:textId="77777777" w:rsidR="007F2121" w:rsidRPr="00680741" w:rsidRDefault="007F2121" w:rsidP="009D6F42">
      <w:pPr>
        <w:spacing w:before="240" w:after="240" w:line="240" w:lineRule="auto"/>
        <w:ind w:left="709" w:hanging="709"/>
        <w:rPr>
          <w:rFonts w:asciiTheme="minorHAnsi" w:hAnsiTheme="minorHAnsi"/>
          <w:b/>
          <w:sz w:val="24"/>
          <w:szCs w:val="24"/>
        </w:rPr>
      </w:pPr>
    </w:p>
    <w:p w14:paraId="513D475F" w14:textId="77777777" w:rsidR="009D6F42" w:rsidRPr="008727F2" w:rsidRDefault="009D6F42" w:rsidP="009D6F42">
      <w:pPr>
        <w:spacing w:before="240" w:after="240" w:line="240" w:lineRule="auto"/>
        <w:ind w:left="709" w:hanging="709"/>
        <w:rPr>
          <w:rFonts w:asciiTheme="minorHAnsi" w:hAnsiTheme="minorHAnsi"/>
          <w:b/>
          <w:sz w:val="24"/>
          <w:szCs w:val="24"/>
        </w:rPr>
      </w:pPr>
      <w:r>
        <w:rPr>
          <w:rFonts w:asciiTheme="minorHAnsi" w:hAnsiTheme="minorHAnsi"/>
          <w:b/>
          <w:sz w:val="24"/>
        </w:rPr>
        <w:lastRenderedPageBreak/>
        <w:t>2.2.3.4</w:t>
      </w:r>
      <w:r>
        <w:rPr>
          <w:rFonts w:asciiTheme="minorHAnsi" w:hAnsiTheme="minorHAnsi"/>
          <w:b/>
          <w:sz w:val="24"/>
        </w:rPr>
        <w:tab/>
        <w:t>Określenie szczególnych terytoriów docelowych, w tym planowego wykorzystania ZIT, RKSL i pozostałych narzędzi terytorialnych</w:t>
      </w:r>
    </w:p>
    <w:p w14:paraId="36E7F38F" w14:textId="77777777" w:rsidR="009D6F42" w:rsidRPr="00D80606" w:rsidRDefault="009D6F42"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iv</w:t>
      </w:r>
    </w:p>
    <w:p w14:paraId="7B778BF0" w14:textId="77777777" w:rsidR="007F2121" w:rsidRPr="00D80606" w:rsidRDefault="007F2121"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Pole tekstowe [7000]</w:t>
      </w:r>
    </w:p>
    <w:p w14:paraId="344071F8" w14:textId="00636284" w:rsidR="000A12A1" w:rsidRPr="00D80606" w:rsidRDefault="007F2121" w:rsidP="00D80606">
      <w:pPr>
        <w:pBdr>
          <w:top w:val="single" w:sz="4" w:space="1" w:color="000000"/>
          <w:left w:val="single" w:sz="4" w:space="4" w:color="000000"/>
          <w:bottom w:val="single" w:sz="4" w:space="1" w:color="000000"/>
          <w:right w:val="single" w:sz="4" w:space="4" w:color="000000"/>
        </w:pBdr>
        <w:ind w:left="142"/>
        <w:jc w:val="left"/>
        <w:rPr>
          <w:rFonts w:asciiTheme="minorHAnsi" w:hAnsiTheme="minorHAnsi"/>
          <w:sz w:val="24"/>
          <w:szCs w:val="24"/>
        </w:rPr>
      </w:pPr>
      <w:r w:rsidRPr="00D80606">
        <w:rPr>
          <w:rFonts w:asciiTheme="minorHAnsi" w:hAnsiTheme="minorHAnsi"/>
          <w:sz w:val="24"/>
          <w:szCs w:val="24"/>
        </w:rPr>
        <w:t xml:space="preserve">Działania mogą być realizowane na całym obszarze objętym programem i odnosić się do dowolnego rodzaju terytorium, tj. zarówno do obszarów wiejskich jak i miejskich. Należy skoncentrować się jednak na terytoriach, które pozostają w tyle pod względem realizacji rozwiązań związanych z gospodarką o obiegu zamkniętym. Umożliwi to wymianę i wzajemne uczenie się od siebie. Największe korzyści będą one czerpać z wymiany wiedzy z bardziej rozwiniętymi regionami, które będą z kolei w stanie dalej poprawiać efektywne wykorzystanie zasobów. </w:t>
      </w:r>
    </w:p>
    <w:p w14:paraId="276113A2" w14:textId="10173C22" w:rsidR="009D6F42" w:rsidRPr="00D80606" w:rsidRDefault="007F2121" w:rsidP="00D80606">
      <w:pPr>
        <w:pBdr>
          <w:top w:val="single" w:sz="4" w:space="1" w:color="000000"/>
          <w:left w:val="single" w:sz="4" w:space="4" w:color="000000"/>
          <w:bottom w:val="single" w:sz="4" w:space="1" w:color="000000"/>
          <w:right w:val="single" w:sz="4" w:space="4" w:color="000000"/>
        </w:pBdr>
        <w:ind w:left="142"/>
        <w:jc w:val="left"/>
        <w:rPr>
          <w:rFonts w:asciiTheme="minorHAnsi" w:hAnsiTheme="minorHAnsi"/>
          <w:sz w:val="24"/>
          <w:szCs w:val="24"/>
        </w:rPr>
      </w:pPr>
      <w:r w:rsidRPr="00D80606">
        <w:rPr>
          <w:rFonts w:asciiTheme="minorHAnsi" w:hAnsiTheme="minorHAnsi"/>
          <w:sz w:val="24"/>
          <w:szCs w:val="24"/>
        </w:rPr>
        <w:t>Wszelkie działania muszą uwzględniać specyficzne cechy terytorialne obszarów: docelowych i być dostosowane do odpowiednich strategii terytorialnych na odpowiednim poziomie zarządzania (lokalnym, regionalnym, krajowym).</w:t>
      </w:r>
    </w:p>
    <w:p w14:paraId="523AEDD7" w14:textId="77777777" w:rsidR="007F2121" w:rsidRPr="00680741" w:rsidRDefault="007F2121" w:rsidP="009D6F42">
      <w:pPr>
        <w:spacing w:before="240" w:after="240" w:line="240" w:lineRule="auto"/>
        <w:ind w:left="709" w:hanging="709"/>
        <w:rPr>
          <w:rFonts w:asciiTheme="minorHAnsi" w:hAnsiTheme="minorHAnsi"/>
          <w:b/>
          <w:sz w:val="24"/>
          <w:szCs w:val="24"/>
        </w:rPr>
      </w:pPr>
    </w:p>
    <w:p w14:paraId="39C32F97" w14:textId="77777777" w:rsidR="009D6F42" w:rsidRPr="008727F2" w:rsidRDefault="009D6F42" w:rsidP="009D6F42">
      <w:pPr>
        <w:spacing w:before="240" w:after="240" w:line="240" w:lineRule="auto"/>
        <w:ind w:left="709" w:hanging="709"/>
        <w:rPr>
          <w:rFonts w:asciiTheme="minorHAnsi" w:hAnsiTheme="minorHAnsi"/>
          <w:b/>
          <w:sz w:val="24"/>
          <w:szCs w:val="24"/>
        </w:rPr>
      </w:pPr>
      <w:r>
        <w:rPr>
          <w:rFonts w:asciiTheme="minorHAnsi" w:hAnsiTheme="minorHAnsi"/>
          <w:b/>
          <w:sz w:val="24"/>
        </w:rPr>
        <w:t>2.2.3.5</w:t>
      </w:r>
      <w:r>
        <w:rPr>
          <w:rFonts w:asciiTheme="minorHAnsi" w:hAnsiTheme="minorHAnsi"/>
          <w:b/>
          <w:sz w:val="24"/>
        </w:rPr>
        <w:tab/>
        <w:t>Planowane wykorzystanie instrumentów finansowych</w:t>
      </w:r>
    </w:p>
    <w:p w14:paraId="10058F92" w14:textId="77777777" w:rsidR="009D6F42" w:rsidRPr="00D80606" w:rsidRDefault="009D6F42"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v</w:t>
      </w:r>
    </w:p>
    <w:p w14:paraId="4061941A" w14:textId="77777777" w:rsidR="007F2121" w:rsidRPr="00D80606" w:rsidRDefault="007F2121"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Pole tekstowe [7000]</w:t>
      </w:r>
    </w:p>
    <w:p w14:paraId="7A7B8EE5" w14:textId="77777777" w:rsidR="009D6F42" w:rsidRPr="00D80606" w:rsidRDefault="00004898" w:rsidP="00D80606">
      <w:pPr>
        <w:pBdr>
          <w:top w:val="single" w:sz="4" w:space="1" w:color="000000"/>
          <w:left w:val="single" w:sz="4" w:space="4" w:color="000000"/>
          <w:bottom w:val="single" w:sz="4" w:space="1" w:color="000000"/>
          <w:right w:val="single" w:sz="4" w:space="4" w:color="000000"/>
        </w:pBdr>
        <w:ind w:left="142"/>
        <w:jc w:val="left"/>
        <w:rPr>
          <w:rFonts w:asciiTheme="minorHAnsi" w:hAnsiTheme="minorHAnsi"/>
          <w:sz w:val="24"/>
          <w:szCs w:val="24"/>
        </w:rPr>
      </w:pPr>
      <w:r w:rsidRPr="00D80606">
        <w:rPr>
          <w:rFonts w:asciiTheme="minorHAnsi" w:hAnsiTheme="minorHAnsi"/>
          <w:sz w:val="24"/>
          <w:szCs w:val="24"/>
        </w:rPr>
        <w:t>Nie dotyczy.</w:t>
      </w:r>
    </w:p>
    <w:p w14:paraId="7125E525" w14:textId="77777777" w:rsidR="009D6F42" w:rsidRPr="00680741" w:rsidRDefault="009D6F42" w:rsidP="009D6F42">
      <w:pPr>
        <w:spacing w:before="240" w:after="240" w:line="240" w:lineRule="auto"/>
        <w:ind w:left="709" w:hanging="709"/>
        <w:rPr>
          <w:rFonts w:asciiTheme="minorHAnsi" w:hAnsiTheme="minorHAnsi"/>
          <w:b/>
          <w:sz w:val="24"/>
          <w:szCs w:val="24"/>
        </w:rPr>
      </w:pPr>
    </w:p>
    <w:p w14:paraId="55D4A351" w14:textId="77777777" w:rsidR="009D6F42" w:rsidRPr="008727F2" w:rsidRDefault="009D6F42" w:rsidP="009D6F42">
      <w:pPr>
        <w:spacing w:before="240" w:after="240" w:line="240" w:lineRule="auto"/>
        <w:ind w:left="709" w:hanging="709"/>
        <w:rPr>
          <w:rFonts w:asciiTheme="minorHAnsi" w:hAnsiTheme="minorHAnsi"/>
          <w:b/>
          <w:sz w:val="24"/>
          <w:szCs w:val="24"/>
        </w:rPr>
      </w:pPr>
      <w:r>
        <w:rPr>
          <w:rFonts w:asciiTheme="minorHAnsi" w:hAnsiTheme="minorHAnsi"/>
          <w:b/>
          <w:sz w:val="24"/>
        </w:rPr>
        <w:t>2.2.3.6</w:t>
      </w:r>
      <w:r>
        <w:rPr>
          <w:rFonts w:asciiTheme="minorHAnsi" w:hAnsiTheme="minorHAnsi"/>
          <w:b/>
          <w:sz w:val="24"/>
        </w:rPr>
        <w:tab/>
        <w:t>Orientacyjny podział zasobów programu UE według rodzaju interwencji</w:t>
      </w:r>
    </w:p>
    <w:p w14:paraId="598A4366" w14:textId="77777777" w:rsidR="009D6F42" w:rsidRPr="00D80606" w:rsidRDefault="009D6F42"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vi, art. 17 ust. 9 lit. c punkt v</w:t>
      </w:r>
    </w:p>
    <w:p w14:paraId="28488C41" w14:textId="77777777" w:rsidR="009D6F42" w:rsidRPr="009A0D85" w:rsidRDefault="009D6F42" w:rsidP="009D6F42">
      <w:pPr>
        <w:spacing w:before="240" w:after="240" w:line="240" w:lineRule="auto"/>
        <w:ind w:left="0"/>
        <w:rPr>
          <w:rFonts w:asciiTheme="minorHAnsi" w:hAnsiTheme="minorHAnsi"/>
          <w:szCs w:val="24"/>
        </w:rPr>
      </w:pPr>
      <w:r>
        <w:rPr>
          <w:rFonts w:asciiTheme="minorHAnsi" w:hAnsiTheme="minorHAnsi"/>
        </w:rPr>
        <w:t>Tabela 4: Wymiar 1 – obszar interwencji</w:t>
      </w:r>
    </w:p>
    <w:tbl>
      <w:tblPr>
        <w:tblStyle w:val="16"/>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D6F42" w:rsidRPr="008727F2" w14:paraId="5736E1E2" w14:textId="77777777" w:rsidTr="00816A75">
        <w:tc>
          <w:tcPr>
            <w:tcW w:w="1869" w:type="dxa"/>
          </w:tcPr>
          <w:p w14:paraId="0239582F"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Priorytet nr</w:t>
            </w:r>
          </w:p>
        </w:tc>
        <w:tc>
          <w:tcPr>
            <w:tcW w:w="1657" w:type="dxa"/>
          </w:tcPr>
          <w:p w14:paraId="6CF8A9E2"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w:t>
            </w:r>
          </w:p>
        </w:tc>
        <w:tc>
          <w:tcPr>
            <w:tcW w:w="1898" w:type="dxa"/>
          </w:tcPr>
          <w:p w14:paraId="1A9A46C1"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Cel szczegółowy</w:t>
            </w:r>
          </w:p>
        </w:tc>
        <w:tc>
          <w:tcPr>
            <w:tcW w:w="1204" w:type="dxa"/>
          </w:tcPr>
          <w:p w14:paraId="2B992A10"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Kod </w:t>
            </w:r>
          </w:p>
        </w:tc>
        <w:tc>
          <w:tcPr>
            <w:tcW w:w="2658" w:type="dxa"/>
          </w:tcPr>
          <w:p w14:paraId="2DEF7A63"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Kwota (EUR)</w:t>
            </w:r>
          </w:p>
        </w:tc>
      </w:tr>
      <w:tr w:rsidR="009D6F42" w:rsidRPr="008727F2" w14:paraId="2C7423C5" w14:textId="77777777" w:rsidTr="00816A75">
        <w:tc>
          <w:tcPr>
            <w:tcW w:w="1869" w:type="dxa"/>
          </w:tcPr>
          <w:p w14:paraId="6F848499" w14:textId="77777777" w:rsidR="009D6F42" w:rsidRPr="007F2121" w:rsidRDefault="007F2121" w:rsidP="007F2121">
            <w:pPr>
              <w:spacing w:after="120" w:line="240" w:lineRule="auto"/>
              <w:ind w:left="0" w:right="0"/>
              <w:jc w:val="center"/>
              <w:rPr>
                <w:rFonts w:asciiTheme="minorHAnsi" w:eastAsia="Times New Roman" w:hAnsiTheme="minorHAnsi" w:cs="Times New Roman"/>
                <w:color w:val="000000"/>
                <w:sz w:val="20"/>
                <w:szCs w:val="16"/>
              </w:rPr>
            </w:pPr>
            <w:r>
              <w:rPr>
                <w:rFonts w:asciiTheme="minorHAnsi" w:hAnsiTheme="minorHAnsi"/>
                <w:color w:val="000000"/>
                <w:sz w:val="20"/>
              </w:rPr>
              <w:t>2</w:t>
            </w:r>
          </w:p>
        </w:tc>
        <w:tc>
          <w:tcPr>
            <w:tcW w:w="1657" w:type="dxa"/>
          </w:tcPr>
          <w:p w14:paraId="49DFD831" w14:textId="77777777" w:rsidR="009D6F42" w:rsidRPr="007F2121" w:rsidRDefault="007F2121" w:rsidP="00816A75">
            <w:pPr>
              <w:spacing w:after="120" w:line="240" w:lineRule="auto"/>
              <w:ind w:left="0" w:right="0"/>
              <w:rPr>
                <w:rFonts w:asciiTheme="minorHAnsi" w:eastAsia="Times New Roman" w:hAnsiTheme="minorHAnsi" w:cs="Times New Roman"/>
                <w:color w:val="000000"/>
                <w:sz w:val="20"/>
                <w:szCs w:val="16"/>
              </w:rPr>
            </w:pPr>
            <w:r>
              <w:rPr>
                <w:rFonts w:asciiTheme="minorHAnsi" w:hAnsiTheme="minorHAnsi"/>
                <w:color w:val="000000"/>
                <w:sz w:val="20"/>
              </w:rPr>
              <w:t>EFRR</w:t>
            </w:r>
          </w:p>
        </w:tc>
        <w:tc>
          <w:tcPr>
            <w:tcW w:w="1898" w:type="dxa"/>
          </w:tcPr>
          <w:p w14:paraId="2B75BE52" w14:textId="77777777" w:rsidR="009D6F42" w:rsidRPr="007F2121" w:rsidRDefault="007F2121" w:rsidP="00816A75">
            <w:pPr>
              <w:spacing w:after="120" w:line="240" w:lineRule="auto"/>
              <w:ind w:left="0" w:right="0"/>
              <w:rPr>
                <w:rFonts w:asciiTheme="minorHAnsi" w:eastAsia="Times New Roman" w:hAnsiTheme="minorHAnsi" w:cs="Times New Roman"/>
                <w:color w:val="000000"/>
                <w:sz w:val="20"/>
                <w:szCs w:val="16"/>
              </w:rPr>
            </w:pPr>
            <w:r>
              <w:rPr>
                <w:rFonts w:asciiTheme="minorHAnsi" w:hAnsiTheme="minorHAnsi"/>
                <w:color w:val="000000"/>
                <w:sz w:val="20"/>
              </w:rPr>
              <w:t>Cel szczegółowy 2.3</w:t>
            </w:r>
          </w:p>
        </w:tc>
        <w:tc>
          <w:tcPr>
            <w:tcW w:w="1204" w:type="dxa"/>
          </w:tcPr>
          <w:p w14:paraId="5F13268E" w14:textId="454E006D" w:rsidR="009D6F42" w:rsidRPr="00F85858" w:rsidRDefault="00F0764A" w:rsidP="00F85858">
            <w:pPr>
              <w:spacing w:after="120" w:line="240" w:lineRule="auto"/>
              <w:ind w:left="0" w:right="0"/>
              <w:jc w:val="center"/>
              <w:rPr>
                <w:rFonts w:asciiTheme="minorHAnsi" w:eastAsia="Times New Roman" w:hAnsiTheme="minorHAnsi" w:cs="Times New Roman"/>
                <w:color w:val="000000"/>
                <w:sz w:val="20"/>
                <w:szCs w:val="16"/>
              </w:rPr>
            </w:pPr>
            <w:r>
              <w:rPr>
                <w:rFonts w:asciiTheme="minorHAnsi" w:hAnsiTheme="minorHAnsi"/>
                <w:color w:val="000000"/>
                <w:sz w:val="20"/>
              </w:rPr>
              <w:t>41</w:t>
            </w:r>
          </w:p>
        </w:tc>
        <w:tc>
          <w:tcPr>
            <w:tcW w:w="2658" w:type="dxa"/>
          </w:tcPr>
          <w:p w14:paraId="7CBAFC76"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p>
        </w:tc>
      </w:tr>
      <w:tr w:rsidR="00EB2122" w:rsidRPr="008727F2" w14:paraId="3A709050" w14:textId="77777777" w:rsidTr="00816A75">
        <w:tc>
          <w:tcPr>
            <w:tcW w:w="1869" w:type="dxa"/>
          </w:tcPr>
          <w:p w14:paraId="2DA4D9ED" w14:textId="0EB86000" w:rsidR="00EB2122" w:rsidRPr="007F2121" w:rsidRDefault="00EB2122" w:rsidP="00EB2122">
            <w:pPr>
              <w:spacing w:after="120" w:line="240" w:lineRule="auto"/>
              <w:ind w:left="0" w:right="0"/>
              <w:jc w:val="center"/>
              <w:rPr>
                <w:rFonts w:asciiTheme="minorHAnsi" w:hAnsiTheme="minorHAnsi"/>
                <w:color w:val="000000"/>
                <w:szCs w:val="16"/>
              </w:rPr>
            </w:pPr>
            <w:r>
              <w:rPr>
                <w:rFonts w:asciiTheme="minorHAnsi" w:hAnsiTheme="minorHAnsi"/>
                <w:color w:val="000000"/>
                <w:sz w:val="20"/>
              </w:rPr>
              <w:t>2</w:t>
            </w:r>
          </w:p>
        </w:tc>
        <w:tc>
          <w:tcPr>
            <w:tcW w:w="1657" w:type="dxa"/>
          </w:tcPr>
          <w:p w14:paraId="28492441" w14:textId="5247ABC0" w:rsidR="00EB2122" w:rsidRPr="007F2121" w:rsidRDefault="00EB2122" w:rsidP="00EB2122">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19008C36" w14:textId="2294D718" w:rsidR="00EB2122" w:rsidRPr="007F2121" w:rsidRDefault="00EB2122" w:rsidP="00EB2122">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2.3</w:t>
            </w:r>
          </w:p>
        </w:tc>
        <w:tc>
          <w:tcPr>
            <w:tcW w:w="1204" w:type="dxa"/>
          </w:tcPr>
          <w:p w14:paraId="450FA8BE" w14:textId="6C2496BE" w:rsidR="00EB2122" w:rsidRPr="00F85858" w:rsidRDefault="00F0764A" w:rsidP="00F85858">
            <w:pPr>
              <w:spacing w:after="120" w:line="240" w:lineRule="auto"/>
              <w:ind w:left="0" w:right="0"/>
              <w:jc w:val="center"/>
              <w:rPr>
                <w:rFonts w:asciiTheme="minorHAnsi" w:hAnsiTheme="minorHAnsi"/>
                <w:color w:val="000000"/>
                <w:sz w:val="20"/>
                <w:szCs w:val="16"/>
              </w:rPr>
            </w:pPr>
            <w:r>
              <w:rPr>
                <w:rFonts w:asciiTheme="minorHAnsi" w:hAnsiTheme="minorHAnsi"/>
                <w:color w:val="000000"/>
                <w:sz w:val="20"/>
              </w:rPr>
              <w:t>42</w:t>
            </w:r>
          </w:p>
        </w:tc>
        <w:tc>
          <w:tcPr>
            <w:tcW w:w="2658" w:type="dxa"/>
          </w:tcPr>
          <w:p w14:paraId="04C9528D" w14:textId="77777777" w:rsidR="00EB2122" w:rsidRPr="00570B26" w:rsidRDefault="00EB2122" w:rsidP="00EB2122">
            <w:pPr>
              <w:spacing w:after="120" w:line="240" w:lineRule="auto"/>
              <w:ind w:left="0" w:right="0"/>
              <w:rPr>
                <w:rFonts w:asciiTheme="minorHAnsi" w:hAnsiTheme="minorHAnsi"/>
                <w:b/>
                <w:color w:val="000000"/>
                <w:sz w:val="16"/>
                <w:szCs w:val="16"/>
              </w:rPr>
            </w:pPr>
          </w:p>
        </w:tc>
      </w:tr>
      <w:tr w:rsidR="00EB2122" w:rsidRPr="008727F2" w14:paraId="20BCCE96" w14:textId="77777777" w:rsidTr="00816A75">
        <w:tc>
          <w:tcPr>
            <w:tcW w:w="1869" w:type="dxa"/>
          </w:tcPr>
          <w:p w14:paraId="043D8A14" w14:textId="430C6E3D" w:rsidR="00EB2122" w:rsidRPr="007F2121" w:rsidRDefault="00EB2122" w:rsidP="00EB2122">
            <w:pPr>
              <w:spacing w:after="120" w:line="240" w:lineRule="auto"/>
              <w:ind w:left="0" w:right="0"/>
              <w:jc w:val="center"/>
              <w:rPr>
                <w:rFonts w:asciiTheme="minorHAnsi" w:hAnsiTheme="minorHAnsi"/>
                <w:color w:val="000000"/>
                <w:szCs w:val="16"/>
              </w:rPr>
            </w:pPr>
            <w:r>
              <w:rPr>
                <w:rFonts w:asciiTheme="minorHAnsi" w:hAnsiTheme="minorHAnsi"/>
                <w:color w:val="000000"/>
                <w:sz w:val="20"/>
              </w:rPr>
              <w:t>2</w:t>
            </w:r>
          </w:p>
        </w:tc>
        <w:tc>
          <w:tcPr>
            <w:tcW w:w="1657" w:type="dxa"/>
          </w:tcPr>
          <w:p w14:paraId="47E6DF4E" w14:textId="4EEDEEAE" w:rsidR="00EB2122" w:rsidRPr="007F2121" w:rsidRDefault="00EB2122" w:rsidP="00EB2122">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7F119C75" w14:textId="18EA5EDB" w:rsidR="00EB2122" w:rsidRPr="007F2121" w:rsidRDefault="00EB2122" w:rsidP="00EB2122">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2.3</w:t>
            </w:r>
          </w:p>
        </w:tc>
        <w:tc>
          <w:tcPr>
            <w:tcW w:w="1204" w:type="dxa"/>
          </w:tcPr>
          <w:p w14:paraId="61AC2EA3" w14:textId="64763467" w:rsidR="00EB2122" w:rsidRPr="00F85858" w:rsidRDefault="00F0764A" w:rsidP="00F85858">
            <w:pPr>
              <w:spacing w:after="120" w:line="240" w:lineRule="auto"/>
              <w:ind w:left="0" w:right="0"/>
              <w:jc w:val="center"/>
              <w:rPr>
                <w:rFonts w:asciiTheme="minorHAnsi" w:hAnsiTheme="minorHAnsi"/>
                <w:color w:val="000000"/>
                <w:sz w:val="20"/>
                <w:szCs w:val="16"/>
              </w:rPr>
            </w:pPr>
            <w:r>
              <w:rPr>
                <w:rFonts w:asciiTheme="minorHAnsi" w:hAnsiTheme="minorHAnsi"/>
                <w:color w:val="000000"/>
                <w:sz w:val="20"/>
              </w:rPr>
              <w:t>44</w:t>
            </w:r>
          </w:p>
        </w:tc>
        <w:tc>
          <w:tcPr>
            <w:tcW w:w="2658" w:type="dxa"/>
          </w:tcPr>
          <w:p w14:paraId="2586000E" w14:textId="77777777" w:rsidR="00EB2122" w:rsidRPr="00570B26" w:rsidRDefault="00EB2122" w:rsidP="00EB2122">
            <w:pPr>
              <w:spacing w:after="120" w:line="240" w:lineRule="auto"/>
              <w:ind w:left="0" w:right="0"/>
              <w:rPr>
                <w:rFonts w:asciiTheme="minorHAnsi" w:hAnsiTheme="minorHAnsi"/>
                <w:b/>
                <w:color w:val="000000"/>
                <w:sz w:val="16"/>
                <w:szCs w:val="16"/>
              </w:rPr>
            </w:pPr>
          </w:p>
        </w:tc>
      </w:tr>
      <w:tr w:rsidR="00EB2122" w:rsidRPr="008727F2" w14:paraId="702F8966" w14:textId="77777777" w:rsidTr="00816A75">
        <w:tc>
          <w:tcPr>
            <w:tcW w:w="1869" w:type="dxa"/>
          </w:tcPr>
          <w:p w14:paraId="033F0560" w14:textId="7245C2A2" w:rsidR="00EB2122" w:rsidRPr="007F2121" w:rsidRDefault="00EB2122" w:rsidP="00EB2122">
            <w:pPr>
              <w:spacing w:after="120" w:line="240" w:lineRule="auto"/>
              <w:ind w:left="0" w:right="0"/>
              <w:jc w:val="center"/>
              <w:rPr>
                <w:rFonts w:asciiTheme="minorHAnsi" w:hAnsiTheme="minorHAnsi"/>
                <w:color w:val="000000"/>
                <w:szCs w:val="16"/>
              </w:rPr>
            </w:pPr>
            <w:r>
              <w:rPr>
                <w:rFonts w:asciiTheme="minorHAnsi" w:hAnsiTheme="minorHAnsi"/>
                <w:color w:val="000000"/>
                <w:sz w:val="20"/>
              </w:rPr>
              <w:t>2</w:t>
            </w:r>
          </w:p>
        </w:tc>
        <w:tc>
          <w:tcPr>
            <w:tcW w:w="1657" w:type="dxa"/>
          </w:tcPr>
          <w:p w14:paraId="23BDD465" w14:textId="7948C133" w:rsidR="00EB2122" w:rsidRPr="007F2121" w:rsidRDefault="00EB2122" w:rsidP="00EB2122">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4489FA17" w14:textId="7728C792" w:rsidR="00EB2122" w:rsidRPr="007F2121" w:rsidRDefault="00EB2122" w:rsidP="00EB2122">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2.3</w:t>
            </w:r>
          </w:p>
        </w:tc>
        <w:tc>
          <w:tcPr>
            <w:tcW w:w="1204" w:type="dxa"/>
          </w:tcPr>
          <w:p w14:paraId="7C4C1533" w14:textId="32E48678" w:rsidR="00EB2122" w:rsidRPr="00F85858" w:rsidRDefault="00F0764A" w:rsidP="00F85858">
            <w:pPr>
              <w:spacing w:after="120" w:line="240" w:lineRule="auto"/>
              <w:ind w:left="0" w:right="0"/>
              <w:jc w:val="center"/>
              <w:rPr>
                <w:rFonts w:asciiTheme="minorHAnsi" w:hAnsiTheme="minorHAnsi"/>
                <w:color w:val="000000"/>
                <w:sz w:val="20"/>
                <w:szCs w:val="16"/>
              </w:rPr>
            </w:pPr>
            <w:r>
              <w:rPr>
                <w:rFonts w:asciiTheme="minorHAnsi" w:hAnsiTheme="minorHAnsi"/>
                <w:color w:val="000000"/>
                <w:sz w:val="20"/>
              </w:rPr>
              <w:t>45</w:t>
            </w:r>
          </w:p>
        </w:tc>
        <w:tc>
          <w:tcPr>
            <w:tcW w:w="2658" w:type="dxa"/>
          </w:tcPr>
          <w:p w14:paraId="0DD6455C" w14:textId="77777777" w:rsidR="00EB2122" w:rsidRPr="00570B26" w:rsidRDefault="00EB2122" w:rsidP="00EB2122">
            <w:pPr>
              <w:spacing w:after="120" w:line="240" w:lineRule="auto"/>
              <w:ind w:left="0" w:right="0"/>
              <w:rPr>
                <w:rFonts w:asciiTheme="minorHAnsi" w:hAnsiTheme="minorHAnsi"/>
                <w:b/>
                <w:color w:val="000000"/>
                <w:sz w:val="16"/>
                <w:szCs w:val="16"/>
              </w:rPr>
            </w:pPr>
          </w:p>
        </w:tc>
      </w:tr>
      <w:tr w:rsidR="00EB2122" w:rsidRPr="008727F2" w14:paraId="0E6321B9" w14:textId="77777777" w:rsidTr="00816A75">
        <w:tc>
          <w:tcPr>
            <w:tcW w:w="1869" w:type="dxa"/>
          </w:tcPr>
          <w:p w14:paraId="0BA6730E" w14:textId="727D2A97" w:rsidR="00EB2122" w:rsidRPr="007F2121" w:rsidRDefault="00EB2122" w:rsidP="00EB2122">
            <w:pPr>
              <w:spacing w:after="120" w:line="240" w:lineRule="auto"/>
              <w:ind w:left="0" w:right="0"/>
              <w:jc w:val="center"/>
              <w:rPr>
                <w:rFonts w:asciiTheme="minorHAnsi" w:hAnsiTheme="minorHAnsi"/>
                <w:color w:val="000000"/>
                <w:szCs w:val="16"/>
              </w:rPr>
            </w:pPr>
            <w:r>
              <w:rPr>
                <w:rFonts w:asciiTheme="minorHAnsi" w:hAnsiTheme="minorHAnsi"/>
                <w:color w:val="000000"/>
                <w:sz w:val="20"/>
              </w:rPr>
              <w:lastRenderedPageBreak/>
              <w:t>2</w:t>
            </w:r>
          </w:p>
        </w:tc>
        <w:tc>
          <w:tcPr>
            <w:tcW w:w="1657" w:type="dxa"/>
          </w:tcPr>
          <w:p w14:paraId="0B989BCF" w14:textId="46D7DB1E" w:rsidR="00EB2122" w:rsidRPr="007F2121" w:rsidRDefault="00EB2122" w:rsidP="00EB2122">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789DFEC1" w14:textId="61FDD5E7" w:rsidR="00EB2122" w:rsidRPr="007F2121" w:rsidRDefault="00EB2122" w:rsidP="00EB2122">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2.3</w:t>
            </w:r>
          </w:p>
        </w:tc>
        <w:tc>
          <w:tcPr>
            <w:tcW w:w="1204" w:type="dxa"/>
          </w:tcPr>
          <w:p w14:paraId="604338E8" w14:textId="3FCF232E" w:rsidR="00EB2122" w:rsidRPr="00F85858" w:rsidRDefault="00F0764A" w:rsidP="00F85858">
            <w:pPr>
              <w:spacing w:after="120" w:line="240" w:lineRule="auto"/>
              <w:ind w:left="0" w:right="0"/>
              <w:jc w:val="center"/>
              <w:rPr>
                <w:rFonts w:asciiTheme="minorHAnsi" w:hAnsiTheme="minorHAnsi"/>
                <w:color w:val="000000"/>
                <w:sz w:val="20"/>
                <w:szCs w:val="16"/>
              </w:rPr>
            </w:pPr>
            <w:r>
              <w:rPr>
                <w:rFonts w:asciiTheme="minorHAnsi" w:hAnsiTheme="minorHAnsi"/>
                <w:color w:val="000000"/>
                <w:sz w:val="20"/>
              </w:rPr>
              <w:t>47</w:t>
            </w:r>
          </w:p>
        </w:tc>
        <w:tc>
          <w:tcPr>
            <w:tcW w:w="2658" w:type="dxa"/>
          </w:tcPr>
          <w:p w14:paraId="0DEB13CC" w14:textId="77777777" w:rsidR="00EB2122" w:rsidRPr="00570B26" w:rsidRDefault="00EB2122" w:rsidP="00EB2122">
            <w:pPr>
              <w:spacing w:after="120" w:line="240" w:lineRule="auto"/>
              <w:ind w:left="0" w:right="0"/>
              <w:rPr>
                <w:rFonts w:asciiTheme="minorHAnsi" w:hAnsiTheme="minorHAnsi"/>
                <w:b/>
                <w:color w:val="000000"/>
                <w:sz w:val="16"/>
                <w:szCs w:val="16"/>
              </w:rPr>
            </w:pPr>
          </w:p>
        </w:tc>
      </w:tr>
    </w:tbl>
    <w:p w14:paraId="7E8CFB6E" w14:textId="77777777" w:rsidR="009D6F42" w:rsidRPr="009A0D85" w:rsidRDefault="009D6F42" w:rsidP="009D6F42">
      <w:pPr>
        <w:spacing w:before="240" w:after="240" w:line="240" w:lineRule="auto"/>
        <w:ind w:left="0"/>
        <w:rPr>
          <w:rFonts w:asciiTheme="minorHAnsi" w:hAnsiTheme="minorHAnsi"/>
          <w:szCs w:val="24"/>
        </w:rPr>
      </w:pPr>
      <w:r>
        <w:rPr>
          <w:rFonts w:asciiTheme="minorHAnsi" w:hAnsiTheme="minorHAnsi"/>
        </w:rPr>
        <w:t>Tabela 5: Wymiar 2 – forma finansowania</w:t>
      </w:r>
    </w:p>
    <w:tbl>
      <w:tblPr>
        <w:tblStyle w:val="15"/>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D6F42" w:rsidRPr="008727F2" w14:paraId="45241DB0" w14:textId="77777777" w:rsidTr="00816A75">
        <w:tc>
          <w:tcPr>
            <w:tcW w:w="1869" w:type="dxa"/>
          </w:tcPr>
          <w:p w14:paraId="01969404"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Priorytet nr</w:t>
            </w:r>
          </w:p>
        </w:tc>
        <w:tc>
          <w:tcPr>
            <w:tcW w:w="1657" w:type="dxa"/>
          </w:tcPr>
          <w:p w14:paraId="08B9040B"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w:t>
            </w:r>
          </w:p>
        </w:tc>
        <w:tc>
          <w:tcPr>
            <w:tcW w:w="1898" w:type="dxa"/>
          </w:tcPr>
          <w:p w14:paraId="3CDCE261"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Cel szczegółowy</w:t>
            </w:r>
          </w:p>
        </w:tc>
        <w:tc>
          <w:tcPr>
            <w:tcW w:w="1204" w:type="dxa"/>
          </w:tcPr>
          <w:p w14:paraId="00E5740D"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Kod </w:t>
            </w:r>
          </w:p>
        </w:tc>
        <w:tc>
          <w:tcPr>
            <w:tcW w:w="2658" w:type="dxa"/>
          </w:tcPr>
          <w:p w14:paraId="7DA1D98E"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Kwota (EUR)</w:t>
            </w:r>
          </w:p>
        </w:tc>
      </w:tr>
      <w:tr w:rsidR="007F2121" w:rsidRPr="008727F2" w14:paraId="4B937C53" w14:textId="77777777" w:rsidTr="00816A75">
        <w:tc>
          <w:tcPr>
            <w:tcW w:w="1869" w:type="dxa"/>
          </w:tcPr>
          <w:p w14:paraId="1593CD1F" w14:textId="77777777" w:rsidR="007F2121" w:rsidRPr="00570B26" w:rsidRDefault="007F2121" w:rsidP="007F2121">
            <w:pPr>
              <w:spacing w:after="120" w:line="240" w:lineRule="auto"/>
              <w:ind w:left="0" w:right="0"/>
              <w:jc w:val="center"/>
              <w:rPr>
                <w:rFonts w:asciiTheme="minorHAnsi" w:eastAsia="Times New Roman" w:hAnsiTheme="minorHAnsi" w:cs="Times New Roman"/>
                <w:b/>
                <w:color w:val="000000"/>
                <w:sz w:val="16"/>
                <w:szCs w:val="16"/>
              </w:rPr>
            </w:pPr>
            <w:r>
              <w:rPr>
                <w:rFonts w:asciiTheme="minorHAnsi" w:hAnsiTheme="minorHAnsi"/>
                <w:color w:val="000000"/>
                <w:sz w:val="20"/>
              </w:rPr>
              <w:t>2</w:t>
            </w:r>
          </w:p>
        </w:tc>
        <w:tc>
          <w:tcPr>
            <w:tcW w:w="1657" w:type="dxa"/>
          </w:tcPr>
          <w:p w14:paraId="6230CC1E" w14:textId="77777777" w:rsidR="007F2121" w:rsidRPr="00570B26" w:rsidRDefault="007F2121" w:rsidP="007F212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color w:val="000000"/>
                <w:sz w:val="20"/>
              </w:rPr>
              <w:t>EFRR</w:t>
            </w:r>
          </w:p>
        </w:tc>
        <w:tc>
          <w:tcPr>
            <w:tcW w:w="1898" w:type="dxa"/>
          </w:tcPr>
          <w:p w14:paraId="05137B09" w14:textId="77777777" w:rsidR="007F2121" w:rsidRPr="00570B26" w:rsidRDefault="007F2121" w:rsidP="007F212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color w:val="000000"/>
                <w:sz w:val="20"/>
              </w:rPr>
              <w:t>Cel szczegółowy 2.3</w:t>
            </w:r>
          </w:p>
        </w:tc>
        <w:tc>
          <w:tcPr>
            <w:tcW w:w="1204" w:type="dxa"/>
          </w:tcPr>
          <w:p w14:paraId="5763BD78" w14:textId="04AF75F7" w:rsidR="007F2121" w:rsidRPr="00F85858" w:rsidRDefault="0033352A" w:rsidP="00F85858">
            <w:pPr>
              <w:spacing w:after="120" w:line="240" w:lineRule="auto"/>
              <w:ind w:left="0" w:right="0"/>
              <w:jc w:val="center"/>
              <w:rPr>
                <w:rFonts w:asciiTheme="minorHAnsi" w:eastAsia="Times New Roman" w:hAnsiTheme="minorHAnsi" w:cs="Times New Roman"/>
                <w:color w:val="000000"/>
                <w:sz w:val="20"/>
                <w:szCs w:val="16"/>
              </w:rPr>
            </w:pPr>
            <w:r>
              <w:rPr>
                <w:rFonts w:asciiTheme="minorHAnsi" w:hAnsiTheme="minorHAnsi"/>
                <w:color w:val="000000"/>
                <w:sz w:val="20"/>
              </w:rPr>
              <w:t>01</w:t>
            </w:r>
          </w:p>
        </w:tc>
        <w:tc>
          <w:tcPr>
            <w:tcW w:w="2658" w:type="dxa"/>
          </w:tcPr>
          <w:p w14:paraId="28687D16" w14:textId="77777777" w:rsidR="007F2121" w:rsidRPr="00570B26" w:rsidRDefault="007F2121" w:rsidP="007F2121">
            <w:pPr>
              <w:spacing w:after="120" w:line="240" w:lineRule="auto"/>
              <w:ind w:left="0" w:right="0"/>
              <w:rPr>
                <w:rFonts w:asciiTheme="minorHAnsi" w:eastAsia="Times New Roman" w:hAnsiTheme="minorHAnsi" w:cs="Times New Roman"/>
                <w:b/>
                <w:color w:val="000000"/>
                <w:sz w:val="16"/>
                <w:szCs w:val="16"/>
              </w:rPr>
            </w:pPr>
          </w:p>
        </w:tc>
      </w:tr>
    </w:tbl>
    <w:p w14:paraId="741552FE" w14:textId="77777777" w:rsidR="009D6F42" w:rsidRPr="009A0D85" w:rsidRDefault="009D6F42" w:rsidP="009D6F42">
      <w:pPr>
        <w:spacing w:before="240" w:after="240" w:line="240" w:lineRule="auto"/>
        <w:ind w:left="0"/>
        <w:rPr>
          <w:rFonts w:asciiTheme="minorHAnsi" w:hAnsiTheme="minorHAnsi"/>
          <w:szCs w:val="24"/>
        </w:rPr>
      </w:pPr>
      <w:r>
        <w:rPr>
          <w:rFonts w:asciiTheme="minorHAnsi" w:hAnsiTheme="minorHAnsi"/>
        </w:rPr>
        <w:t>Tabela 6: Wymiar 3 – mechanizm realizacji terytorialnej i koncentracja na terytorium</w:t>
      </w:r>
    </w:p>
    <w:tbl>
      <w:tblPr>
        <w:tblStyle w:val="14"/>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D6F42" w:rsidRPr="008727F2" w14:paraId="420CC6D0" w14:textId="77777777" w:rsidTr="00816A75">
        <w:tc>
          <w:tcPr>
            <w:tcW w:w="1869" w:type="dxa"/>
          </w:tcPr>
          <w:p w14:paraId="711DC81E"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Priorytet nr</w:t>
            </w:r>
          </w:p>
        </w:tc>
        <w:tc>
          <w:tcPr>
            <w:tcW w:w="1657" w:type="dxa"/>
          </w:tcPr>
          <w:p w14:paraId="1E930BD4"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w:t>
            </w:r>
          </w:p>
        </w:tc>
        <w:tc>
          <w:tcPr>
            <w:tcW w:w="1898" w:type="dxa"/>
          </w:tcPr>
          <w:p w14:paraId="0A399145"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Cel szczegółowy</w:t>
            </w:r>
          </w:p>
        </w:tc>
        <w:tc>
          <w:tcPr>
            <w:tcW w:w="1204" w:type="dxa"/>
          </w:tcPr>
          <w:p w14:paraId="5D86C1F5"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Kod </w:t>
            </w:r>
          </w:p>
        </w:tc>
        <w:tc>
          <w:tcPr>
            <w:tcW w:w="2658" w:type="dxa"/>
          </w:tcPr>
          <w:p w14:paraId="15CBAF32"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Kwota (EUR)</w:t>
            </w:r>
          </w:p>
        </w:tc>
      </w:tr>
      <w:tr w:rsidR="007F2121" w:rsidRPr="008727F2" w14:paraId="4FFDE125" w14:textId="77777777" w:rsidTr="00816A75">
        <w:tc>
          <w:tcPr>
            <w:tcW w:w="1869" w:type="dxa"/>
          </w:tcPr>
          <w:p w14:paraId="7F33F57F" w14:textId="77777777" w:rsidR="007F2121" w:rsidRPr="00570B26" w:rsidRDefault="007F2121" w:rsidP="007F2121">
            <w:pPr>
              <w:spacing w:after="120" w:line="240" w:lineRule="auto"/>
              <w:ind w:left="0" w:right="0"/>
              <w:jc w:val="center"/>
              <w:rPr>
                <w:rFonts w:asciiTheme="minorHAnsi" w:eastAsia="Times New Roman" w:hAnsiTheme="minorHAnsi" w:cs="Times New Roman"/>
                <w:b/>
                <w:color w:val="000000"/>
                <w:sz w:val="16"/>
                <w:szCs w:val="16"/>
              </w:rPr>
            </w:pPr>
            <w:r>
              <w:rPr>
                <w:rFonts w:asciiTheme="minorHAnsi" w:hAnsiTheme="minorHAnsi"/>
                <w:color w:val="000000"/>
                <w:sz w:val="20"/>
              </w:rPr>
              <w:t>2</w:t>
            </w:r>
          </w:p>
        </w:tc>
        <w:tc>
          <w:tcPr>
            <w:tcW w:w="1657" w:type="dxa"/>
          </w:tcPr>
          <w:p w14:paraId="075E0479" w14:textId="77777777" w:rsidR="007F2121" w:rsidRPr="00570B26" w:rsidRDefault="007F2121" w:rsidP="007F212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color w:val="000000"/>
                <w:sz w:val="20"/>
              </w:rPr>
              <w:t>EFRR</w:t>
            </w:r>
          </w:p>
        </w:tc>
        <w:tc>
          <w:tcPr>
            <w:tcW w:w="1898" w:type="dxa"/>
          </w:tcPr>
          <w:p w14:paraId="3CDE48D5" w14:textId="77777777" w:rsidR="007F2121" w:rsidRPr="00570B26" w:rsidRDefault="007F2121" w:rsidP="007F212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color w:val="000000"/>
                <w:sz w:val="20"/>
              </w:rPr>
              <w:t>Cel szczegółowy 2.3</w:t>
            </w:r>
          </w:p>
        </w:tc>
        <w:tc>
          <w:tcPr>
            <w:tcW w:w="1204" w:type="dxa"/>
          </w:tcPr>
          <w:p w14:paraId="369CFA08" w14:textId="2E8D680C" w:rsidR="007F2121" w:rsidRPr="00F85858" w:rsidRDefault="0033352A" w:rsidP="00F85858">
            <w:pPr>
              <w:spacing w:after="120" w:line="240" w:lineRule="auto"/>
              <w:ind w:left="0" w:right="0"/>
              <w:jc w:val="center"/>
              <w:rPr>
                <w:rFonts w:asciiTheme="minorHAnsi" w:eastAsia="Times New Roman" w:hAnsiTheme="minorHAnsi" w:cs="Times New Roman"/>
                <w:color w:val="000000"/>
                <w:sz w:val="20"/>
                <w:szCs w:val="16"/>
              </w:rPr>
            </w:pPr>
            <w:r>
              <w:rPr>
                <w:rFonts w:asciiTheme="minorHAnsi" w:hAnsiTheme="minorHAnsi"/>
                <w:color w:val="000000"/>
                <w:sz w:val="20"/>
              </w:rPr>
              <w:t>48</w:t>
            </w:r>
          </w:p>
        </w:tc>
        <w:tc>
          <w:tcPr>
            <w:tcW w:w="2658" w:type="dxa"/>
          </w:tcPr>
          <w:p w14:paraId="3F30D8E7" w14:textId="77777777" w:rsidR="007F2121" w:rsidRPr="00570B26" w:rsidRDefault="007F2121" w:rsidP="007F2121">
            <w:pPr>
              <w:spacing w:after="120" w:line="240" w:lineRule="auto"/>
              <w:ind w:left="0" w:right="0"/>
              <w:rPr>
                <w:rFonts w:asciiTheme="minorHAnsi" w:eastAsia="Times New Roman" w:hAnsiTheme="minorHAnsi" w:cs="Times New Roman"/>
                <w:b/>
                <w:color w:val="000000"/>
                <w:sz w:val="16"/>
                <w:szCs w:val="16"/>
              </w:rPr>
            </w:pPr>
          </w:p>
        </w:tc>
      </w:tr>
    </w:tbl>
    <w:p w14:paraId="59B3305E" w14:textId="77777777" w:rsidR="009D6F42" w:rsidRDefault="009D6F42" w:rsidP="009D6F42">
      <w:pPr>
        <w:spacing w:before="0" w:line="240" w:lineRule="auto"/>
        <w:ind w:left="0" w:right="0"/>
        <w:jc w:val="left"/>
        <w:rPr>
          <w:rFonts w:asciiTheme="minorHAnsi" w:hAnsiTheme="minorHAnsi"/>
        </w:rPr>
      </w:pPr>
      <w:r>
        <w:br w:type="page"/>
      </w:r>
    </w:p>
    <w:p w14:paraId="4A535D84" w14:textId="77777777" w:rsidR="009D6F42" w:rsidRPr="008727F2" w:rsidRDefault="009D6F42" w:rsidP="009D6F42">
      <w:pPr>
        <w:spacing w:before="240" w:after="240" w:line="240" w:lineRule="auto"/>
        <w:ind w:left="709" w:hanging="709"/>
        <w:rPr>
          <w:rFonts w:asciiTheme="minorHAnsi" w:hAnsiTheme="minorHAnsi"/>
          <w:sz w:val="24"/>
          <w:szCs w:val="24"/>
        </w:rPr>
      </w:pPr>
      <w:r>
        <w:rPr>
          <w:rFonts w:asciiTheme="minorHAnsi" w:hAnsiTheme="minorHAnsi"/>
          <w:b/>
          <w:sz w:val="24"/>
        </w:rPr>
        <w:lastRenderedPageBreak/>
        <w:t>2.2.4.</w:t>
      </w:r>
      <w:r>
        <w:rPr>
          <w:rFonts w:asciiTheme="minorHAnsi" w:hAnsiTheme="minorHAnsi"/>
          <w:b/>
          <w:sz w:val="24"/>
        </w:rPr>
        <w:tab/>
        <w:t xml:space="preserve">Cel szczegółowy </w:t>
      </w:r>
      <w:r>
        <w:rPr>
          <w:rFonts w:asciiTheme="minorHAnsi" w:hAnsiTheme="minorHAnsi"/>
          <w:sz w:val="24"/>
        </w:rPr>
        <w:t xml:space="preserve"> (dla każdego wybranego celu szczegółowego, priorytetów, z wyłączeniem pomocy technicznej)</w:t>
      </w:r>
    </w:p>
    <w:p w14:paraId="7B3762D9" w14:textId="77777777" w:rsidR="009D6F42" w:rsidRPr="00D80606" w:rsidRDefault="009D6F42" w:rsidP="009D6F42">
      <w:pPr>
        <w:ind w:left="0"/>
        <w:rPr>
          <w:rFonts w:asciiTheme="minorHAnsi" w:hAnsiTheme="minorHAnsi"/>
          <w:color w:val="000000"/>
        </w:rPr>
      </w:pPr>
      <w:r w:rsidRPr="00D80606">
        <w:rPr>
          <w:rFonts w:asciiTheme="minorHAnsi" w:hAnsiTheme="minorHAnsi"/>
          <w:color w:val="000000"/>
        </w:rPr>
        <w:t>Podstawa: art. 17 ust. 4 lit. e</w:t>
      </w:r>
    </w:p>
    <w:p w14:paraId="16D80D21" w14:textId="57C27254" w:rsidR="00AA0AC8" w:rsidRPr="00EB444C" w:rsidRDefault="00AA0AC8" w:rsidP="00173920">
      <w:pPr>
        <w:pStyle w:val="CE-Headline4"/>
      </w:pPr>
      <w:bookmarkStart w:id="105" w:name="_Toc61245875"/>
      <w:bookmarkStart w:id="106" w:name="_Toc71036608"/>
      <w:r>
        <w:t>PO2-</w:t>
      </w:r>
      <w:r>
        <w:tab/>
        <w:t>(vii) Wzmacnianie  ochrony i zachowania przyrody, różnorodności biologicznej i zielonej infrastruktury, w tym na obszarach miejskich, oraz ograniczenie wszelkich form zanieczyszczeń</w:t>
      </w:r>
      <w:bookmarkEnd w:id="105"/>
      <w:bookmarkEnd w:id="106"/>
      <w:r>
        <w:t xml:space="preserve"> </w:t>
      </w:r>
    </w:p>
    <w:p w14:paraId="797C6CD9" w14:textId="64A4B1B9" w:rsidR="009D6F42" w:rsidRDefault="009D6F42" w:rsidP="009D6F42">
      <w:pPr>
        <w:spacing w:before="240" w:after="240" w:line="240" w:lineRule="auto"/>
        <w:ind w:left="709" w:hanging="709"/>
        <w:rPr>
          <w:rFonts w:asciiTheme="minorHAnsi" w:hAnsiTheme="minorHAnsi"/>
          <w:b/>
          <w:sz w:val="24"/>
          <w:szCs w:val="24"/>
        </w:rPr>
      </w:pPr>
      <w:r>
        <w:rPr>
          <w:rFonts w:asciiTheme="minorHAnsi" w:hAnsiTheme="minorHAnsi"/>
          <w:b/>
          <w:sz w:val="24"/>
        </w:rPr>
        <w:t>2.2.4.1 Powiązane rodzaje działań i ich planowany wkład w osiągnięcie odpowiednio celów szczegółowych i strategii makroregionalnych i strategii dotyczących basenów morskich</w:t>
      </w:r>
    </w:p>
    <w:p w14:paraId="3568B413" w14:textId="77777777" w:rsidR="009D6F42" w:rsidRPr="00D80606" w:rsidRDefault="009D6F42" w:rsidP="009D6F42">
      <w:pPr>
        <w:ind w:left="0"/>
        <w:rPr>
          <w:rFonts w:asciiTheme="minorHAnsi" w:hAnsiTheme="minorHAnsi"/>
          <w:color w:val="000000"/>
        </w:rPr>
      </w:pPr>
      <w:r w:rsidRPr="00D80606">
        <w:rPr>
          <w:rFonts w:asciiTheme="minorHAnsi" w:hAnsiTheme="minorHAnsi"/>
          <w:color w:val="000000"/>
        </w:rPr>
        <w:t>Podstawa: art. 17 ust. 4 lit. e pkt i, artykuł 17 ust. 9 lit. c pkt ii</w:t>
      </w:r>
    </w:p>
    <w:p w14:paraId="0CD0FE78" w14:textId="77777777" w:rsidR="009D6F42" w:rsidRPr="00D80606" w:rsidRDefault="009D6F42" w:rsidP="009D6F42">
      <w:pPr>
        <w:ind w:left="0"/>
        <w:rPr>
          <w:rFonts w:asciiTheme="minorHAnsi" w:hAnsiTheme="minorHAnsi"/>
        </w:rPr>
      </w:pPr>
      <w:r w:rsidRPr="00D80606">
        <w:rPr>
          <w:rFonts w:asciiTheme="minorHAnsi" w:hAnsiTheme="minorHAnsi"/>
        </w:rPr>
        <w:t>Pole tekstowe [7000]</w:t>
      </w:r>
    </w:p>
    <w:tbl>
      <w:tblPr>
        <w:tblStyle w:val="Tabela-Siatka"/>
        <w:tblW w:w="0" w:type="auto"/>
        <w:tblLook w:val="04A0" w:firstRow="1" w:lastRow="0" w:firstColumn="1" w:lastColumn="0" w:noHBand="0" w:noVBand="1"/>
      </w:tblPr>
      <w:tblGrid>
        <w:gridCol w:w="9060"/>
      </w:tblGrid>
      <w:tr w:rsidR="009D6F42" w:rsidRPr="00A557D8" w14:paraId="468F55C3" w14:textId="77777777" w:rsidTr="00816A75">
        <w:tc>
          <w:tcPr>
            <w:tcW w:w="9060" w:type="dxa"/>
          </w:tcPr>
          <w:p w14:paraId="48BEF299" w14:textId="77777777" w:rsidR="009D6F42" w:rsidRPr="00D80606" w:rsidRDefault="00DD5D09" w:rsidP="003D3F2E">
            <w:pPr>
              <w:ind w:left="0"/>
              <w:jc w:val="left"/>
              <w:rPr>
                <w:rFonts w:asciiTheme="minorHAnsi" w:hAnsiTheme="minorHAnsi"/>
                <w:b/>
                <w:color w:val="000000"/>
                <w:sz w:val="26"/>
                <w:szCs w:val="26"/>
              </w:rPr>
            </w:pPr>
            <w:r w:rsidRPr="00D80606">
              <w:rPr>
                <w:rFonts w:asciiTheme="minorHAnsi" w:hAnsiTheme="minorHAnsi"/>
                <w:b/>
                <w:color w:val="000000"/>
                <w:sz w:val="26"/>
                <w:szCs w:val="26"/>
              </w:rPr>
              <w:t>Cel szczegółowy 2.4: Ochrona środowiska</w:t>
            </w:r>
          </w:p>
          <w:p w14:paraId="606DA97A" w14:textId="77777777" w:rsidR="00DD5D09" w:rsidRPr="00D80606" w:rsidRDefault="00DD5D09" w:rsidP="00D80606">
            <w:pPr>
              <w:ind w:left="0" w:right="25"/>
              <w:jc w:val="left"/>
              <w:rPr>
                <w:rFonts w:asciiTheme="minorHAnsi" w:hAnsiTheme="minorHAnsi"/>
                <w:sz w:val="24"/>
                <w:szCs w:val="24"/>
              </w:rPr>
            </w:pPr>
            <w:r w:rsidRPr="00D80606">
              <w:rPr>
                <w:rFonts w:asciiTheme="minorHAnsi" w:hAnsiTheme="minorHAnsi"/>
                <w:b/>
                <w:sz w:val="24"/>
                <w:szCs w:val="24"/>
              </w:rPr>
              <w:t>Potrzeby terytorialne Europy Środkowej</w:t>
            </w:r>
            <w:r w:rsidRPr="00D80606">
              <w:rPr>
                <w:rFonts w:asciiTheme="minorHAnsi" w:hAnsiTheme="minorHAnsi"/>
                <w:sz w:val="24"/>
                <w:szCs w:val="24"/>
              </w:rPr>
              <w:t xml:space="preserve"> </w:t>
            </w:r>
          </w:p>
          <w:p w14:paraId="6A0B9B9D" w14:textId="50EE9E6D" w:rsidR="00DD5D09" w:rsidRPr="00D80606" w:rsidRDefault="0005711E" w:rsidP="00D80606">
            <w:pPr>
              <w:ind w:left="0" w:right="25"/>
              <w:jc w:val="left"/>
              <w:rPr>
                <w:rFonts w:asciiTheme="minorHAnsi" w:hAnsiTheme="minorHAnsi"/>
                <w:sz w:val="24"/>
                <w:szCs w:val="24"/>
              </w:rPr>
            </w:pPr>
            <w:r w:rsidRPr="00D80606">
              <w:rPr>
                <w:rFonts w:asciiTheme="minorHAnsi" w:hAnsiTheme="minorHAnsi"/>
                <w:sz w:val="24"/>
                <w:szCs w:val="24"/>
              </w:rPr>
              <w:t>Wywierana presja w postaci wykorzystania gruntów, zanieczyszczeń, wydobycia zasobów naturalnych i obcych gatunków inwazyjnych stanowi coraz większe zagrożenie dla niezwykłego bogactwa krajobrazowego, zasobów naturalnych, ekosystemów i różnorodności biologicznej na obszarze Europy Środkowej. Żeby przeciwdziałać temu trendowi</w:t>
            </w:r>
            <w:r w:rsidR="000736DC" w:rsidRPr="00D80606">
              <w:rPr>
                <w:rFonts w:asciiTheme="minorHAnsi" w:hAnsiTheme="minorHAnsi"/>
                <w:sz w:val="24"/>
                <w:szCs w:val="24"/>
              </w:rPr>
              <w:t>,</w:t>
            </w:r>
            <w:r w:rsidRPr="00D80606">
              <w:rPr>
                <w:rFonts w:asciiTheme="minorHAnsi" w:hAnsiTheme="minorHAnsi"/>
                <w:sz w:val="24"/>
                <w:szCs w:val="24"/>
              </w:rPr>
              <w:t xml:space="preserve"> waloryzować i chronić środowisko naturalne, a także zapewnić ekologiczne przenikanie się różnych obszarów, niezbędne jest wypracowanie skoordynowanych sposobów podejścia, co stanowi także jeden z obszarów polityki Europejskiego Zielonego Ładu i zostało podkreślone w strategii UE na rzecz różnorodności biologicznej do 2030 r. Powyższe wymaga zintegrowanych sposobów podejścia do ochrony powietrza, wody i gleby, a także zaangażowania szeregu sektorów i interesariuszy, np. władz odpowiedzialnych za planowanie przyrodnicze i przestrzenne, obiektów wodnych, przemysłu i turystyki. </w:t>
            </w:r>
          </w:p>
          <w:p w14:paraId="5A5DBE42" w14:textId="77777777" w:rsidR="0005711E" w:rsidRPr="00D80606" w:rsidRDefault="0005711E" w:rsidP="00D80606">
            <w:pPr>
              <w:ind w:left="0" w:right="25"/>
              <w:jc w:val="left"/>
              <w:rPr>
                <w:rFonts w:asciiTheme="minorHAnsi" w:hAnsiTheme="minorHAnsi"/>
                <w:sz w:val="24"/>
                <w:szCs w:val="24"/>
                <w:highlight w:val="yellow"/>
              </w:rPr>
            </w:pPr>
          </w:p>
          <w:p w14:paraId="5958DD37" w14:textId="77777777" w:rsidR="0005711E" w:rsidRPr="00D80606" w:rsidRDefault="0005711E" w:rsidP="00D80606">
            <w:pPr>
              <w:ind w:left="0" w:right="25"/>
              <w:jc w:val="left"/>
              <w:rPr>
                <w:rFonts w:asciiTheme="minorHAnsi" w:hAnsiTheme="minorHAnsi"/>
                <w:b/>
                <w:sz w:val="24"/>
                <w:szCs w:val="24"/>
              </w:rPr>
            </w:pPr>
            <w:r w:rsidRPr="00D80606">
              <w:rPr>
                <w:rFonts w:asciiTheme="minorHAnsi" w:hAnsiTheme="minorHAnsi"/>
                <w:b/>
                <w:sz w:val="24"/>
                <w:szCs w:val="24"/>
              </w:rPr>
              <w:t xml:space="preserve">Działania w zakresie współpracy transnarodowej </w:t>
            </w:r>
          </w:p>
          <w:p w14:paraId="412B6EC2" w14:textId="3D473A92" w:rsidR="0005711E" w:rsidRPr="0005711E" w:rsidRDefault="00DC12D9" w:rsidP="00D80606">
            <w:pPr>
              <w:ind w:left="0" w:right="25"/>
              <w:jc w:val="left"/>
              <w:rPr>
                <w:rFonts w:asciiTheme="minorHAnsi" w:hAnsiTheme="minorHAnsi"/>
              </w:rPr>
            </w:pPr>
            <w:r w:rsidRPr="00D80606">
              <w:rPr>
                <w:rFonts w:asciiTheme="minorHAnsi" w:hAnsiTheme="minorHAnsi"/>
                <w:sz w:val="24"/>
                <w:szCs w:val="24"/>
              </w:rPr>
              <w:t>W ramach niniejszego celu szczegółowego z Programu Interreg EUROPA ŚRODKOWA wsparcie będzie przyznawane na działania z zakresu współpracy transnarodowej, które służą opracowaniu i realizacji strategii, planów działania, narzędzi, szkoleń i działań pilotażowych służących bardziej efektywnej ochronie przyrody i bardziej zrównoważonemu zarządzaniu środowiskiem. Działania powinny koncentrować się na opracowaniu i wdrażaniu udoskonalonych polityk na rzecz ochrony środowiska, a także opracowaniu wspólnych sposobów podejścia dostosowanych do szczególnych warunków lokalnych. Ekosystemy wykraczające poza granice (np. dorzecza rzek, korytarze ekologiczne itd.) powinny</w:t>
            </w:r>
            <w:r w:rsidR="005F7F7C" w:rsidRPr="00D80606">
              <w:rPr>
                <w:rFonts w:asciiTheme="minorHAnsi" w:hAnsiTheme="minorHAnsi"/>
                <w:sz w:val="24"/>
                <w:szCs w:val="24"/>
              </w:rPr>
              <w:t xml:space="preserve"> odnosić korzyści ze</w:t>
            </w:r>
            <w:r w:rsidRPr="00D80606">
              <w:rPr>
                <w:rFonts w:asciiTheme="minorHAnsi" w:hAnsiTheme="minorHAnsi"/>
                <w:sz w:val="24"/>
                <w:szCs w:val="24"/>
              </w:rPr>
              <w:t xml:space="preserve"> współpracy transnarodowej </w:t>
            </w:r>
            <w:r w:rsidR="00CD790F" w:rsidRPr="00D80606">
              <w:rPr>
                <w:rFonts w:asciiTheme="minorHAnsi" w:hAnsiTheme="minorHAnsi"/>
                <w:sz w:val="24"/>
                <w:szCs w:val="24"/>
              </w:rPr>
              <w:t xml:space="preserve"> takiej jak </w:t>
            </w:r>
            <w:r w:rsidR="005F7F7C" w:rsidRPr="00D80606">
              <w:rPr>
                <w:rFonts w:asciiTheme="minorHAnsi" w:hAnsiTheme="minorHAnsi"/>
                <w:sz w:val="24"/>
                <w:szCs w:val="24"/>
              </w:rPr>
              <w:t>już istniejąc</w:t>
            </w:r>
            <w:r w:rsidR="00CD790F" w:rsidRPr="00D80606">
              <w:rPr>
                <w:rFonts w:asciiTheme="minorHAnsi" w:hAnsiTheme="minorHAnsi"/>
                <w:sz w:val="24"/>
                <w:szCs w:val="24"/>
              </w:rPr>
              <w:t>e</w:t>
            </w:r>
            <w:r w:rsidR="005F7F7C" w:rsidRPr="00D80606">
              <w:rPr>
                <w:rFonts w:asciiTheme="minorHAnsi" w:hAnsiTheme="minorHAnsi"/>
                <w:sz w:val="24"/>
                <w:szCs w:val="24"/>
              </w:rPr>
              <w:t xml:space="preserve"> </w:t>
            </w:r>
            <w:r w:rsidRPr="00D80606">
              <w:rPr>
                <w:rFonts w:asciiTheme="minorHAnsi" w:hAnsiTheme="minorHAnsi"/>
                <w:sz w:val="24"/>
                <w:szCs w:val="24"/>
              </w:rPr>
              <w:t>inicjatywy wielostronne, np. inicjatyw</w:t>
            </w:r>
            <w:r w:rsidR="00AC601C" w:rsidRPr="00D80606">
              <w:rPr>
                <w:rFonts w:asciiTheme="minorHAnsi" w:hAnsiTheme="minorHAnsi"/>
                <w:sz w:val="24"/>
                <w:szCs w:val="24"/>
              </w:rPr>
              <w:t>a</w:t>
            </w:r>
            <w:r w:rsidRPr="00D80606">
              <w:rPr>
                <w:rFonts w:asciiTheme="minorHAnsi" w:hAnsiTheme="minorHAnsi"/>
                <w:sz w:val="24"/>
                <w:szCs w:val="24"/>
              </w:rPr>
              <w:t xml:space="preserve"> zielonych płuc Europy (</w:t>
            </w:r>
            <w:r w:rsidRPr="008A72BA">
              <w:rPr>
                <w:rFonts w:asciiTheme="minorHAnsi" w:hAnsiTheme="minorHAnsi"/>
                <w:sz w:val="24"/>
                <w:szCs w:val="24"/>
              </w:rPr>
              <w:t xml:space="preserve">Green Belt </w:t>
            </w:r>
            <w:r w:rsidRPr="008A72BA">
              <w:rPr>
                <w:rFonts w:asciiTheme="minorHAnsi" w:hAnsiTheme="minorHAnsi"/>
                <w:sz w:val="24"/>
                <w:szCs w:val="24"/>
              </w:rPr>
              <w:lastRenderedPageBreak/>
              <w:t>Initiative</w:t>
            </w:r>
            <w:r w:rsidRPr="00D80606">
              <w:rPr>
                <w:rFonts w:asciiTheme="minorHAnsi" w:hAnsiTheme="minorHAnsi"/>
                <w:sz w:val="24"/>
                <w:szCs w:val="24"/>
              </w:rPr>
              <w:t>).</w:t>
            </w:r>
            <w:r>
              <w:rPr>
                <w:rFonts w:asciiTheme="minorHAnsi" w:hAnsiTheme="minorHAnsi"/>
              </w:rPr>
              <w:t xml:space="preserve"> </w:t>
            </w:r>
          </w:p>
          <w:p w14:paraId="3A44D1E8" w14:textId="236CDEF4" w:rsidR="0005711E" w:rsidRPr="00D80606" w:rsidRDefault="00E5384C" w:rsidP="00D80606">
            <w:pPr>
              <w:ind w:left="0" w:right="25"/>
              <w:jc w:val="left"/>
              <w:rPr>
                <w:rFonts w:asciiTheme="minorHAnsi" w:hAnsiTheme="minorHAnsi"/>
                <w:sz w:val="24"/>
                <w:szCs w:val="24"/>
              </w:rPr>
            </w:pPr>
            <w:r w:rsidRPr="00E5384C">
              <w:rPr>
                <w:rFonts w:asciiTheme="minorHAnsi" w:hAnsiTheme="minorHAnsi"/>
                <w:sz w:val="24"/>
                <w:szCs w:val="24"/>
              </w:rPr>
              <w:t>Konkretyzując</w:t>
            </w:r>
            <w:r w:rsidR="0005711E" w:rsidRPr="00D80606">
              <w:rPr>
                <w:rFonts w:asciiTheme="minorHAnsi" w:hAnsiTheme="minorHAnsi"/>
                <w:sz w:val="24"/>
                <w:szCs w:val="24"/>
              </w:rPr>
              <w:t>, program będzie finansował działania w następujących dziedzinach (prezentowana lista nie jest katalogiem zamkniętym):</w:t>
            </w:r>
          </w:p>
          <w:p w14:paraId="7D358B6B" w14:textId="40A48D4C" w:rsidR="0005711E" w:rsidRPr="00D80606" w:rsidRDefault="003C4D88" w:rsidP="00D80606">
            <w:pPr>
              <w:pStyle w:val="Akapitzlist"/>
              <w:numPr>
                <w:ilvl w:val="0"/>
                <w:numId w:val="46"/>
              </w:numPr>
              <w:ind w:right="23"/>
              <w:contextualSpacing w:val="0"/>
              <w:jc w:val="left"/>
              <w:rPr>
                <w:rFonts w:asciiTheme="minorHAnsi" w:hAnsiTheme="minorHAnsi"/>
                <w:sz w:val="24"/>
                <w:szCs w:val="24"/>
              </w:rPr>
            </w:pPr>
            <w:r w:rsidRPr="00D80606">
              <w:rPr>
                <w:rFonts w:asciiTheme="minorHAnsi" w:hAnsiTheme="minorHAnsi"/>
                <w:sz w:val="24"/>
                <w:szCs w:val="24"/>
              </w:rPr>
              <w:t>Ochrona i odbudowa różnorodności biologicznej, w tym miejskich terenów zielonych</w:t>
            </w:r>
          </w:p>
          <w:p w14:paraId="0A32756B" w14:textId="77777777" w:rsidR="0005711E" w:rsidRPr="00D80606" w:rsidRDefault="0005711E" w:rsidP="00D80606">
            <w:pPr>
              <w:pStyle w:val="Akapitzlist"/>
              <w:numPr>
                <w:ilvl w:val="0"/>
                <w:numId w:val="46"/>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Ochrona dziedzictwa przyrodniczego, ekosystemów i obszarów cennych przyrodniczo, w tym obszarów Natura 2000</w:t>
            </w:r>
          </w:p>
          <w:p w14:paraId="4CCF52ED" w14:textId="2BF248EE" w:rsidR="0005711E" w:rsidRPr="00D80606" w:rsidRDefault="005B6224" w:rsidP="00D80606">
            <w:pPr>
              <w:pStyle w:val="Akapitzlist"/>
              <w:numPr>
                <w:ilvl w:val="0"/>
                <w:numId w:val="46"/>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Zmniejszenie zanieczyszczenia środowiska (powietrza, wody, gleby, hałas, światło itp.) i jego wpływu na zdrowie ludzkie</w:t>
            </w:r>
          </w:p>
          <w:p w14:paraId="48AD2BC2" w14:textId="77777777" w:rsidR="0005711E" w:rsidRPr="00D80606" w:rsidRDefault="0005711E" w:rsidP="00D80606">
            <w:pPr>
              <w:pStyle w:val="Akapitzlist"/>
              <w:numPr>
                <w:ilvl w:val="0"/>
                <w:numId w:val="46"/>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Zintegrowane zarządzanie środowiskiem i zrównoważone wykorzystanie zasobów naturalnych</w:t>
            </w:r>
          </w:p>
          <w:p w14:paraId="36748D44" w14:textId="432FBE1B" w:rsidR="0005711E" w:rsidRPr="00D80606" w:rsidRDefault="0005711E" w:rsidP="00D80606">
            <w:pPr>
              <w:pStyle w:val="Akapitzlist"/>
              <w:numPr>
                <w:ilvl w:val="0"/>
                <w:numId w:val="46"/>
              </w:numPr>
              <w:ind w:right="23"/>
              <w:contextualSpacing w:val="0"/>
              <w:jc w:val="left"/>
              <w:rPr>
                <w:rFonts w:asciiTheme="minorHAnsi" w:hAnsiTheme="minorHAnsi"/>
                <w:sz w:val="24"/>
                <w:szCs w:val="24"/>
              </w:rPr>
            </w:pPr>
            <w:r w:rsidRPr="00D80606">
              <w:rPr>
                <w:rFonts w:asciiTheme="minorHAnsi" w:hAnsiTheme="minorHAnsi"/>
                <w:sz w:val="24"/>
                <w:szCs w:val="24"/>
              </w:rPr>
              <w:t>Zrównoważone zarządzanie gruntami i planowanie krajobrazu, które optymalizują działalność człowieka z uwzględnieniem środków ochrony i zwiększania różnorodności biologicznej</w:t>
            </w:r>
          </w:p>
          <w:p w14:paraId="305C30BD" w14:textId="77777777" w:rsidR="0005711E" w:rsidRPr="00D80606" w:rsidRDefault="0005711E" w:rsidP="00D80606">
            <w:pPr>
              <w:pStyle w:val="Akapitzlist"/>
              <w:numPr>
                <w:ilvl w:val="0"/>
                <w:numId w:val="46"/>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Usługi ekosystemowe (np. wytwarzanie żywności i wody, czyste powietrze, korzyści rekreacyjne)</w:t>
            </w:r>
          </w:p>
          <w:p w14:paraId="5BC67DA1" w14:textId="77777777" w:rsidR="0005711E" w:rsidRPr="00D80606" w:rsidRDefault="0005711E" w:rsidP="00D80606">
            <w:pPr>
              <w:pStyle w:val="Akapitzlist"/>
              <w:numPr>
                <w:ilvl w:val="0"/>
                <w:numId w:val="46"/>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Odbudowa zniszczonych ekosystemów</w:t>
            </w:r>
          </w:p>
          <w:p w14:paraId="68CE6174" w14:textId="77777777" w:rsidR="0005711E" w:rsidRPr="00D80606" w:rsidRDefault="0005711E" w:rsidP="00D80606">
            <w:pPr>
              <w:pStyle w:val="Akapitzlist"/>
              <w:numPr>
                <w:ilvl w:val="0"/>
                <w:numId w:val="46"/>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Zrównoważona turystyka i waloryzacja dziedzictwa przyrodniczego</w:t>
            </w:r>
          </w:p>
          <w:p w14:paraId="507D826C" w14:textId="77777777" w:rsidR="0005711E" w:rsidRPr="00D80606" w:rsidRDefault="0005711E" w:rsidP="00D80606">
            <w:pPr>
              <w:ind w:left="0" w:right="25"/>
              <w:jc w:val="left"/>
              <w:rPr>
                <w:rFonts w:asciiTheme="minorHAnsi" w:hAnsiTheme="minorHAnsi"/>
                <w:sz w:val="24"/>
                <w:szCs w:val="24"/>
              </w:rPr>
            </w:pPr>
          </w:p>
          <w:p w14:paraId="7A01368F" w14:textId="77777777" w:rsidR="0005711E" w:rsidRPr="00D80606" w:rsidRDefault="0005711E" w:rsidP="00D80606">
            <w:pPr>
              <w:spacing w:before="80" w:after="80"/>
              <w:ind w:left="0" w:right="0"/>
              <w:jc w:val="left"/>
              <w:rPr>
                <w:rFonts w:ascii="Trebuchet MS" w:eastAsiaTheme="minorHAnsi" w:hAnsi="Trebuchet MS" w:cstheme="minorBidi"/>
                <w:b/>
                <w:sz w:val="24"/>
                <w:szCs w:val="24"/>
                <w:u w:val="single"/>
              </w:rPr>
            </w:pPr>
            <w:r w:rsidRPr="00D80606">
              <w:rPr>
                <w:rFonts w:ascii="Trebuchet MS" w:hAnsi="Trebuchet MS"/>
                <w:b/>
                <w:sz w:val="24"/>
                <w:szCs w:val="24"/>
                <w:u w:val="single"/>
              </w:rPr>
              <w:t xml:space="preserve">Przykłady wspieranych działań (prezentowana lista nie jest katalogiem zamkniętym): </w:t>
            </w:r>
          </w:p>
          <w:p w14:paraId="1B96F72D" w14:textId="0C529530" w:rsidR="0005711E" w:rsidRPr="00D80606" w:rsidRDefault="00BC7D3F" w:rsidP="00D80606">
            <w:pPr>
              <w:pStyle w:val="Akapitzlist"/>
              <w:numPr>
                <w:ilvl w:val="0"/>
                <w:numId w:val="47"/>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Doskonalenie ram politycznych w zakresie różnorodności biologicznej oraz wdrażanie strategii na poziomie lokalnym, regionalnym i ponadnarodowym w celu ochrony i odbudowy ekosystemów oraz ochrony dzikiej fauny i flory</w:t>
            </w:r>
          </w:p>
          <w:p w14:paraId="09952A21" w14:textId="4FFCA64B" w:rsidR="0005711E" w:rsidRPr="00D80606" w:rsidRDefault="0005711E" w:rsidP="00D80606">
            <w:pPr>
              <w:pStyle w:val="Akapitzlist"/>
              <w:numPr>
                <w:ilvl w:val="0"/>
                <w:numId w:val="47"/>
              </w:numPr>
              <w:ind w:right="23"/>
              <w:contextualSpacing w:val="0"/>
              <w:jc w:val="left"/>
              <w:rPr>
                <w:rFonts w:asciiTheme="minorHAnsi" w:hAnsiTheme="minorHAnsi"/>
                <w:sz w:val="24"/>
                <w:szCs w:val="24"/>
              </w:rPr>
            </w:pPr>
            <w:r w:rsidRPr="00D80606">
              <w:rPr>
                <w:rFonts w:asciiTheme="minorHAnsi" w:hAnsiTheme="minorHAnsi"/>
                <w:sz w:val="24"/>
                <w:szCs w:val="24"/>
              </w:rPr>
              <w:t>Podnoszenie umiejętności i kompetencji interesariuszy na wszystkich poziomach polityki poprzez wymianę wiedzy i najlepszych praktyk w celu wspierania zintegrowanego zarządzania zasobami naturalnymi, takimi jak powietrze, woda i gleba, jak również opartych na przyrodzie rozwiązań w zakresie inwestycji infrastrukturalnych</w:t>
            </w:r>
          </w:p>
          <w:p w14:paraId="6114D0C7" w14:textId="0DCEBE89" w:rsidR="00B807ED" w:rsidRPr="00D80606" w:rsidRDefault="00B807ED" w:rsidP="00D80606">
            <w:pPr>
              <w:pStyle w:val="Akapitzlist"/>
              <w:numPr>
                <w:ilvl w:val="0"/>
                <w:numId w:val="47"/>
              </w:numPr>
              <w:ind w:right="23"/>
              <w:contextualSpacing w:val="0"/>
              <w:jc w:val="left"/>
              <w:rPr>
                <w:rFonts w:asciiTheme="minorHAnsi" w:hAnsiTheme="minorHAnsi"/>
                <w:sz w:val="24"/>
                <w:szCs w:val="24"/>
              </w:rPr>
            </w:pPr>
            <w:r w:rsidRPr="00D80606">
              <w:rPr>
                <w:rFonts w:asciiTheme="minorHAnsi" w:hAnsiTheme="minorHAnsi"/>
                <w:sz w:val="24"/>
                <w:szCs w:val="24"/>
              </w:rPr>
              <w:t>Wspieranie wdrażania polityk i strategii na rzecz ochrony krajobrazów kulturowych oraz włączanie interesów ochrony różnorodności biologicznej do zarządzania krajobrazem</w:t>
            </w:r>
          </w:p>
          <w:p w14:paraId="3A7DF0FB" w14:textId="0269A0CB" w:rsidR="0005711E" w:rsidRPr="00D80606" w:rsidRDefault="0005711E" w:rsidP="00D80606">
            <w:pPr>
              <w:pStyle w:val="Akapitzlist"/>
              <w:numPr>
                <w:ilvl w:val="0"/>
                <w:numId w:val="47"/>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 xml:space="preserve">Łączenie zielonej i niebieskiej infrastruktury w skoordynowany sposób w celu budowy i wzmacniania korytarzy ekologicznych i miejsc objętych ochroną na poziomie lokalnym, regionalnym i transnarodowym, co przyczyni się do ograniczenia fragmentacji przestrzeni przyrodniczej i przenikania się siedlisk ponad granicami państw </w:t>
            </w:r>
          </w:p>
          <w:p w14:paraId="0C92A17B" w14:textId="77777777" w:rsidR="0005711E" w:rsidRPr="00D80606" w:rsidRDefault="0005711E" w:rsidP="00D80606">
            <w:pPr>
              <w:pStyle w:val="Akapitzlist"/>
              <w:numPr>
                <w:ilvl w:val="0"/>
                <w:numId w:val="47"/>
              </w:numPr>
              <w:ind w:left="357" w:right="23" w:hanging="357"/>
              <w:contextualSpacing w:val="0"/>
              <w:jc w:val="left"/>
              <w:rPr>
                <w:rFonts w:asciiTheme="minorHAnsi" w:hAnsiTheme="minorHAnsi"/>
                <w:sz w:val="24"/>
                <w:szCs w:val="24"/>
              </w:rPr>
            </w:pPr>
            <w:r w:rsidRPr="00D80606">
              <w:rPr>
                <w:rFonts w:asciiTheme="minorHAnsi" w:hAnsiTheme="minorHAnsi"/>
                <w:sz w:val="24"/>
                <w:szCs w:val="24"/>
              </w:rPr>
              <w:lastRenderedPageBreak/>
              <w:t>Przeprowadzanie testów innowacyjnych rozwiązań technicznych służących odbudowie zniszczonych ekosystemów (np. rzek, bardzo zróżnicowanych krajobrazów, lasów) i rozszerzanie takich sposobów podejścia na wyższym poziomie terytorialnym</w:t>
            </w:r>
          </w:p>
          <w:p w14:paraId="7049AC6B" w14:textId="593EB356" w:rsidR="0005711E" w:rsidRPr="00D80606" w:rsidRDefault="00BC7D3F" w:rsidP="00D80606">
            <w:pPr>
              <w:pStyle w:val="Akapitzlist"/>
              <w:numPr>
                <w:ilvl w:val="0"/>
                <w:numId w:val="47"/>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Opracowanie i przeprowadzanie testów rozwiązań służących ocenie i doskonaleniu usług ekosystemowych i zwiększaniu świadomości decydentów politycznych w zakresie wartości ekosystemów na poziomie lokalnym i regionalnym. z uwzględnieniem ich funkcji w zakresie poprawy zdrowia i dobrobytu społeczeństwa poprzez np. dostęp do przyrody, sport na świeżym powietrzu i rekreację</w:t>
            </w:r>
          </w:p>
          <w:p w14:paraId="556882AD" w14:textId="1218641A" w:rsidR="0005711E" w:rsidRPr="00D80606" w:rsidRDefault="0005711E" w:rsidP="00D80606">
            <w:pPr>
              <w:pStyle w:val="Akapitzlist"/>
              <w:numPr>
                <w:ilvl w:val="0"/>
                <w:numId w:val="47"/>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Wzmacnianie koordynacji zarządzania środowiskiem i ochrony przyrody na poziomie transnarodowym w ramach wielostronnych inicjatyw współpracy i takich struktur jak inicjatywa zielonych płuc Europy</w:t>
            </w:r>
          </w:p>
          <w:p w14:paraId="2569FFCA" w14:textId="055C3B65" w:rsidR="0005711E" w:rsidRPr="00D80606" w:rsidRDefault="0005711E" w:rsidP="00D80606">
            <w:pPr>
              <w:pStyle w:val="Akapitzlist"/>
              <w:numPr>
                <w:ilvl w:val="0"/>
                <w:numId w:val="47"/>
              </w:numPr>
              <w:ind w:right="23"/>
              <w:contextualSpacing w:val="0"/>
              <w:jc w:val="left"/>
              <w:rPr>
                <w:rFonts w:asciiTheme="minorHAnsi" w:hAnsiTheme="minorHAnsi"/>
                <w:sz w:val="24"/>
                <w:szCs w:val="24"/>
              </w:rPr>
            </w:pPr>
            <w:r w:rsidRPr="00D80606">
              <w:rPr>
                <w:rFonts w:asciiTheme="minorHAnsi" w:hAnsiTheme="minorHAnsi"/>
                <w:sz w:val="24"/>
                <w:szCs w:val="24"/>
              </w:rPr>
              <w:t>Rozwijanie transnarodowych sposobów podejścia do zrównoważonego wykorzystania gruntów w celu przeciwdziałania eksurbanizacji i przeprowadzanie testów nowatorskich sposobów podejścia do rewaloryzacji zanieczyszczonych terenów poprzemysłowych przez rewitalizację zniszczonych obszarów podmiejskich</w:t>
            </w:r>
          </w:p>
          <w:p w14:paraId="3E5F3D3A" w14:textId="3F2444FC" w:rsidR="00705B6A" w:rsidRPr="00D80606" w:rsidRDefault="00705B6A" w:rsidP="00D80606">
            <w:pPr>
              <w:pStyle w:val="Akapitzlist"/>
              <w:numPr>
                <w:ilvl w:val="0"/>
                <w:numId w:val="47"/>
              </w:numPr>
              <w:ind w:right="23"/>
              <w:contextualSpacing w:val="0"/>
              <w:jc w:val="left"/>
              <w:rPr>
                <w:rFonts w:asciiTheme="minorHAnsi" w:hAnsiTheme="minorHAnsi"/>
                <w:sz w:val="24"/>
                <w:szCs w:val="24"/>
              </w:rPr>
            </w:pPr>
            <w:r w:rsidRPr="00D80606">
              <w:rPr>
                <w:rFonts w:asciiTheme="minorHAnsi" w:hAnsiTheme="minorHAnsi"/>
                <w:sz w:val="24"/>
                <w:szCs w:val="24"/>
              </w:rPr>
              <w:t>Wspieranie innowacyjnych rozwiązań, z uwzględnieniem również obowiązujących przepisów i zachęt, w celu przeciwdziałania degradacji gleby (w tym jej zagęszczaniu) i poprawy jej właściwości, np. poprzez zwiększenie zawartości materii organicznej w glebie</w:t>
            </w:r>
          </w:p>
          <w:p w14:paraId="6E86B329" w14:textId="77777777" w:rsidR="0005711E" w:rsidRPr="00D80606" w:rsidRDefault="0005711E" w:rsidP="00D80606">
            <w:pPr>
              <w:pStyle w:val="Akapitzlist"/>
              <w:numPr>
                <w:ilvl w:val="0"/>
                <w:numId w:val="47"/>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Rozwijanie i przeprowadzenie testów zintegrowanych planów działania na rzecz ochrony środowiska naturalnego (np. w zakresie monitorowania i ograniczania zanieczyszczenia) na poziomie lokalnym i regionalnym w celu stworzenia podstawy do przeciwdziałania i łagodzenia skutków zanieczyszczenia</w:t>
            </w:r>
          </w:p>
          <w:p w14:paraId="40941060" w14:textId="09D0D1A6" w:rsidR="0005711E" w:rsidRPr="00D80606" w:rsidRDefault="0005711E" w:rsidP="00D80606">
            <w:pPr>
              <w:pStyle w:val="Akapitzlist"/>
              <w:numPr>
                <w:ilvl w:val="0"/>
                <w:numId w:val="47"/>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 xml:space="preserve">Budowa zdolności do zintegrowanego zarządzania ekosystemami wodnymi (np. przez harmonizację realizacji planów gospodarki wodnej w celu poprawy jakości wody w transgranicznych dorzeczach rzek lub przez stosowanie innowacyjnych technologii uzdatniania wody) </w:t>
            </w:r>
          </w:p>
          <w:p w14:paraId="0B44FCAF" w14:textId="599F3E82" w:rsidR="0005711E" w:rsidRPr="00D80606" w:rsidRDefault="0005711E" w:rsidP="00D80606">
            <w:pPr>
              <w:pStyle w:val="Akapitzlist"/>
              <w:numPr>
                <w:ilvl w:val="0"/>
                <w:numId w:val="47"/>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Rozpowszechnianie dobrych praktyk i rozwijanie innowacyjnych rozwiązań ukierunkowanych na obce gatunki inwazyjne i wzmacnianie praktyk zrównoważonego zarządzania środowiskiem (np. gospodarki leśnej, zarządzania jeziorami, zarządzania przyjaznego dla zapylaczy, zrównoważonych łańcuchów dostaw żywności)</w:t>
            </w:r>
          </w:p>
          <w:p w14:paraId="709E75D3" w14:textId="5FE2ACD5" w:rsidR="0005711E" w:rsidRPr="00D80606" w:rsidRDefault="0005711E" w:rsidP="00D80606">
            <w:pPr>
              <w:pStyle w:val="Akapitzlist"/>
              <w:numPr>
                <w:ilvl w:val="0"/>
                <w:numId w:val="47"/>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 xml:space="preserve">Opracowywanie i wdrażanie strategii i rozwiązań na rzecz zrównoważonej turystyki, które przyczyniają się do waloryzacji dziedzictwa przyrodniczego Europy Środkowej (np. obszarów objętych ochroną, terenów podmokłych, </w:t>
            </w:r>
            <w:r w:rsidRPr="00D80606">
              <w:rPr>
                <w:rFonts w:asciiTheme="minorHAnsi" w:hAnsiTheme="minorHAnsi"/>
                <w:sz w:val="24"/>
                <w:szCs w:val="24"/>
              </w:rPr>
              <w:lastRenderedPageBreak/>
              <w:t>krajobrazów), z wykorzystaniem metod partycypacyjnych oraz metod zapobiegających konfliktom</w:t>
            </w:r>
          </w:p>
          <w:p w14:paraId="0A1B1EF6" w14:textId="1BD74F35" w:rsidR="00AC5BBE" w:rsidRPr="00D80606" w:rsidRDefault="00AC5BBE" w:rsidP="00D80606">
            <w:pPr>
              <w:ind w:left="0" w:right="25"/>
              <w:jc w:val="left"/>
              <w:rPr>
                <w:rFonts w:asciiTheme="minorHAnsi" w:hAnsiTheme="minorHAnsi"/>
                <w:sz w:val="24"/>
                <w:szCs w:val="24"/>
              </w:rPr>
            </w:pPr>
            <w:r w:rsidRPr="00D80606">
              <w:rPr>
                <w:rFonts w:asciiTheme="minorHAnsi" w:hAnsiTheme="minorHAnsi"/>
                <w:sz w:val="24"/>
                <w:szCs w:val="24"/>
              </w:rPr>
              <w:t xml:space="preserve">W ramach działań należy dążyć do synergii z europejskimi i krajowymi instrumentami, w szczególności z Europejskim Zielonym Ładem. Powinny one wykorzystywać wyniki innych programów, np. Horyzont Europa, LIFE i innych, a także wykorzystywać inwestycje realizowane na przykład z krajowych i regionalnych programów EFRR, </w:t>
            </w:r>
            <w:r w:rsidRPr="008A72BA">
              <w:rPr>
                <w:rFonts w:asciiTheme="minorHAnsi" w:hAnsiTheme="minorHAnsi"/>
                <w:sz w:val="24"/>
                <w:szCs w:val="24"/>
              </w:rPr>
              <w:t>InvestEU</w:t>
            </w:r>
            <w:r w:rsidRPr="00D80606">
              <w:rPr>
                <w:rFonts w:asciiTheme="minorHAnsi" w:hAnsiTheme="minorHAnsi"/>
                <w:sz w:val="24"/>
                <w:szCs w:val="24"/>
              </w:rPr>
              <w:t xml:space="preserve"> lub Wspólnego Funduszu Transformacji. W stosownych przypadkach należy również rozważyć synergie i komplementarność z EFS+, np. w związku z rozwojem zielonych umiejętności i zielonych miejsc pracy, oraz z EFRROW w odniesieniu np. do zarządzania wodą i ochroną różnorodności biologicznej na obszarach wiejskich.</w:t>
            </w:r>
          </w:p>
          <w:p w14:paraId="7261C57D" w14:textId="10440FE6" w:rsidR="00E90B41" w:rsidRPr="00D80606" w:rsidRDefault="00AC5BBE" w:rsidP="00D80606">
            <w:pPr>
              <w:ind w:left="0" w:right="25"/>
              <w:jc w:val="left"/>
              <w:rPr>
                <w:rFonts w:asciiTheme="minorHAnsi" w:hAnsiTheme="minorHAnsi"/>
                <w:sz w:val="24"/>
                <w:szCs w:val="24"/>
              </w:rPr>
            </w:pPr>
            <w:r w:rsidRPr="00D80606">
              <w:rPr>
                <w:rFonts w:asciiTheme="minorHAnsi" w:hAnsiTheme="minorHAnsi"/>
                <w:sz w:val="24"/>
                <w:szCs w:val="24"/>
              </w:rPr>
              <w:t>Działania powinny ponadto uwzględniać dotychczasowe inicjatywy i zinstytucjonalizowane struktury współpracy na rzecz tworzenia wartości dodanej na wszystkich poziomach (np. Europejski Zielony Pas, konwencje dotyczące ochrony środowiska, Konwencja Karpacka, Konwencja Alpejska), jak również odpowiednie plany działania w ramach strategii makroregionalnych.</w:t>
            </w:r>
          </w:p>
          <w:p w14:paraId="05CB9A57" w14:textId="77777777" w:rsidR="009F3809" w:rsidRPr="00D80606" w:rsidRDefault="009F3809" w:rsidP="00D80606">
            <w:pPr>
              <w:ind w:left="0"/>
              <w:jc w:val="left"/>
              <w:rPr>
                <w:rFonts w:asciiTheme="minorHAnsi" w:hAnsiTheme="minorHAnsi"/>
                <w:sz w:val="24"/>
                <w:szCs w:val="24"/>
              </w:rPr>
            </w:pPr>
          </w:p>
          <w:p w14:paraId="6EECA543" w14:textId="77777777" w:rsidR="00F524B9" w:rsidRPr="00D80606" w:rsidRDefault="00F524B9" w:rsidP="00D80606">
            <w:pPr>
              <w:ind w:left="0" w:right="25"/>
              <w:jc w:val="left"/>
              <w:rPr>
                <w:rFonts w:asciiTheme="minorHAnsi" w:hAnsiTheme="minorHAnsi"/>
                <w:b/>
                <w:sz w:val="24"/>
                <w:szCs w:val="24"/>
              </w:rPr>
            </w:pPr>
            <w:r w:rsidRPr="00D80606">
              <w:rPr>
                <w:rFonts w:asciiTheme="minorHAnsi" w:hAnsiTheme="minorHAnsi"/>
                <w:b/>
                <w:sz w:val="24"/>
                <w:szCs w:val="24"/>
              </w:rPr>
              <w:t xml:space="preserve">Planowane wyniki </w:t>
            </w:r>
          </w:p>
          <w:p w14:paraId="078CFB3F" w14:textId="77777777" w:rsidR="009D6F42" w:rsidRPr="008727F2" w:rsidRDefault="000924CA" w:rsidP="00D80606">
            <w:pPr>
              <w:ind w:left="0" w:right="25"/>
              <w:jc w:val="left"/>
              <w:rPr>
                <w:rFonts w:asciiTheme="minorHAnsi" w:hAnsiTheme="minorHAnsi"/>
                <w:i/>
                <w:color w:val="000000"/>
              </w:rPr>
            </w:pPr>
            <w:r w:rsidRPr="00D80606">
              <w:rPr>
                <w:rFonts w:asciiTheme="minorHAnsi" w:hAnsiTheme="minorHAnsi"/>
                <w:sz w:val="24"/>
                <w:szCs w:val="24"/>
              </w:rPr>
              <w:t>Działania w ramach współpracy transnarodowej przyczynią się do zdobywania wiedzy na temat polityki na wszystkich poziomach zarządzania, a także zwiększą zdolności na rzecz lepszego zarządzania ponadsektorową współzależnością ekosystemów i różnorodnością biologiczną, a także społeczno-gospodarczymi skutkami ich degradacji. Działania transnarodowe będą przyczyniać się do eliminowania luk w polityce w celu stworzenia całościowych i spójnych ram polityki ochrony i poprawy stanu środowiska naturalnego w Europie Środkowej. Pilotażowe wdrażanie nowych rozwiązań i transfer dobrych praktyk będą przyczyniać się do zmniejszania barier w realizacji działań z zakresu ochrony i odbudowy środowiska naturalnego. W rezultacie uwolnione zostaną środki finansowe i wykorzystane dodatkowe fundusze na budowę zielonej infrastruktury.</w:t>
            </w:r>
          </w:p>
        </w:tc>
      </w:tr>
    </w:tbl>
    <w:p w14:paraId="03D9E453" w14:textId="77777777" w:rsidR="009D6F42" w:rsidRPr="00680741" w:rsidRDefault="009D6F42" w:rsidP="009D6F42">
      <w:pPr>
        <w:rPr>
          <w:rFonts w:asciiTheme="minorHAnsi" w:hAnsiTheme="minorHAnsi"/>
          <w:i/>
          <w:color w:val="000000"/>
        </w:rPr>
      </w:pPr>
    </w:p>
    <w:p w14:paraId="5918E665" w14:textId="77777777" w:rsidR="009D6F42" w:rsidRPr="00D80606" w:rsidRDefault="009D6F42" w:rsidP="009D6F42">
      <w:pPr>
        <w:spacing w:before="240" w:after="240" w:line="240" w:lineRule="auto"/>
        <w:ind w:left="0"/>
        <w:rPr>
          <w:rFonts w:asciiTheme="minorHAnsi" w:hAnsiTheme="minorHAnsi"/>
          <w:b/>
          <w:sz w:val="24"/>
          <w:szCs w:val="24"/>
        </w:rPr>
      </w:pPr>
      <w:r w:rsidRPr="00D80606">
        <w:rPr>
          <w:rFonts w:asciiTheme="minorHAnsi" w:hAnsiTheme="minorHAnsi"/>
          <w:b/>
          <w:sz w:val="24"/>
          <w:szCs w:val="24"/>
        </w:rPr>
        <w:t>Dla programów INTERACT i ESPON:</w:t>
      </w:r>
    </w:p>
    <w:p w14:paraId="2B4B8AE8" w14:textId="77777777" w:rsidR="009D6F42" w:rsidRPr="00D80606" w:rsidRDefault="009D6F42"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9 lit. c punkt i</w:t>
      </w:r>
    </w:p>
    <w:p w14:paraId="0C1CB46F" w14:textId="77777777" w:rsidR="009D6F42" w:rsidRPr="00D80606" w:rsidRDefault="009D6F42"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Definicja pojedynczego beneficjenta lub zamkniętej listy beneficjentów i procedura przyznawania środków finansowych.</w:t>
      </w:r>
    </w:p>
    <w:p w14:paraId="4442CB1C" w14:textId="77777777" w:rsidR="00F524B9" w:rsidRPr="00D80606" w:rsidRDefault="00F524B9"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Pole tekstowe [7000]</w:t>
      </w:r>
    </w:p>
    <w:p w14:paraId="5176C145" w14:textId="77777777" w:rsidR="009D6F42" w:rsidRPr="00D80606" w:rsidRDefault="00004898" w:rsidP="009D6F42">
      <w:pPr>
        <w:pBdr>
          <w:top w:val="single" w:sz="4" w:space="1" w:color="000000"/>
          <w:left w:val="single" w:sz="4" w:space="4" w:color="000000"/>
          <w:bottom w:val="single" w:sz="4" w:space="1" w:color="000000"/>
          <w:right w:val="single" w:sz="4" w:space="4" w:color="000000"/>
        </w:pBdr>
        <w:ind w:left="142"/>
        <w:rPr>
          <w:rFonts w:asciiTheme="minorHAnsi" w:hAnsiTheme="minorHAnsi"/>
          <w:color w:val="000000"/>
          <w:sz w:val="24"/>
          <w:szCs w:val="24"/>
        </w:rPr>
      </w:pPr>
      <w:r w:rsidRPr="00D80606">
        <w:rPr>
          <w:rFonts w:asciiTheme="minorHAnsi" w:hAnsiTheme="minorHAnsi"/>
          <w:color w:val="000000"/>
          <w:sz w:val="24"/>
          <w:szCs w:val="24"/>
        </w:rPr>
        <w:t>Nie dotyczy.</w:t>
      </w:r>
    </w:p>
    <w:p w14:paraId="53E15493" w14:textId="77777777" w:rsidR="008E2A7A" w:rsidRPr="00680741" w:rsidRDefault="008E2A7A" w:rsidP="009D6F42">
      <w:pPr>
        <w:spacing w:before="240" w:after="240" w:line="240" w:lineRule="auto"/>
        <w:ind w:left="709" w:hanging="709"/>
        <w:rPr>
          <w:rFonts w:asciiTheme="minorHAnsi" w:hAnsiTheme="minorHAnsi"/>
          <w:b/>
          <w:sz w:val="24"/>
          <w:szCs w:val="24"/>
        </w:rPr>
      </w:pPr>
    </w:p>
    <w:p w14:paraId="06766372" w14:textId="77777777" w:rsidR="009D6F42" w:rsidRPr="008727F2" w:rsidRDefault="009D6F42" w:rsidP="009D6F42">
      <w:pPr>
        <w:spacing w:before="240" w:after="240" w:line="240" w:lineRule="auto"/>
        <w:ind w:left="709" w:hanging="709"/>
        <w:rPr>
          <w:rFonts w:asciiTheme="minorHAnsi" w:hAnsiTheme="minorHAnsi"/>
          <w:b/>
          <w:sz w:val="24"/>
          <w:szCs w:val="24"/>
        </w:rPr>
      </w:pPr>
      <w:r>
        <w:rPr>
          <w:rFonts w:asciiTheme="minorHAnsi" w:hAnsiTheme="minorHAnsi"/>
          <w:b/>
          <w:sz w:val="24"/>
        </w:rPr>
        <w:t>2.2.4.2</w:t>
      </w:r>
      <w:r>
        <w:rPr>
          <w:rFonts w:asciiTheme="minorHAnsi" w:hAnsiTheme="minorHAnsi"/>
          <w:b/>
          <w:sz w:val="24"/>
        </w:rPr>
        <w:tab/>
        <w:t>Wskaźniki</w:t>
      </w:r>
    </w:p>
    <w:p w14:paraId="06D1D04E" w14:textId="77777777" w:rsidR="009D6F42" w:rsidRPr="00D80606" w:rsidRDefault="009D6F42"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ii, art. 17 ust. 9 lit. c punkt iii</w:t>
      </w:r>
    </w:p>
    <w:p w14:paraId="3A30E32E" w14:textId="77777777" w:rsidR="008E2A7A" w:rsidRPr="009A0D85" w:rsidRDefault="008E2A7A" w:rsidP="008E2A7A">
      <w:pPr>
        <w:spacing w:before="240" w:after="240" w:line="240" w:lineRule="auto"/>
        <w:ind w:left="0"/>
        <w:rPr>
          <w:rFonts w:asciiTheme="minorHAnsi" w:hAnsiTheme="minorHAnsi"/>
          <w:szCs w:val="24"/>
        </w:rPr>
      </w:pPr>
      <w:r>
        <w:rPr>
          <w:rFonts w:asciiTheme="minorHAnsi" w:hAnsiTheme="minorHAnsi"/>
        </w:rPr>
        <w:t>Tabela 2: Wskaźniki produktów</w:t>
      </w:r>
    </w:p>
    <w:tbl>
      <w:tblPr>
        <w:tblStyle w:val="18"/>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4"/>
        <w:gridCol w:w="1331"/>
        <w:gridCol w:w="1418"/>
        <w:gridCol w:w="2202"/>
        <w:gridCol w:w="1688"/>
        <w:gridCol w:w="1018"/>
        <w:gridCol w:w="1075"/>
      </w:tblGrid>
      <w:tr w:rsidR="008E2A7A" w:rsidRPr="008727F2" w14:paraId="735FC28F" w14:textId="77777777" w:rsidTr="003D3F2E">
        <w:trPr>
          <w:trHeight w:val="836"/>
        </w:trPr>
        <w:tc>
          <w:tcPr>
            <w:tcW w:w="398" w:type="pct"/>
          </w:tcPr>
          <w:p w14:paraId="008820F3"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Priorytet </w:t>
            </w:r>
          </w:p>
        </w:tc>
        <w:tc>
          <w:tcPr>
            <w:tcW w:w="467" w:type="pct"/>
          </w:tcPr>
          <w:p w14:paraId="0164B777"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szczegółowy</w:t>
            </w:r>
          </w:p>
        </w:tc>
        <w:tc>
          <w:tcPr>
            <w:tcW w:w="534" w:type="pct"/>
          </w:tcPr>
          <w:p w14:paraId="0FDEF1A7"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IDENTYFIKATOR</w:t>
            </w:r>
          </w:p>
          <w:p w14:paraId="76E95317"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[5]</w:t>
            </w:r>
          </w:p>
        </w:tc>
        <w:tc>
          <w:tcPr>
            <w:tcW w:w="1267" w:type="pct"/>
            <w:shd w:val="clear" w:color="auto" w:fill="auto"/>
          </w:tcPr>
          <w:p w14:paraId="70258C7B"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Wskaźnik </w:t>
            </w:r>
          </w:p>
        </w:tc>
        <w:tc>
          <w:tcPr>
            <w:tcW w:w="1000" w:type="pct"/>
          </w:tcPr>
          <w:p w14:paraId="6B8B3B4C"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Jednostka miary</w:t>
            </w:r>
          </w:p>
          <w:p w14:paraId="576ED31C"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[255]</w:t>
            </w:r>
          </w:p>
        </w:tc>
        <w:tc>
          <w:tcPr>
            <w:tcW w:w="652" w:type="pct"/>
            <w:shd w:val="clear" w:color="auto" w:fill="auto"/>
          </w:tcPr>
          <w:p w14:paraId="51A5C6CB"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Kamień milowy (2024)</w:t>
            </w:r>
          </w:p>
          <w:p w14:paraId="5FC8299E"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[200]</w:t>
            </w:r>
          </w:p>
        </w:tc>
        <w:tc>
          <w:tcPr>
            <w:tcW w:w="682" w:type="pct"/>
            <w:shd w:val="clear" w:color="auto" w:fill="auto"/>
          </w:tcPr>
          <w:p w14:paraId="1CF1845E"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końcowy (2029)</w:t>
            </w:r>
          </w:p>
          <w:p w14:paraId="786FC830"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[200]</w:t>
            </w:r>
          </w:p>
        </w:tc>
      </w:tr>
      <w:tr w:rsidR="008E2A7A" w:rsidRPr="001B3725" w14:paraId="17C9F459" w14:textId="77777777" w:rsidTr="003D3F2E">
        <w:trPr>
          <w:trHeight w:val="579"/>
        </w:trPr>
        <w:tc>
          <w:tcPr>
            <w:tcW w:w="398" w:type="pct"/>
          </w:tcPr>
          <w:p w14:paraId="3BB7E228" w14:textId="77777777" w:rsidR="008E2A7A" w:rsidRPr="001B3B78"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467" w:type="pct"/>
          </w:tcPr>
          <w:p w14:paraId="186BFC43" w14:textId="77777777" w:rsidR="008E2A7A" w:rsidRPr="001B3B78"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2.4</w:t>
            </w:r>
          </w:p>
        </w:tc>
        <w:tc>
          <w:tcPr>
            <w:tcW w:w="534" w:type="pct"/>
          </w:tcPr>
          <w:p w14:paraId="01B9671E" w14:textId="77777777" w:rsidR="008E2A7A" w:rsidRPr="001B3B78" w:rsidRDefault="008E2A7A"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83 RCO</w:t>
            </w:r>
          </w:p>
        </w:tc>
        <w:tc>
          <w:tcPr>
            <w:tcW w:w="1267" w:type="pct"/>
            <w:shd w:val="clear" w:color="auto" w:fill="auto"/>
          </w:tcPr>
          <w:p w14:paraId="40B59608" w14:textId="77777777" w:rsidR="008E2A7A" w:rsidRPr="00CD0335" w:rsidRDefault="008E2A7A"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Wspólnie opracowane strategie i plany działania</w:t>
            </w:r>
          </w:p>
        </w:tc>
        <w:tc>
          <w:tcPr>
            <w:tcW w:w="1000" w:type="pct"/>
          </w:tcPr>
          <w:p w14:paraId="11498A3A" w14:textId="77777777" w:rsidR="008E2A7A" w:rsidRPr="001B3B78" w:rsidRDefault="008E2A7A"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Strategia/plan działania</w:t>
            </w:r>
          </w:p>
        </w:tc>
        <w:tc>
          <w:tcPr>
            <w:tcW w:w="652" w:type="pct"/>
            <w:shd w:val="clear" w:color="auto" w:fill="auto"/>
          </w:tcPr>
          <w:p w14:paraId="4D488AF7" w14:textId="77777777" w:rsidR="008E2A7A" w:rsidRPr="001B3B78" w:rsidRDefault="008E2A7A" w:rsidP="00D22A6D">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730812E6" w14:textId="77777777" w:rsidR="008E2A7A" w:rsidRPr="001B3B78" w:rsidRDefault="008E2A7A" w:rsidP="00D22A6D">
            <w:pPr>
              <w:pBdr>
                <w:top w:val="nil"/>
                <w:left w:val="nil"/>
                <w:bottom w:val="nil"/>
                <w:right w:val="nil"/>
                <w:between w:val="nil"/>
              </w:pBdr>
              <w:spacing w:after="120" w:line="240" w:lineRule="auto"/>
              <w:ind w:left="0" w:right="0"/>
              <w:rPr>
                <w:rFonts w:asciiTheme="minorHAnsi" w:hAnsiTheme="minorHAnsi"/>
                <w:color w:val="000000"/>
              </w:rPr>
            </w:pPr>
          </w:p>
        </w:tc>
      </w:tr>
      <w:tr w:rsidR="00D22A6D" w:rsidRPr="008727F2" w14:paraId="55554B83" w14:textId="77777777" w:rsidTr="003D3F2E">
        <w:trPr>
          <w:trHeight w:val="579"/>
        </w:trPr>
        <w:tc>
          <w:tcPr>
            <w:tcW w:w="398" w:type="pct"/>
          </w:tcPr>
          <w:p w14:paraId="39AFB84C" w14:textId="77777777" w:rsidR="00D22A6D" w:rsidRPr="001B3B78"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467" w:type="pct"/>
          </w:tcPr>
          <w:p w14:paraId="253E1DC4" w14:textId="77777777" w:rsidR="00D22A6D" w:rsidRPr="001B3B78"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2.4</w:t>
            </w:r>
          </w:p>
        </w:tc>
        <w:tc>
          <w:tcPr>
            <w:tcW w:w="534" w:type="pct"/>
          </w:tcPr>
          <w:p w14:paraId="5B08C018" w14:textId="77777777" w:rsidR="00D22A6D" w:rsidRPr="001B3B78"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84 RCO</w:t>
            </w:r>
          </w:p>
        </w:tc>
        <w:tc>
          <w:tcPr>
            <w:tcW w:w="1267" w:type="pct"/>
            <w:shd w:val="clear" w:color="auto" w:fill="auto"/>
          </w:tcPr>
          <w:p w14:paraId="79BE3507" w14:textId="77777777" w:rsidR="00D22A6D" w:rsidRPr="00CD0335" w:rsidRDefault="00D22A6D"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Działania pilotażowe opracowane wspólnie i realizowane w ramach projektów</w:t>
            </w:r>
          </w:p>
        </w:tc>
        <w:tc>
          <w:tcPr>
            <w:tcW w:w="1000" w:type="pct"/>
          </w:tcPr>
          <w:p w14:paraId="1105455B" w14:textId="77777777" w:rsidR="00D22A6D" w:rsidRPr="001B3B78" w:rsidRDefault="00D22A6D"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Działanie pilotażowe</w:t>
            </w:r>
          </w:p>
        </w:tc>
        <w:tc>
          <w:tcPr>
            <w:tcW w:w="652" w:type="pct"/>
            <w:shd w:val="clear" w:color="auto" w:fill="auto"/>
          </w:tcPr>
          <w:p w14:paraId="1242789F" w14:textId="77777777" w:rsidR="00D22A6D" w:rsidRPr="001B3B78" w:rsidRDefault="00D22A6D" w:rsidP="00D22A6D">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1B1A26F5" w14:textId="77777777" w:rsidR="00D22A6D" w:rsidRPr="001B3B78" w:rsidRDefault="00D22A6D" w:rsidP="00D22A6D">
            <w:pPr>
              <w:pBdr>
                <w:top w:val="nil"/>
                <w:left w:val="nil"/>
                <w:bottom w:val="nil"/>
                <w:right w:val="nil"/>
                <w:between w:val="nil"/>
              </w:pBdr>
              <w:spacing w:after="120" w:line="240" w:lineRule="auto"/>
              <w:ind w:left="0" w:right="0"/>
              <w:rPr>
                <w:rFonts w:asciiTheme="minorHAnsi" w:hAnsiTheme="minorHAnsi"/>
                <w:color w:val="000000"/>
              </w:rPr>
            </w:pPr>
          </w:p>
        </w:tc>
      </w:tr>
      <w:tr w:rsidR="00D22A6D" w:rsidRPr="008727F2" w14:paraId="343A126E" w14:textId="77777777" w:rsidTr="003D3F2E">
        <w:trPr>
          <w:trHeight w:val="579"/>
        </w:trPr>
        <w:tc>
          <w:tcPr>
            <w:tcW w:w="398" w:type="pct"/>
          </w:tcPr>
          <w:p w14:paraId="443EB782" w14:textId="77777777" w:rsidR="00D22A6D" w:rsidRPr="001B3B78"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467" w:type="pct"/>
          </w:tcPr>
          <w:p w14:paraId="3512C4AD" w14:textId="77777777" w:rsidR="00D22A6D" w:rsidRPr="001B3B78"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2.4</w:t>
            </w:r>
          </w:p>
        </w:tc>
        <w:tc>
          <w:tcPr>
            <w:tcW w:w="534" w:type="pct"/>
          </w:tcPr>
          <w:p w14:paraId="2C100182" w14:textId="77777777" w:rsidR="00D22A6D"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87 RCO</w:t>
            </w:r>
          </w:p>
        </w:tc>
        <w:tc>
          <w:tcPr>
            <w:tcW w:w="1267" w:type="pct"/>
            <w:shd w:val="clear" w:color="auto" w:fill="auto"/>
          </w:tcPr>
          <w:p w14:paraId="7D1697D6" w14:textId="77777777" w:rsidR="00D22A6D" w:rsidRPr="001B3B78" w:rsidRDefault="00D22A6D"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Organizacje współpracujące ponad granicami</w:t>
            </w:r>
          </w:p>
        </w:tc>
        <w:tc>
          <w:tcPr>
            <w:tcW w:w="1000" w:type="pct"/>
          </w:tcPr>
          <w:p w14:paraId="66CBF51C" w14:textId="77777777" w:rsidR="00D22A6D" w:rsidRPr="001B3B78" w:rsidRDefault="00D22A6D"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Organizacja</w:t>
            </w:r>
          </w:p>
        </w:tc>
        <w:tc>
          <w:tcPr>
            <w:tcW w:w="652" w:type="pct"/>
            <w:shd w:val="clear" w:color="auto" w:fill="auto"/>
          </w:tcPr>
          <w:p w14:paraId="3987237D" w14:textId="77777777" w:rsidR="00D22A6D" w:rsidRPr="001B3B78" w:rsidRDefault="00D22A6D" w:rsidP="00D22A6D">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106956F8" w14:textId="77777777" w:rsidR="00D22A6D" w:rsidRPr="001B3B78" w:rsidRDefault="00D22A6D" w:rsidP="00D22A6D">
            <w:pPr>
              <w:pBdr>
                <w:top w:val="nil"/>
                <w:left w:val="nil"/>
                <w:bottom w:val="nil"/>
                <w:right w:val="nil"/>
                <w:between w:val="nil"/>
              </w:pBdr>
              <w:spacing w:after="120" w:line="240" w:lineRule="auto"/>
              <w:ind w:left="0" w:right="0"/>
              <w:rPr>
                <w:rFonts w:asciiTheme="minorHAnsi" w:hAnsiTheme="minorHAnsi"/>
                <w:color w:val="000000"/>
              </w:rPr>
            </w:pPr>
          </w:p>
        </w:tc>
      </w:tr>
      <w:tr w:rsidR="00D22A6D" w:rsidRPr="008727F2" w14:paraId="7555C80E" w14:textId="77777777" w:rsidTr="003D3F2E">
        <w:trPr>
          <w:trHeight w:val="579"/>
        </w:trPr>
        <w:tc>
          <w:tcPr>
            <w:tcW w:w="398" w:type="pct"/>
          </w:tcPr>
          <w:p w14:paraId="32E1D17D" w14:textId="77777777" w:rsidR="00D22A6D" w:rsidRPr="001B3B78"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467" w:type="pct"/>
          </w:tcPr>
          <w:p w14:paraId="1C2E85D9" w14:textId="77777777" w:rsidR="00D22A6D" w:rsidRPr="001B3B78"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2.4</w:t>
            </w:r>
          </w:p>
        </w:tc>
        <w:tc>
          <w:tcPr>
            <w:tcW w:w="534" w:type="pct"/>
          </w:tcPr>
          <w:p w14:paraId="3FD19CB7" w14:textId="77777777" w:rsidR="00D22A6D"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116 RCO</w:t>
            </w:r>
          </w:p>
        </w:tc>
        <w:tc>
          <w:tcPr>
            <w:tcW w:w="1267" w:type="pct"/>
            <w:shd w:val="clear" w:color="auto" w:fill="auto"/>
          </w:tcPr>
          <w:p w14:paraId="6775EBE0" w14:textId="77777777" w:rsidR="00D22A6D" w:rsidRPr="001B3B78" w:rsidRDefault="00D22A6D"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Wspólnie opracowane rozwiązania</w:t>
            </w:r>
          </w:p>
        </w:tc>
        <w:tc>
          <w:tcPr>
            <w:tcW w:w="1000" w:type="pct"/>
          </w:tcPr>
          <w:p w14:paraId="31E6D096" w14:textId="77777777" w:rsidR="00D22A6D" w:rsidRPr="001B3B78" w:rsidRDefault="00D22A6D"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Rozwiązanie</w:t>
            </w:r>
          </w:p>
        </w:tc>
        <w:tc>
          <w:tcPr>
            <w:tcW w:w="652" w:type="pct"/>
            <w:shd w:val="clear" w:color="auto" w:fill="auto"/>
          </w:tcPr>
          <w:p w14:paraId="7EDCC6A8" w14:textId="77777777" w:rsidR="00D22A6D" w:rsidRPr="001B3B78" w:rsidRDefault="00D22A6D" w:rsidP="00D22A6D">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76BE15C3" w14:textId="77777777" w:rsidR="00D22A6D" w:rsidRPr="001B3B78" w:rsidRDefault="00D22A6D" w:rsidP="00D22A6D">
            <w:pPr>
              <w:pBdr>
                <w:top w:val="nil"/>
                <w:left w:val="nil"/>
                <w:bottom w:val="nil"/>
                <w:right w:val="nil"/>
                <w:between w:val="nil"/>
              </w:pBdr>
              <w:spacing w:after="120" w:line="240" w:lineRule="auto"/>
              <w:ind w:left="0" w:right="0"/>
              <w:rPr>
                <w:rFonts w:asciiTheme="minorHAnsi" w:hAnsiTheme="minorHAnsi"/>
                <w:color w:val="000000"/>
              </w:rPr>
            </w:pPr>
          </w:p>
        </w:tc>
      </w:tr>
    </w:tbl>
    <w:p w14:paraId="76E8C8C7" w14:textId="77777777" w:rsidR="008E2A7A" w:rsidRPr="009A0D85" w:rsidRDefault="008E2A7A" w:rsidP="008E2A7A">
      <w:pPr>
        <w:spacing w:before="240" w:after="240" w:line="240" w:lineRule="auto"/>
        <w:ind w:left="0"/>
        <w:rPr>
          <w:rFonts w:asciiTheme="minorHAnsi" w:hAnsiTheme="minorHAnsi"/>
          <w:szCs w:val="24"/>
        </w:rPr>
      </w:pPr>
      <w:r>
        <w:rPr>
          <w:rFonts w:asciiTheme="minorHAnsi" w:hAnsiTheme="minorHAnsi"/>
        </w:rPr>
        <w:t>Tabela 3: Wskaźniki wyników</w:t>
      </w:r>
    </w:p>
    <w:tbl>
      <w:tblPr>
        <w:tblStyle w:val="17"/>
        <w:tblW w:w="5184"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0"/>
        <w:gridCol w:w="1209"/>
        <w:gridCol w:w="1132"/>
        <w:gridCol w:w="1472"/>
        <w:gridCol w:w="1213"/>
        <w:gridCol w:w="706"/>
        <w:gridCol w:w="838"/>
        <w:gridCol w:w="663"/>
        <w:gridCol w:w="1375"/>
        <w:gridCol w:w="522"/>
      </w:tblGrid>
      <w:tr w:rsidR="003D3F2E" w:rsidRPr="008727F2" w14:paraId="34141E31" w14:textId="77777777" w:rsidTr="003D3F2E">
        <w:trPr>
          <w:trHeight w:val="947"/>
        </w:trPr>
        <w:tc>
          <w:tcPr>
            <w:tcW w:w="347" w:type="pct"/>
            <w:tcMar>
              <w:left w:w="28" w:type="dxa"/>
              <w:right w:w="28" w:type="dxa"/>
            </w:tcMar>
          </w:tcPr>
          <w:p w14:paraId="5B6B78B2"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Priorytet </w:t>
            </w:r>
          </w:p>
        </w:tc>
        <w:tc>
          <w:tcPr>
            <w:tcW w:w="616" w:type="pct"/>
            <w:tcMar>
              <w:left w:w="28" w:type="dxa"/>
              <w:right w:w="28" w:type="dxa"/>
            </w:tcMar>
          </w:tcPr>
          <w:p w14:paraId="45022EFD"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szczegółowy</w:t>
            </w:r>
          </w:p>
        </w:tc>
        <w:tc>
          <w:tcPr>
            <w:tcW w:w="577" w:type="pct"/>
            <w:tcMar>
              <w:left w:w="28" w:type="dxa"/>
              <w:right w:w="28" w:type="dxa"/>
            </w:tcMar>
          </w:tcPr>
          <w:p w14:paraId="7FD17014"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IDENTYFIKATOR</w:t>
            </w:r>
          </w:p>
        </w:tc>
        <w:tc>
          <w:tcPr>
            <w:tcW w:w="750" w:type="pct"/>
            <w:shd w:val="clear" w:color="auto" w:fill="auto"/>
            <w:tcMar>
              <w:left w:w="28" w:type="dxa"/>
              <w:right w:w="28" w:type="dxa"/>
            </w:tcMar>
          </w:tcPr>
          <w:p w14:paraId="20C5BD1B"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Wskaźnik </w:t>
            </w:r>
          </w:p>
        </w:tc>
        <w:tc>
          <w:tcPr>
            <w:tcW w:w="618" w:type="pct"/>
            <w:tcMar>
              <w:left w:w="28" w:type="dxa"/>
              <w:right w:w="28" w:type="dxa"/>
            </w:tcMar>
          </w:tcPr>
          <w:p w14:paraId="5CF488CD"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Jednostka miary</w:t>
            </w:r>
          </w:p>
        </w:tc>
        <w:tc>
          <w:tcPr>
            <w:tcW w:w="360" w:type="pct"/>
            <w:tcMar>
              <w:left w:w="28" w:type="dxa"/>
              <w:right w:w="28" w:type="dxa"/>
            </w:tcMar>
          </w:tcPr>
          <w:p w14:paraId="2C311211"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Podstawa</w:t>
            </w:r>
          </w:p>
        </w:tc>
        <w:tc>
          <w:tcPr>
            <w:tcW w:w="427" w:type="pct"/>
            <w:tcMar>
              <w:left w:w="28" w:type="dxa"/>
              <w:right w:w="28" w:type="dxa"/>
            </w:tcMar>
          </w:tcPr>
          <w:p w14:paraId="718ED7BC"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Rok odniesienia</w:t>
            </w:r>
          </w:p>
        </w:tc>
        <w:tc>
          <w:tcPr>
            <w:tcW w:w="338" w:type="pct"/>
            <w:shd w:val="clear" w:color="auto" w:fill="auto"/>
            <w:tcMar>
              <w:left w:w="28" w:type="dxa"/>
              <w:right w:w="28" w:type="dxa"/>
            </w:tcMar>
          </w:tcPr>
          <w:p w14:paraId="0FF74508"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końcowy (2029)</w:t>
            </w:r>
          </w:p>
        </w:tc>
        <w:tc>
          <w:tcPr>
            <w:tcW w:w="701" w:type="pct"/>
            <w:shd w:val="clear" w:color="auto" w:fill="auto"/>
            <w:tcMar>
              <w:left w:w="28" w:type="dxa"/>
              <w:right w:w="28" w:type="dxa"/>
            </w:tcMar>
          </w:tcPr>
          <w:p w14:paraId="1C1FEF98" w14:textId="77777777" w:rsidR="008E2A7A" w:rsidRPr="008503E7" w:rsidRDefault="008E2A7A" w:rsidP="00D22A6D">
            <w:pPr>
              <w:pBdr>
                <w:top w:val="nil"/>
                <w:left w:val="nil"/>
                <w:bottom w:val="nil"/>
                <w:right w:val="nil"/>
                <w:between w:val="nil"/>
              </w:pBdr>
              <w:spacing w:after="120" w:line="240" w:lineRule="auto"/>
              <w:ind w:left="0" w:right="0"/>
              <w:jc w:val="center"/>
              <w:rPr>
                <w:rFonts w:asciiTheme="minorHAnsi" w:hAnsiTheme="minorHAnsi"/>
                <w:b/>
                <w:color w:val="000000"/>
                <w:sz w:val="16"/>
                <w:szCs w:val="16"/>
              </w:rPr>
            </w:pPr>
            <w:r>
              <w:rPr>
                <w:rFonts w:asciiTheme="minorHAnsi" w:hAnsiTheme="minorHAnsi"/>
                <w:b/>
                <w:color w:val="000000"/>
                <w:sz w:val="16"/>
              </w:rPr>
              <w:t>Źródło danych</w:t>
            </w:r>
          </w:p>
        </w:tc>
        <w:tc>
          <w:tcPr>
            <w:tcW w:w="266" w:type="pct"/>
            <w:tcMar>
              <w:left w:w="28" w:type="dxa"/>
              <w:right w:w="28" w:type="dxa"/>
            </w:tcMar>
          </w:tcPr>
          <w:p w14:paraId="103749BA" w14:textId="77777777" w:rsidR="008E2A7A" w:rsidRPr="00570B26" w:rsidRDefault="008E2A7A" w:rsidP="00D22A6D">
            <w:pPr>
              <w:pBdr>
                <w:top w:val="nil"/>
                <w:left w:val="nil"/>
                <w:bottom w:val="nil"/>
                <w:right w:val="nil"/>
                <w:between w:val="nil"/>
              </w:pBdr>
              <w:spacing w:after="120" w:line="480" w:lineRule="auto"/>
              <w:ind w:left="0" w:right="0"/>
              <w:rPr>
                <w:rFonts w:asciiTheme="minorHAnsi" w:hAnsiTheme="minorHAnsi"/>
                <w:b/>
                <w:color w:val="000000"/>
                <w:sz w:val="16"/>
                <w:szCs w:val="16"/>
              </w:rPr>
            </w:pPr>
            <w:r>
              <w:rPr>
                <w:rFonts w:asciiTheme="minorHAnsi" w:hAnsiTheme="minorHAnsi"/>
                <w:b/>
                <w:color w:val="000000"/>
                <w:sz w:val="16"/>
              </w:rPr>
              <w:t>Uwagi</w:t>
            </w:r>
          </w:p>
        </w:tc>
      </w:tr>
      <w:tr w:rsidR="003D3F2E" w:rsidRPr="004854D7" w14:paraId="0288EB53" w14:textId="77777777" w:rsidTr="003D3F2E">
        <w:trPr>
          <w:trHeight w:val="629"/>
        </w:trPr>
        <w:tc>
          <w:tcPr>
            <w:tcW w:w="347" w:type="pct"/>
          </w:tcPr>
          <w:p w14:paraId="02D70B6E" w14:textId="77777777" w:rsidR="00D22A6D" w:rsidRPr="004854D7"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616" w:type="pct"/>
          </w:tcPr>
          <w:p w14:paraId="0EDE3555" w14:textId="77777777" w:rsidR="00D22A6D" w:rsidRPr="004854D7"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2.4</w:t>
            </w:r>
          </w:p>
        </w:tc>
        <w:tc>
          <w:tcPr>
            <w:tcW w:w="577" w:type="pct"/>
          </w:tcPr>
          <w:p w14:paraId="7DB0C476" w14:textId="77777777" w:rsidR="00D22A6D" w:rsidRPr="004854D7"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79 RCR</w:t>
            </w:r>
          </w:p>
        </w:tc>
        <w:tc>
          <w:tcPr>
            <w:tcW w:w="750" w:type="pct"/>
            <w:shd w:val="clear" w:color="auto" w:fill="auto"/>
          </w:tcPr>
          <w:p w14:paraId="016DD7C2" w14:textId="77777777" w:rsidR="00D22A6D" w:rsidRPr="00CD0335" w:rsidRDefault="00D22A6D"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Wspólne strategie i plany działania podejmowane przez organizacje</w:t>
            </w:r>
          </w:p>
        </w:tc>
        <w:tc>
          <w:tcPr>
            <w:tcW w:w="618" w:type="pct"/>
          </w:tcPr>
          <w:p w14:paraId="6DFAEEBD" w14:textId="77777777" w:rsidR="00D22A6D" w:rsidRPr="004854D7"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Wspólna strategia / plan działania</w:t>
            </w:r>
          </w:p>
        </w:tc>
        <w:tc>
          <w:tcPr>
            <w:tcW w:w="360" w:type="pct"/>
          </w:tcPr>
          <w:p w14:paraId="4EA5AA84" w14:textId="77777777" w:rsidR="00D22A6D" w:rsidRPr="004854D7"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427" w:type="pct"/>
          </w:tcPr>
          <w:p w14:paraId="448B77DF" w14:textId="77777777" w:rsidR="00D22A6D" w:rsidRPr="004854D7"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338" w:type="pct"/>
            <w:shd w:val="clear" w:color="auto" w:fill="auto"/>
          </w:tcPr>
          <w:p w14:paraId="358291C2" w14:textId="77777777" w:rsidR="00D22A6D" w:rsidRPr="004854D7"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p>
        </w:tc>
        <w:tc>
          <w:tcPr>
            <w:tcW w:w="701" w:type="pct"/>
            <w:shd w:val="clear" w:color="auto" w:fill="auto"/>
          </w:tcPr>
          <w:p w14:paraId="6D1EA0F5" w14:textId="77777777" w:rsidR="00D22A6D" w:rsidRPr="004854D7"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System monitorowania programu</w:t>
            </w:r>
          </w:p>
        </w:tc>
        <w:tc>
          <w:tcPr>
            <w:tcW w:w="266" w:type="pct"/>
          </w:tcPr>
          <w:p w14:paraId="4B11BCE8" w14:textId="77777777" w:rsidR="00D22A6D" w:rsidRPr="004854D7" w:rsidRDefault="00D22A6D" w:rsidP="00D22A6D">
            <w:pPr>
              <w:ind w:left="0" w:right="0"/>
              <w:rPr>
                <w:rFonts w:asciiTheme="minorHAnsi" w:hAnsiTheme="minorHAnsi"/>
                <w:color w:val="000000"/>
              </w:rPr>
            </w:pPr>
          </w:p>
        </w:tc>
      </w:tr>
      <w:tr w:rsidR="003D3F2E" w:rsidRPr="00D465BC" w14:paraId="5F61730E" w14:textId="77777777" w:rsidTr="003D3F2E">
        <w:trPr>
          <w:trHeight w:val="629"/>
        </w:trPr>
        <w:tc>
          <w:tcPr>
            <w:tcW w:w="347" w:type="pct"/>
          </w:tcPr>
          <w:p w14:paraId="59B876DD" w14:textId="77777777" w:rsidR="00D22A6D" w:rsidRPr="00D465BC"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616" w:type="pct"/>
          </w:tcPr>
          <w:p w14:paraId="14B4E078" w14:textId="77777777" w:rsidR="00D22A6D" w:rsidRPr="00D465BC"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2.4</w:t>
            </w:r>
          </w:p>
        </w:tc>
        <w:tc>
          <w:tcPr>
            <w:tcW w:w="577" w:type="pct"/>
          </w:tcPr>
          <w:p w14:paraId="7A142073" w14:textId="77777777" w:rsidR="00D22A6D" w:rsidRPr="00D465BC"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84 RCR</w:t>
            </w:r>
          </w:p>
        </w:tc>
        <w:tc>
          <w:tcPr>
            <w:tcW w:w="750" w:type="pct"/>
            <w:shd w:val="clear" w:color="auto" w:fill="auto"/>
          </w:tcPr>
          <w:p w14:paraId="712DD934" w14:textId="77777777" w:rsidR="00D22A6D" w:rsidRPr="00CD0335" w:rsidRDefault="00D22A6D"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Organizacje współpracujące ponad granicami po zakończeniu projektu</w:t>
            </w:r>
          </w:p>
        </w:tc>
        <w:tc>
          <w:tcPr>
            <w:tcW w:w="618" w:type="pct"/>
          </w:tcPr>
          <w:p w14:paraId="06F2A2CB" w14:textId="77777777" w:rsidR="00D22A6D" w:rsidRPr="00D465BC"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Organizacja</w:t>
            </w:r>
          </w:p>
        </w:tc>
        <w:tc>
          <w:tcPr>
            <w:tcW w:w="360" w:type="pct"/>
          </w:tcPr>
          <w:p w14:paraId="255C05D0" w14:textId="77777777" w:rsidR="00D22A6D" w:rsidRPr="00D465BC"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427" w:type="pct"/>
          </w:tcPr>
          <w:p w14:paraId="5657BBA7" w14:textId="77777777" w:rsidR="00D22A6D" w:rsidRPr="00D465BC"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338" w:type="pct"/>
            <w:shd w:val="clear" w:color="auto" w:fill="auto"/>
          </w:tcPr>
          <w:p w14:paraId="7EC6CD41" w14:textId="77777777" w:rsidR="00D22A6D" w:rsidRPr="00D465BC"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p>
        </w:tc>
        <w:tc>
          <w:tcPr>
            <w:tcW w:w="701" w:type="pct"/>
            <w:shd w:val="clear" w:color="auto" w:fill="auto"/>
          </w:tcPr>
          <w:p w14:paraId="2BBD43C8" w14:textId="77777777" w:rsidR="00D22A6D" w:rsidRPr="00D465BC"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System monitorowania programu</w:t>
            </w:r>
          </w:p>
        </w:tc>
        <w:tc>
          <w:tcPr>
            <w:tcW w:w="266" w:type="pct"/>
          </w:tcPr>
          <w:p w14:paraId="16DE0B3A" w14:textId="77777777" w:rsidR="00D22A6D" w:rsidRPr="00D465BC" w:rsidRDefault="00D22A6D" w:rsidP="00D22A6D">
            <w:pPr>
              <w:ind w:left="0" w:right="0"/>
              <w:rPr>
                <w:rFonts w:asciiTheme="minorHAnsi" w:hAnsiTheme="minorHAnsi"/>
                <w:color w:val="000000"/>
              </w:rPr>
            </w:pPr>
          </w:p>
        </w:tc>
      </w:tr>
      <w:tr w:rsidR="003D3F2E" w:rsidRPr="00D465BC" w14:paraId="03395B43" w14:textId="77777777" w:rsidTr="003D3F2E">
        <w:trPr>
          <w:trHeight w:val="629"/>
        </w:trPr>
        <w:tc>
          <w:tcPr>
            <w:tcW w:w="347" w:type="pct"/>
          </w:tcPr>
          <w:p w14:paraId="3887C8C3" w14:textId="77777777" w:rsidR="00D22A6D" w:rsidRPr="00D465BC"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616" w:type="pct"/>
          </w:tcPr>
          <w:p w14:paraId="4C2DB12A" w14:textId="77777777" w:rsidR="00D22A6D" w:rsidRPr="00D465BC"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2.4</w:t>
            </w:r>
          </w:p>
        </w:tc>
        <w:tc>
          <w:tcPr>
            <w:tcW w:w="577" w:type="pct"/>
          </w:tcPr>
          <w:p w14:paraId="0FF2674F" w14:textId="77777777" w:rsidR="00D22A6D" w:rsidRPr="00D465BC"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104 RCR</w:t>
            </w:r>
          </w:p>
        </w:tc>
        <w:tc>
          <w:tcPr>
            <w:tcW w:w="750" w:type="pct"/>
            <w:shd w:val="clear" w:color="auto" w:fill="auto"/>
          </w:tcPr>
          <w:p w14:paraId="61720D60" w14:textId="77777777" w:rsidR="00D22A6D" w:rsidRPr="00CD0335" w:rsidRDefault="00D22A6D"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 xml:space="preserve">Rozwiązania przyjmowane lub doskonalone przez </w:t>
            </w:r>
            <w:r>
              <w:rPr>
                <w:rFonts w:asciiTheme="minorHAnsi" w:hAnsiTheme="minorHAnsi"/>
                <w:color w:val="000000"/>
              </w:rPr>
              <w:lastRenderedPageBreak/>
              <w:t>organizacje</w:t>
            </w:r>
          </w:p>
        </w:tc>
        <w:tc>
          <w:tcPr>
            <w:tcW w:w="618" w:type="pct"/>
          </w:tcPr>
          <w:p w14:paraId="6F78073F" w14:textId="77777777" w:rsidR="00D22A6D" w:rsidRPr="00D465BC"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lastRenderedPageBreak/>
              <w:t>Rozwiązanie</w:t>
            </w:r>
          </w:p>
        </w:tc>
        <w:tc>
          <w:tcPr>
            <w:tcW w:w="360" w:type="pct"/>
          </w:tcPr>
          <w:p w14:paraId="6ABAE0E3" w14:textId="77777777" w:rsidR="00D22A6D" w:rsidRPr="00D465BC"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427" w:type="pct"/>
          </w:tcPr>
          <w:p w14:paraId="1E525EFA" w14:textId="77777777" w:rsidR="00D22A6D" w:rsidRPr="00D465BC"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338" w:type="pct"/>
            <w:shd w:val="clear" w:color="auto" w:fill="auto"/>
          </w:tcPr>
          <w:p w14:paraId="59124F9F" w14:textId="77777777" w:rsidR="00D22A6D" w:rsidRPr="00D465BC" w:rsidRDefault="00D22A6D" w:rsidP="00D22A6D">
            <w:pPr>
              <w:pBdr>
                <w:top w:val="nil"/>
                <w:left w:val="nil"/>
                <w:bottom w:val="nil"/>
                <w:right w:val="nil"/>
                <w:between w:val="nil"/>
              </w:pBdr>
              <w:spacing w:after="120" w:line="240" w:lineRule="auto"/>
              <w:ind w:left="0" w:right="0"/>
              <w:jc w:val="center"/>
              <w:rPr>
                <w:rFonts w:asciiTheme="minorHAnsi" w:hAnsiTheme="minorHAnsi"/>
                <w:color w:val="000000"/>
              </w:rPr>
            </w:pPr>
          </w:p>
        </w:tc>
        <w:tc>
          <w:tcPr>
            <w:tcW w:w="701" w:type="pct"/>
            <w:shd w:val="clear" w:color="auto" w:fill="auto"/>
          </w:tcPr>
          <w:p w14:paraId="2E856672" w14:textId="77777777" w:rsidR="00D22A6D" w:rsidRPr="00D465BC" w:rsidRDefault="00D22A6D"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System monitorowania programu</w:t>
            </w:r>
          </w:p>
        </w:tc>
        <w:tc>
          <w:tcPr>
            <w:tcW w:w="266" w:type="pct"/>
          </w:tcPr>
          <w:p w14:paraId="4EB7FB87" w14:textId="77777777" w:rsidR="00D22A6D" w:rsidRPr="00D465BC" w:rsidRDefault="00D22A6D" w:rsidP="00D22A6D">
            <w:pPr>
              <w:ind w:left="0" w:right="0"/>
              <w:rPr>
                <w:rFonts w:asciiTheme="minorHAnsi" w:hAnsiTheme="minorHAnsi"/>
                <w:color w:val="000000"/>
              </w:rPr>
            </w:pPr>
          </w:p>
        </w:tc>
      </w:tr>
    </w:tbl>
    <w:p w14:paraId="4A6EDE6C" w14:textId="77777777" w:rsidR="00F524B9" w:rsidRDefault="00F524B9" w:rsidP="009D6F42">
      <w:pPr>
        <w:spacing w:before="240" w:after="240" w:line="240" w:lineRule="auto"/>
        <w:ind w:left="709" w:hanging="709"/>
        <w:rPr>
          <w:rFonts w:asciiTheme="minorHAnsi" w:hAnsiTheme="minorHAnsi"/>
          <w:b/>
          <w:sz w:val="24"/>
          <w:szCs w:val="24"/>
          <w:lang w:val="en-GB"/>
        </w:rPr>
      </w:pPr>
    </w:p>
    <w:p w14:paraId="1A57C136" w14:textId="77777777" w:rsidR="009D6F42" w:rsidRPr="00570B26" w:rsidRDefault="009D6F42" w:rsidP="009D6F42">
      <w:pPr>
        <w:spacing w:before="240" w:after="240" w:line="240" w:lineRule="auto"/>
        <w:ind w:left="709" w:hanging="709"/>
        <w:rPr>
          <w:rFonts w:asciiTheme="minorHAnsi" w:hAnsiTheme="minorHAnsi"/>
          <w:b/>
          <w:sz w:val="24"/>
          <w:szCs w:val="24"/>
        </w:rPr>
      </w:pPr>
      <w:r>
        <w:rPr>
          <w:rFonts w:asciiTheme="minorHAnsi" w:hAnsiTheme="minorHAnsi"/>
          <w:b/>
          <w:sz w:val="24"/>
        </w:rPr>
        <w:t>2.2.4.3</w:t>
      </w:r>
      <w:r>
        <w:rPr>
          <w:rFonts w:asciiTheme="minorHAnsi" w:hAnsiTheme="minorHAnsi"/>
          <w:b/>
          <w:sz w:val="24"/>
        </w:rPr>
        <w:tab/>
        <w:t>Główne grupy docelowe</w:t>
      </w:r>
    </w:p>
    <w:p w14:paraId="339BF548" w14:textId="77777777" w:rsidR="009D6F42" w:rsidRPr="00D80606" w:rsidRDefault="009D6F42"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iii, art. 17 ust. 9 lit. c punkt iv</w:t>
      </w:r>
    </w:p>
    <w:p w14:paraId="011D9BA2" w14:textId="77777777" w:rsidR="00F524B9" w:rsidRPr="00D80606" w:rsidRDefault="00F524B9"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Pole tekstowe [7000]</w:t>
      </w:r>
    </w:p>
    <w:p w14:paraId="67E84C79" w14:textId="4DA71405" w:rsidR="00AF64A6" w:rsidRPr="00D80606" w:rsidRDefault="00AF64A6" w:rsidP="00D80606">
      <w:pPr>
        <w:pBdr>
          <w:top w:val="single" w:sz="4" w:space="1" w:color="000000"/>
          <w:left w:val="single" w:sz="4" w:space="4" w:color="000000"/>
          <w:bottom w:val="single" w:sz="4" w:space="1" w:color="000000"/>
          <w:right w:val="single" w:sz="4" w:space="4" w:color="000000"/>
        </w:pBdr>
        <w:ind w:left="142"/>
        <w:jc w:val="left"/>
        <w:rPr>
          <w:rFonts w:asciiTheme="minorHAnsi" w:hAnsiTheme="minorHAnsi"/>
          <w:sz w:val="24"/>
          <w:szCs w:val="24"/>
        </w:rPr>
      </w:pPr>
      <w:r w:rsidRPr="00D80606">
        <w:rPr>
          <w:rFonts w:asciiTheme="minorHAnsi" w:hAnsiTheme="minorHAnsi"/>
          <w:sz w:val="24"/>
          <w:szCs w:val="24"/>
        </w:rPr>
        <w:t>Grupami docelowymi działań objętych wsparciem mogą być zarówno osoby prywatne, jak i organizacje, które są zaangażowane w ich realizację lub są ich beneficjentami. W konsekwencji będą przyczyniać się one do poprawy zarządzania środowiskiem naturalnym w Europie Środkowej. Grupy docelowe składają się w szczególności zarówno z podmiotów publicznych, jak i prywatnych, obejmując bardzo dużą liczbę różnych sektorów i poziomów zarządzania, takich jak regionalne i krajowe władze publiczne, decydenci polityczni i planiści, agencje rozwoju regionalnego, przedsiębiorstwa, w tym MŚP, stowarzyszenia, organizacje pozarządowe, instytucje finansowe, organizacje edukacyjne i szkoleniowe, uniwersytety i instytuty badawcze oraz inne organizacje działające w dziedzinie ochrony środowiska. W skład grup docelowych wchodzą ponadto przedstawiciele wszystkich grup społecznych, które będą czerpać korzyści z poprawy zarządzania środowiskiem naturalnym na poziomie regionalnym i lokalnym.</w:t>
      </w:r>
    </w:p>
    <w:p w14:paraId="5A928EB3" w14:textId="77777777" w:rsidR="00F524B9" w:rsidRPr="00680741" w:rsidRDefault="00F524B9" w:rsidP="009D6F42">
      <w:pPr>
        <w:spacing w:before="240" w:after="240" w:line="240" w:lineRule="auto"/>
        <w:ind w:left="709" w:hanging="709"/>
        <w:rPr>
          <w:rFonts w:asciiTheme="minorHAnsi" w:hAnsiTheme="minorHAnsi"/>
          <w:b/>
          <w:sz w:val="24"/>
          <w:szCs w:val="24"/>
        </w:rPr>
      </w:pPr>
    </w:p>
    <w:p w14:paraId="43793EF8" w14:textId="77777777" w:rsidR="009D6F42" w:rsidRPr="008727F2" w:rsidRDefault="009D6F42" w:rsidP="009D6F42">
      <w:pPr>
        <w:spacing w:before="240" w:after="240" w:line="240" w:lineRule="auto"/>
        <w:ind w:left="709" w:hanging="709"/>
        <w:rPr>
          <w:rFonts w:asciiTheme="minorHAnsi" w:hAnsiTheme="minorHAnsi"/>
          <w:b/>
          <w:sz w:val="24"/>
          <w:szCs w:val="24"/>
        </w:rPr>
      </w:pPr>
      <w:r>
        <w:rPr>
          <w:rFonts w:asciiTheme="minorHAnsi" w:hAnsiTheme="minorHAnsi"/>
          <w:b/>
          <w:sz w:val="24"/>
        </w:rPr>
        <w:t>2.2.4.4</w:t>
      </w:r>
      <w:r>
        <w:rPr>
          <w:rFonts w:asciiTheme="minorHAnsi" w:hAnsiTheme="minorHAnsi"/>
          <w:b/>
          <w:sz w:val="24"/>
        </w:rPr>
        <w:tab/>
        <w:t>Określenie szczególnych terytoriów docelowych, w tym planowego wykorzystania ZIT, RKSL i pozostałych narzędzi terytorialnych</w:t>
      </w:r>
    </w:p>
    <w:p w14:paraId="1D71970C" w14:textId="77777777" w:rsidR="009D6F42" w:rsidRPr="00D80606" w:rsidRDefault="009D6F42"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iv</w:t>
      </w:r>
    </w:p>
    <w:p w14:paraId="29BC70DE" w14:textId="77777777" w:rsidR="00F524B9" w:rsidRPr="00D80606" w:rsidRDefault="00F524B9"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Pole tekstowe [7000]</w:t>
      </w:r>
    </w:p>
    <w:p w14:paraId="004B5287" w14:textId="4B33D9F6" w:rsidR="006D4829" w:rsidRPr="00D80606" w:rsidRDefault="00AF64A6" w:rsidP="00D80606">
      <w:pPr>
        <w:pBdr>
          <w:top w:val="single" w:sz="4" w:space="1" w:color="000000"/>
          <w:left w:val="single" w:sz="4" w:space="4" w:color="000000"/>
          <w:bottom w:val="single" w:sz="4" w:space="1" w:color="000000"/>
          <w:right w:val="single" w:sz="4" w:space="4" w:color="000000"/>
        </w:pBdr>
        <w:ind w:left="142"/>
        <w:jc w:val="left"/>
        <w:rPr>
          <w:rFonts w:asciiTheme="minorHAnsi" w:hAnsiTheme="minorHAnsi"/>
          <w:sz w:val="24"/>
          <w:szCs w:val="24"/>
        </w:rPr>
      </w:pPr>
      <w:r w:rsidRPr="00D80606">
        <w:rPr>
          <w:rFonts w:asciiTheme="minorHAnsi" w:hAnsiTheme="minorHAnsi"/>
          <w:sz w:val="24"/>
          <w:szCs w:val="24"/>
        </w:rPr>
        <w:t xml:space="preserve">Działania mogą być realizowane na całym obszarze objętym programem i odnosić się do dowolnego rodzaju terytorium, tj. zarówno do obszarów wiejskich jak i miejskich. Należy skoncentrować się jednak na tych terytoriach, które posiadają cenne zasoby przyrodnicze, i regionach o najgorszym stanie środowiska naturalnego, lub na regionach wykazujących duży potencjał do odbudowy środowiska naturalnego (np. na miejskich obszarach przemysłowych, terenach poprzemysłowych, obszarach zdegradowanych rzek). Na wymianie wiedzy z bardziej rozwiniętymi regionami będą korzystać najbardziej regiony, które pozostają w tyle z realizacją polityk ochrony środowiska. Z kolei regiony na wyższym poziomie rozwoju będą także w stanie wzmocnić swoje praktyki z zakresu zarządzania środowiskiem naturalnym. Na potrzeby realizacji działań na poziomie lokalnym i regionalnym sposoby podejścia dostosowane do danego </w:t>
      </w:r>
      <w:r w:rsidRPr="00D80606">
        <w:rPr>
          <w:rFonts w:asciiTheme="minorHAnsi" w:hAnsiTheme="minorHAnsi"/>
          <w:sz w:val="24"/>
          <w:szCs w:val="24"/>
        </w:rPr>
        <w:lastRenderedPageBreak/>
        <w:t>miejsca powinny uwzględniać specyficzne uwarunkowania terytorialne na obszarach docelowych i być dostosowane do danego poziomu zarządzania (lokalnego, regionalnego, krajowego).</w:t>
      </w:r>
    </w:p>
    <w:p w14:paraId="424F78C1" w14:textId="77777777" w:rsidR="00F524B9" w:rsidRPr="00680741" w:rsidRDefault="00F524B9" w:rsidP="009D6F42">
      <w:pPr>
        <w:spacing w:before="240" w:after="240" w:line="240" w:lineRule="auto"/>
        <w:ind w:left="709" w:hanging="709"/>
        <w:rPr>
          <w:rFonts w:asciiTheme="minorHAnsi" w:hAnsiTheme="minorHAnsi"/>
          <w:b/>
          <w:sz w:val="24"/>
          <w:szCs w:val="24"/>
        </w:rPr>
      </w:pPr>
    </w:p>
    <w:p w14:paraId="7DD84D64" w14:textId="77777777" w:rsidR="009D6F42" w:rsidRPr="008727F2" w:rsidRDefault="009D6F42" w:rsidP="009D6F42">
      <w:pPr>
        <w:spacing w:before="240" w:after="240" w:line="240" w:lineRule="auto"/>
        <w:ind w:left="709" w:hanging="709"/>
        <w:rPr>
          <w:rFonts w:asciiTheme="minorHAnsi" w:hAnsiTheme="minorHAnsi"/>
          <w:b/>
          <w:sz w:val="24"/>
          <w:szCs w:val="24"/>
        </w:rPr>
      </w:pPr>
      <w:r>
        <w:rPr>
          <w:rFonts w:asciiTheme="minorHAnsi" w:hAnsiTheme="minorHAnsi"/>
          <w:b/>
          <w:sz w:val="24"/>
        </w:rPr>
        <w:t>2.2.4.5</w:t>
      </w:r>
      <w:r>
        <w:rPr>
          <w:rFonts w:asciiTheme="minorHAnsi" w:hAnsiTheme="minorHAnsi"/>
          <w:b/>
          <w:sz w:val="24"/>
        </w:rPr>
        <w:tab/>
        <w:t>Planowane wykorzystanie instrumentów finansowych</w:t>
      </w:r>
    </w:p>
    <w:p w14:paraId="6E1DE7E4" w14:textId="77777777" w:rsidR="009D6F42" w:rsidRPr="00D80606" w:rsidRDefault="009D6F42" w:rsidP="00D80606">
      <w:pPr>
        <w:spacing w:before="240" w:after="240" w:line="240" w:lineRule="auto"/>
        <w:ind w:left="0"/>
        <w:jc w:val="left"/>
        <w:rPr>
          <w:rFonts w:asciiTheme="minorHAnsi" w:hAnsiTheme="minorHAnsi"/>
          <w:color w:val="000000"/>
          <w:szCs w:val="24"/>
        </w:rPr>
      </w:pPr>
      <w:r w:rsidRPr="00D80606">
        <w:rPr>
          <w:rFonts w:asciiTheme="minorHAnsi" w:hAnsiTheme="minorHAnsi"/>
          <w:color w:val="000000"/>
        </w:rPr>
        <w:t>Podstawa: art. 17 ust. 4 lit. e punkt v</w:t>
      </w:r>
    </w:p>
    <w:p w14:paraId="0C560BB2" w14:textId="77777777" w:rsidR="00F524B9" w:rsidRPr="00D80606" w:rsidRDefault="00F524B9" w:rsidP="00D80606">
      <w:pPr>
        <w:spacing w:before="240" w:after="240" w:line="240" w:lineRule="auto"/>
        <w:ind w:left="0"/>
        <w:jc w:val="left"/>
        <w:rPr>
          <w:rFonts w:asciiTheme="minorHAnsi" w:hAnsiTheme="minorHAnsi"/>
          <w:color w:val="000000"/>
          <w:szCs w:val="24"/>
        </w:rPr>
      </w:pPr>
      <w:r w:rsidRPr="00D80606">
        <w:rPr>
          <w:rFonts w:asciiTheme="minorHAnsi" w:hAnsiTheme="minorHAnsi"/>
          <w:color w:val="000000"/>
        </w:rPr>
        <w:t>Pole tekstowe [7000]</w:t>
      </w:r>
    </w:p>
    <w:p w14:paraId="5C0B5480" w14:textId="77777777" w:rsidR="009D6F42" w:rsidRPr="00D80606" w:rsidRDefault="00004898" w:rsidP="009D6F42">
      <w:pPr>
        <w:pBdr>
          <w:top w:val="single" w:sz="4" w:space="1" w:color="000000"/>
          <w:left w:val="single" w:sz="4" w:space="4" w:color="000000"/>
          <w:bottom w:val="single" w:sz="4" w:space="1" w:color="000000"/>
          <w:right w:val="single" w:sz="4" w:space="4" w:color="000000"/>
        </w:pBdr>
        <w:ind w:left="142"/>
        <w:rPr>
          <w:rFonts w:asciiTheme="minorHAnsi" w:hAnsiTheme="minorHAnsi"/>
          <w:sz w:val="24"/>
          <w:szCs w:val="24"/>
        </w:rPr>
      </w:pPr>
      <w:r w:rsidRPr="00D80606">
        <w:rPr>
          <w:rFonts w:asciiTheme="minorHAnsi" w:hAnsiTheme="minorHAnsi"/>
          <w:sz w:val="24"/>
          <w:szCs w:val="24"/>
        </w:rPr>
        <w:t>Nie dotyczy.</w:t>
      </w:r>
    </w:p>
    <w:p w14:paraId="39B58C1D" w14:textId="77777777" w:rsidR="009D6F42" w:rsidRPr="00680741" w:rsidRDefault="009D6F42" w:rsidP="009D6F42">
      <w:pPr>
        <w:spacing w:before="240" w:after="240" w:line="240" w:lineRule="auto"/>
        <w:ind w:left="709" w:hanging="709"/>
        <w:rPr>
          <w:rFonts w:asciiTheme="minorHAnsi" w:hAnsiTheme="minorHAnsi"/>
          <w:b/>
          <w:sz w:val="24"/>
          <w:szCs w:val="24"/>
        </w:rPr>
      </w:pPr>
    </w:p>
    <w:p w14:paraId="04CD17AB" w14:textId="77777777" w:rsidR="009D6F42" w:rsidRPr="008727F2" w:rsidRDefault="009D6F42" w:rsidP="009D6F42">
      <w:pPr>
        <w:spacing w:before="240" w:after="240" w:line="240" w:lineRule="auto"/>
        <w:ind w:left="709" w:hanging="709"/>
        <w:rPr>
          <w:rFonts w:asciiTheme="minorHAnsi" w:hAnsiTheme="minorHAnsi"/>
          <w:b/>
          <w:sz w:val="24"/>
          <w:szCs w:val="24"/>
        </w:rPr>
      </w:pPr>
      <w:r>
        <w:rPr>
          <w:rFonts w:asciiTheme="minorHAnsi" w:hAnsiTheme="minorHAnsi"/>
          <w:b/>
          <w:sz w:val="24"/>
        </w:rPr>
        <w:t>2.2.4.6</w:t>
      </w:r>
      <w:r>
        <w:rPr>
          <w:rFonts w:asciiTheme="minorHAnsi" w:hAnsiTheme="minorHAnsi"/>
          <w:b/>
          <w:sz w:val="24"/>
        </w:rPr>
        <w:tab/>
        <w:t>Orientacyjny podział zasobów programu UE według rodzaju interwencji</w:t>
      </w:r>
    </w:p>
    <w:p w14:paraId="4B11BA83" w14:textId="77777777" w:rsidR="009D6F42" w:rsidRPr="00D80606" w:rsidRDefault="009D6F42"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vi, art. 17 ust. 9 lit. c punkt v</w:t>
      </w:r>
    </w:p>
    <w:p w14:paraId="022D00B2" w14:textId="77777777" w:rsidR="009D6F42" w:rsidRPr="009A0D85" w:rsidRDefault="009D6F42" w:rsidP="009D6F42">
      <w:pPr>
        <w:spacing w:before="240" w:after="240" w:line="240" w:lineRule="auto"/>
        <w:ind w:left="0"/>
        <w:rPr>
          <w:rFonts w:asciiTheme="minorHAnsi" w:hAnsiTheme="minorHAnsi"/>
          <w:szCs w:val="24"/>
        </w:rPr>
      </w:pPr>
      <w:r>
        <w:rPr>
          <w:rFonts w:asciiTheme="minorHAnsi" w:hAnsiTheme="minorHAnsi"/>
        </w:rPr>
        <w:t>Tabela 4: Wymiar 1 – obszar interwencji</w:t>
      </w:r>
    </w:p>
    <w:tbl>
      <w:tblPr>
        <w:tblStyle w:val="16"/>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D6F42" w:rsidRPr="008727F2" w14:paraId="58054BFA" w14:textId="77777777" w:rsidTr="00816A75">
        <w:tc>
          <w:tcPr>
            <w:tcW w:w="1869" w:type="dxa"/>
          </w:tcPr>
          <w:p w14:paraId="13805C9F"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Priorytet nr</w:t>
            </w:r>
          </w:p>
        </w:tc>
        <w:tc>
          <w:tcPr>
            <w:tcW w:w="1657" w:type="dxa"/>
          </w:tcPr>
          <w:p w14:paraId="3E6DFCD5"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w:t>
            </w:r>
          </w:p>
        </w:tc>
        <w:tc>
          <w:tcPr>
            <w:tcW w:w="1898" w:type="dxa"/>
          </w:tcPr>
          <w:p w14:paraId="1C894349"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Cel szczegółowy</w:t>
            </w:r>
          </w:p>
        </w:tc>
        <w:tc>
          <w:tcPr>
            <w:tcW w:w="1204" w:type="dxa"/>
          </w:tcPr>
          <w:p w14:paraId="58E6FB12"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Kod </w:t>
            </w:r>
          </w:p>
        </w:tc>
        <w:tc>
          <w:tcPr>
            <w:tcW w:w="2658" w:type="dxa"/>
          </w:tcPr>
          <w:p w14:paraId="303ABA2E"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Kwota (EUR)</w:t>
            </w:r>
          </w:p>
        </w:tc>
      </w:tr>
      <w:tr w:rsidR="002072B9" w:rsidRPr="008727F2" w14:paraId="6562F65A" w14:textId="77777777" w:rsidTr="00816A75">
        <w:tc>
          <w:tcPr>
            <w:tcW w:w="1869" w:type="dxa"/>
          </w:tcPr>
          <w:p w14:paraId="5E40AAC8" w14:textId="77777777" w:rsidR="002072B9" w:rsidRPr="00F524B9" w:rsidRDefault="002072B9" w:rsidP="002072B9">
            <w:pPr>
              <w:spacing w:after="120" w:line="240" w:lineRule="auto"/>
              <w:ind w:left="0" w:right="0"/>
              <w:jc w:val="center"/>
              <w:rPr>
                <w:rFonts w:asciiTheme="minorHAnsi" w:eastAsia="Times New Roman" w:hAnsiTheme="minorHAnsi" w:cs="Times New Roman"/>
                <w:color w:val="000000"/>
                <w:sz w:val="20"/>
                <w:szCs w:val="16"/>
              </w:rPr>
            </w:pPr>
            <w:r>
              <w:rPr>
                <w:rFonts w:asciiTheme="minorHAnsi" w:hAnsiTheme="minorHAnsi"/>
                <w:color w:val="000000"/>
                <w:sz w:val="20"/>
              </w:rPr>
              <w:t>2</w:t>
            </w:r>
          </w:p>
        </w:tc>
        <w:tc>
          <w:tcPr>
            <w:tcW w:w="1657" w:type="dxa"/>
          </w:tcPr>
          <w:p w14:paraId="71E4A93F" w14:textId="22942753" w:rsidR="002072B9" w:rsidRPr="00F524B9" w:rsidRDefault="002072B9" w:rsidP="002072B9">
            <w:pPr>
              <w:spacing w:after="120" w:line="240" w:lineRule="auto"/>
              <w:ind w:left="0" w:right="0"/>
              <w:rPr>
                <w:rFonts w:asciiTheme="minorHAnsi" w:eastAsia="Times New Roman" w:hAnsiTheme="minorHAnsi" w:cs="Times New Roman"/>
                <w:color w:val="000000"/>
                <w:sz w:val="20"/>
                <w:szCs w:val="16"/>
              </w:rPr>
            </w:pPr>
            <w:r>
              <w:rPr>
                <w:rFonts w:asciiTheme="minorHAnsi" w:hAnsiTheme="minorHAnsi"/>
                <w:color w:val="000000"/>
                <w:sz w:val="20"/>
              </w:rPr>
              <w:t>EFRR</w:t>
            </w:r>
          </w:p>
        </w:tc>
        <w:tc>
          <w:tcPr>
            <w:tcW w:w="1898" w:type="dxa"/>
          </w:tcPr>
          <w:p w14:paraId="6C3DD9FC" w14:textId="29BD99A5" w:rsidR="002072B9" w:rsidRPr="00570B26" w:rsidRDefault="002072B9" w:rsidP="002072B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color w:val="000000"/>
                <w:sz w:val="20"/>
              </w:rPr>
              <w:t>Cel szczegółowy 2.4</w:t>
            </w:r>
          </w:p>
        </w:tc>
        <w:tc>
          <w:tcPr>
            <w:tcW w:w="1204" w:type="dxa"/>
          </w:tcPr>
          <w:p w14:paraId="1BE07B61" w14:textId="43BC1943" w:rsidR="002072B9" w:rsidRPr="00816CF6" w:rsidRDefault="002072B9" w:rsidP="00816CF6">
            <w:pPr>
              <w:spacing w:after="120" w:line="240" w:lineRule="auto"/>
              <w:ind w:left="0" w:right="0"/>
              <w:jc w:val="center"/>
              <w:rPr>
                <w:rFonts w:asciiTheme="minorHAnsi" w:eastAsia="Times New Roman" w:hAnsiTheme="minorHAnsi" w:cs="Times New Roman"/>
                <w:b/>
                <w:color w:val="000000"/>
                <w:sz w:val="20"/>
                <w:szCs w:val="16"/>
              </w:rPr>
            </w:pPr>
            <w:r>
              <w:rPr>
                <w:rFonts w:asciiTheme="minorHAnsi" w:hAnsiTheme="minorHAnsi"/>
                <w:sz w:val="20"/>
              </w:rPr>
              <w:t>39</w:t>
            </w:r>
          </w:p>
        </w:tc>
        <w:tc>
          <w:tcPr>
            <w:tcW w:w="2658" w:type="dxa"/>
          </w:tcPr>
          <w:p w14:paraId="0DEA0232" w14:textId="77777777" w:rsidR="002072B9" w:rsidRPr="00570B26" w:rsidRDefault="002072B9" w:rsidP="002072B9">
            <w:pPr>
              <w:spacing w:after="120" w:line="240" w:lineRule="auto"/>
              <w:ind w:left="0" w:right="0"/>
              <w:rPr>
                <w:rFonts w:asciiTheme="minorHAnsi" w:eastAsia="Times New Roman" w:hAnsiTheme="minorHAnsi" w:cs="Times New Roman"/>
                <w:b/>
                <w:color w:val="000000"/>
                <w:sz w:val="16"/>
                <w:szCs w:val="16"/>
              </w:rPr>
            </w:pPr>
          </w:p>
        </w:tc>
      </w:tr>
      <w:tr w:rsidR="000B24D0" w:rsidRPr="008727F2" w14:paraId="4D44B9B4" w14:textId="77777777" w:rsidTr="00816A75">
        <w:tc>
          <w:tcPr>
            <w:tcW w:w="1869" w:type="dxa"/>
          </w:tcPr>
          <w:p w14:paraId="1BD4B1DF" w14:textId="313E3B65" w:rsidR="000B24D0" w:rsidRPr="00F524B9" w:rsidRDefault="000B24D0" w:rsidP="000B24D0">
            <w:pPr>
              <w:spacing w:after="120" w:line="240" w:lineRule="auto"/>
              <w:ind w:left="0" w:right="0"/>
              <w:jc w:val="center"/>
              <w:rPr>
                <w:rFonts w:asciiTheme="minorHAnsi" w:hAnsiTheme="minorHAnsi"/>
                <w:color w:val="000000"/>
                <w:szCs w:val="16"/>
              </w:rPr>
            </w:pPr>
            <w:r>
              <w:rPr>
                <w:rFonts w:asciiTheme="minorHAnsi" w:hAnsiTheme="minorHAnsi"/>
                <w:color w:val="000000"/>
                <w:sz w:val="20"/>
              </w:rPr>
              <w:t>2</w:t>
            </w:r>
          </w:p>
        </w:tc>
        <w:tc>
          <w:tcPr>
            <w:tcW w:w="1657" w:type="dxa"/>
          </w:tcPr>
          <w:p w14:paraId="49B8881C" w14:textId="3B796B62" w:rsidR="000B24D0" w:rsidRDefault="000B24D0" w:rsidP="000B24D0">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474A7AAE" w14:textId="3C195256" w:rsidR="000B24D0" w:rsidRPr="00F524B9" w:rsidRDefault="000B24D0" w:rsidP="000B24D0">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2.4</w:t>
            </w:r>
          </w:p>
        </w:tc>
        <w:tc>
          <w:tcPr>
            <w:tcW w:w="1204" w:type="dxa"/>
          </w:tcPr>
          <w:p w14:paraId="0F513D41" w14:textId="2221FB47" w:rsidR="000B24D0" w:rsidRPr="00816CF6" w:rsidRDefault="000B24D0" w:rsidP="00816CF6">
            <w:pPr>
              <w:spacing w:after="120" w:line="240" w:lineRule="auto"/>
              <w:ind w:left="0" w:right="0"/>
              <w:jc w:val="center"/>
              <w:rPr>
                <w:rFonts w:asciiTheme="minorHAnsi" w:hAnsiTheme="minorHAnsi"/>
                <w:b/>
                <w:color w:val="000000"/>
                <w:sz w:val="20"/>
                <w:szCs w:val="16"/>
              </w:rPr>
            </w:pPr>
            <w:r>
              <w:rPr>
                <w:rFonts w:asciiTheme="minorHAnsi" w:hAnsiTheme="minorHAnsi"/>
                <w:sz w:val="20"/>
              </w:rPr>
              <w:t>40</w:t>
            </w:r>
          </w:p>
        </w:tc>
        <w:tc>
          <w:tcPr>
            <w:tcW w:w="2658" w:type="dxa"/>
          </w:tcPr>
          <w:p w14:paraId="3AA7AA80" w14:textId="77777777" w:rsidR="000B24D0" w:rsidRPr="00570B26" w:rsidRDefault="000B24D0" w:rsidP="000B24D0">
            <w:pPr>
              <w:spacing w:after="120" w:line="240" w:lineRule="auto"/>
              <w:ind w:left="0" w:right="0"/>
              <w:rPr>
                <w:rFonts w:asciiTheme="minorHAnsi" w:hAnsiTheme="minorHAnsi"/>
                <w:b/>
                <w:color w:val="000000"/>
                <w:sz w:val="16"/>
                <w:szCs w:val="16"/>
              </w:rPr>
            </w:pPr>
          </w:p>
        </w:tc>
      </w:tr>
      <w:tr w:rsidR="000B24D0" w:rsidRPr="008727F2" w14:paraId="2D6328A7" w14:textId="77777777" w:rsidTr="00816A75">
        <w:tc>
          <w:tcPr>
            <w:tcW w:w="1869" w:type="dxa"/>
          </w:tcPr>
          <w:p w14:paraId="300E8E07" w14:textId="32788EE0" w:rsidR="000B24D0" w:rsidRPr="00F524B9" w:rsidRDefault="000B24D0" w:rsidP="000B24D0">
            <w:pPr>
              <w:spacing w:after="120" w:line="240" w:lineRule="auto"/>
              <w:ind w:left="0" w:right="0"/>
              <w:jc w:val="center"/>
              <w:rPr>
                <w:rFonts w:asciiTheme="minorHAnsi" w:hAnsiTheme="minorHAnsi"/>
                <w:color w:val="000000"/>
                <w:szCs w:val="16"/>
              </w:rPr>
            </w:pPr>
            <w:r>
              <w:rPr>
                <w:rFonts w:asciiTheme="minorHAnsi" w:hAnsiTheme="minorHAnsi"/>
                <w:color w:val="000000"/>
                <w:sz w:val="20"/>
              </w:rPr>
              <w:t>2</w:t>
            </w:r>
          </w:p>
        </w:tc>
        <w:tc>
          <w:tcPr>
            <w:tcW w:w="1657" w:type="dxa"/>
          </w:tcPr>
          <w:p w14:paraId="396B7C62" w14:textId="560DF4DA" w:rsidR="000B24D0" w:rsidRDefault="000B24D0" w:rsidP="000B24D0">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6B8F8D45" w14:textId="707721FD" w:rsidR="000B24D0" w:rsidRPr="00F524B9" w:rsidRDefault="000B24D0" w:rsidP="000B24D0">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2.4</w:t>
            </w:r>
          </w:p>
        </w:tc>
        <w:tc>
          <w:tcPr>
            <w:tcW w:w="1204" w:type="dxa"/>
          </w:tcPr>
          <w:p w14:paraId="7D2B8FD1" w14:textId="0CB1A7C4" w:rsidR="000B24D0" w:rsidRPr="00816CF6" w:rsidRDefault="000B24D0" w:rsidP="00816CF6">
            <w:pPr>
              <w:spacing w:after="120" w:line="240" w:lineRule="auto"/>
              <w:ind w:left="0" w:right="0"/>
              <w:jc w:val="center"/>
              <w:rPr>
                <w:rFonts w:asciiTheme="minorHAnsi" w:hAnsiTheme="minorHAnsi"/>
                <w:b/>
                <w:color w:val="000000"/>
                <w:sz w:val="20"/>
                <w:szCs w:val="16"/>
              </w:rPr>
            </w:pPr>
            <w:r>
              <w:rPr>
                <w:rFonts w:asciiTheme="minorHAnsi" w:hAnsiTheme="minorHAnsi"/>
                <w:sz w:val="20"/>
              </w:rPr>
              <w:t>41</w:t>
            </w:r>
          </w:p>
        </w:tc>
        <w:tc>
          <w:tcPr>
            <w:tcW w:w="2658" w:type="dxa"/>
          </w:tcPr>
          <w:p w14:paraId="0B393998" w14:textId="77777777" w:rsidR="000B24D0" w:rsidRPr="00570B26" w:rsidRDefault="000B24D0" w:rsidP="000B24D0">
            <w:pPr>
              <w:spacing w:after="120" w:line="240" w:lineRule="auto"/>
              <w:ind w:left="0" w:right="0"/>
              <w:rPr>
                <w:rFonts w:asciiTheme="minorHAnsi" w:hAnsiTheme="minorHAnsi"/>
                <w:b/>
                <w:color w:val="000000"/>
                <w:sz w:val="16"/>
                <w:szCs w:val="16"/>
              </w:rPr>
            </w:pPr>
          </w:p>
        </w:tc>
      </w:tr>
      <w:tr w:rsidR="000B24D0" w:rsidRPr="008727F2" w14:paraId="28BF26EA" w14:textId="77777777" w:rsidTr="00816A75">
        <w:tc>
          <w:tcPr>
            <w:tcW w:w="1869" w:type="dxa"/>
          </w:tcPr>
          <w:p w14:paraId="3BC5CCC7" w14:textId="255FDC1A" w:rsidR="000B24D0" w:rsidRPr="00F524B9" w:rsidRDefault="000B24D0" w:rsidP="000B24D0">
            <w:pPr>
              <w:spacing w:after="120" w:line="240" w:lineRule="auto"/>
              <w:ind w:left="0" w:right="0"/>
              <w:jc w:val="center"/>
              <w:rPr>
                <w:rFonts w:asciiTheme="minorHAnsi" w:hAnsiTheme="minorHAnsi"/>
                <w:color w:val="000000"/>
                <w:szCs w:val="16"/>
              </w:rPr>
            </w:pPr>
            <w:r>
              <w:rPr>
                <w:rFonts w:asciiTheme="minorHAnsi" w:hAnsiTheme="minorHAnsi"/>
                <w:color w:val="000000"/>
                <w:sz w:val="20"/>
              </w:rPr>
              <w:t>2</w:t>
            </w:r>
          </w:p>
        </w:tc>
        <w:tc>
          <w:tcPr>
            <w:tcW w:w="1657" w:type="dxa"/>
          </w:tcPr>
          <w:p w14:paraId="2E4DB45A" w14:textId="698B8837" w:rsidR="000B24D0" w:rsidRDefault="000B24D0" w:rsidP="000B24D0">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760CB42A" w14:textId="28F59DB8" w:rsidR="000B24D0" w:rsidRPr="00F524B9" w:rsidRDefault="000B24D0" w:rsidP="000B24D0">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2.4</w:t>
            </w:r>
          </w:p>
        </w:tc>
        <w:tc>
          <w:tcPr>
            <w:tcW w:w="1204" w:type="dxa"/>
          </w:tcPr>
          <w:p w14:paraId="6068966F" w14:textId="2EC7A202" w:rsidR="000B24D0" w:rsidRPr="00816CF6" w:rsidRDefault="000B24D0" w:rsidP="00816CF6">
            <w:pPr>
              <w:spacing w:after="120" w:line="240" w:lineRule="auto"/>
              <w:ind w:left="0" w:right="0"/>
              <w:jc w:val="center"/>
              <w:rPr>
                <w:rFonts w:asciiTheme="minorHAnsi" w:hAnsiTheme="minorHAnsi"/>
                <w:b/>
                <w:color w:val="000000"/>
                <w:sz w:val="20"/>
                <w:szCs w:val="16"/>
              </w:rPr>
            </w:pPr>
            <w:r>
              <w:rPr>
                <w:rFonts w:asciiTheme="minorHAnsi" w:hAnsiTheme="minorHAnsi"/>
                <w:sz w:val="20"/>
              </w:rPr>
              <w:t>46</w:t>
            </w:r>
          </w:p>
        </w:tc>
        <w:tc>
          <w:tcPr>
            <w:tcW w:w="2658" w:type="dxa"/>
          </w:tcPr>
          <w:p w14:paraId="275FFED0" w14:textId="77777777" w:rsidR="000B24D0" w:rsidRPr="00570B26" w:rsidRDefault="000B24D0" w:rsidP="000B24D0">
            <w:pPr>
              <w:spacing w:after="120" w:line="240" w:lineRule="auto"/>
              <w:ind w:left="0" w:right="0"/>
              <w:rPr>
                <w:rFonts w:asciiTheme="minorHAnsi" w:hAnsiTheme="minorHAnsi"/>
                <w:b/>
                <w:color w:val="000000"/>
                <w:sz w:val="16"/>
                <w:szCs w:val="16"/>
              </w:rPr>
            </w:pPr>
          </w:p>
        </w:tc>
      </w:tr>
      <w:tr w:rsidR="000B24D0" w:rsidRPr="008727F2" w14:paraId="4EAF1501" w14:textId="77777777" w:rsidTr="002072B9">
        <w:tc>
          <w:tcPr>
            <w:tcW w:w="1869" w:type="dxa"/>
          </w:tcPr>
          <w:p w14:paraId="5FB6A5E3" w14:textId="71B0595B" w:rsidR="000B24D0" w:rsidRPr="00F524B9" w:rsidRDefault="000B24D0" w:rsidP="000B24D0">
            <w:pPr>
              <w:spacing w:after="120" w:line="240" w:lineRule="auto"/>
              <w:ind w:left="0" w:right="0"/>
              <w:jc w:val="center"/>
              <w:rPr>
                <w:rFonts w:asciiTheme="minorHAnsi" w:hAnsiTheme="minorHAnsi"/>
                <w:color w:val="000000"/>
                <w:szCs w:val="16"/>
              </w:rPr>
            </w:pPr>
            <w:r>
              <w:rPr>
                <w:rFonts w:asciiTheme="minorHAnsi" w:hAnsiTheme="minorHAnsi"/>
                <w:color w:val="000000"/>
                <w:sz w:val="20"/>
              </w:rPr>
              <w:t>2</w:t>
            </w:r>
          </w:p>
        </w:tc>
        <w:tc>
          <w:tcPr>
            <w:tcW w:w="1657" w:type="dxa"/>
          </w:tcPr>
          <w:p w14:paraId="7D06E388" w14:textId="1560FD22" w:rsidR="000B24D0" w:rsidRDefault="000B24D0" w:rsidP="000B24D0">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0C53D218" w14:textId="44DBCB9B" w:rsidR="000B24D0" w:rsidRPr="00F524B9" w:rsidRDefault="000B24D0" w:rsidP="000B24D0">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2.4</w:t>
            </w:r>
          </w:p>
        </w:tc>
        <w:tc>
          <w:tcPr>
            <w:tcW w:w="1204" w:type="dxa"/>
            <w:vAlign w:val="bottom"/>
          </w:tcPr>
          <w:p w14:paraId="06AF9599" w14:textId="630B3705" w:rsidR="000B24D0" w:rsidRPr="00816CF6" w:rsidRDefault="000B24D0" w:rsidP="00816CF6">
            <w:pPr>
              <w:spacing w:after="120" w:line="240" w:lineRule="auto"/>
              <w:ind w:left="0" w:right="0"/>
              <w:jc w:val="center"/>
              <w:rPr>
                <w:rFonts w:asciiTheme="minorHAnsi" w:hAnsiTheme="minorHAnsi"/>
                <w:sz w:val="20"/>
              </w:rPr>
            </w:pPr>
            <w:r>
              <w:rPr>
                <w:rFonts w:asciiTheme="minorHAnsi" w:hAnsiTheme="minorHAnsi"/>
                <w:color w:val="000000"/>
                <w:sz w:val="20"/>
              </w:rPr>
              <w:t>48</w:t>
            </w:r>
          </w:p>
        </w:tc>
        <w:tc>
          <w:tcPr>
            <w:tcW w:w="2658" w:type="dxa"/>
          </w:tcPr>
          <w:p w14:paraId="190ACEE0" w14:textId="77777777" w:rsidR="000B24D0" w:rsidRPr="00570B26" w:rsidRDefault="000B24D0" w:rsidP="000B24D0">
            <w:pPr>
              <w:spacing w:after="120" w:line="240" w:lineRule="auto"/>
              <w:ind w:left="0" w:right="0"/>
              <w:rPr>
                <w:rFonts w:asciiTheme="minorHAnsi" w:hAnsiTheme="minorHAnsi"/>
                <w:b/>
                <w:color w:val="000000"/>
                <w:sz w:val="16"/>
                <w:szCs w:val="16"/>
              </w:rPr>
            </w:pPr>
          </w:p>
        </w:tc>
      </w:tr>
      <w:tr w:rsidR="000B24D0" w:rsidRPr="008727F2" w14:paraId="1E417C3E" w14:textId="77777777" w:rsidTr="002072B9">
        <w:tc>
          <w:tcPr>
            <w:tcW w:w="1869" w:type="dxa"/>
          </w:tcPr>
          <w:p w14:paraId="4104BB29" w14:textId="3F1ED35F" w:rsidR="000B24D0" w:rsidRPr="00F524B9" w:rsidRDefault="000B24D0" w:rsidP="000B24D0">
            <w:pPr>
              <w:spacing w:after="120" w:line="240" w:lineRule="auto"/>
              <w:ind w:left="0" w:right="0"/>
              <w:jc w:val="center"/>
              <w:rPr>
                <w:rFonts w:asciiTheme="minorHAnsi" w:hAnsiTheme="minorHAnsi"/>
                <w:color w:val="000000"/>
                <w:szCs w:val="16"/>
              </w:rPr>
            </w:pPr>
            <w:r>
              <w:rPr>
                <w:rFonts w:asciiTheme="minorHAnsi" w:hAnsiTheme="minorHAnsi"/>
                <w:color w:val="000000"/>
                <w:sz w:val="20"/>
              </w:rPr>
              <w:t>2</w:t>
            </w:r>
          </w:p>
        </w:tc>
        <w:tc>
          <w:tcPr>
            <w:tcW w:w="1657" w:type="dxa"/>
          </w:tcPr>
          <w:p w14:paraId="6D8CFD04" w14:textId="1C9FCA17" w:rsidR="000B24D0" w:rsidRDefault="000B24D0" w:rsidP="000B24D0">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54D37C96" w14:textId="3918A162" w:rsidR="000B24D0" w:rsidRPr="00F524B9" w:rsidRDefault="000B24D0" w:rsidP="000B24D0">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2.4</w:t>
            </w:r>
          </w:p>
        </w:tc>
        <w:tc>
          <w:tcPr>
            <w:tcW w:w="1204" w:type="dxa"/>
            <w:vAlign w:val="bottom"/>
          </w:tcPr>
          <w:p w14:paraId="505F6354" w14:textId="404AA61D" w:rsidR="000B24D0" w:rsidRPr="00816CF6" w:rsidRDefault="000B24D0" w:rsidP="00816CF6">
            <w:pPr>
              <w:spacing w:after="120" w:line="240" w:lineRule="auto"/>
              <w:ind w:left="0" w:right="0"/>
              <w:jc w:val="center"/>
              <w:rPr>
                <w:rFonts w:asciiTheme="minorHAnsi" w:hAnsiTheme="minorHAnsi"/>
                <w:sz w:val="20"/>
              </w:rPr>
            </w:pPr>
            <w:r>
              <w:rPr>
                <w:rFonts w:asciiTheme="minorHAnsi" w:hAnsiTheme="minorHAnsi"/>
                <w:color w:val="000000"/>
                <w:sz w:val="20"/>
              </w:rPr>
              <w:t>49</w:t>
            </w:r>
          </w:p>
        </w:tc>
        <w:tc>
          <w:tcPr>
            <w:tcW w:w="2658" w:type="dxa"/>
          </w:tcPr>
          <w:p w14:paraId="76726960" w14:textId="77777777" w:rsidR="000B24D0" w:rsidRPr="00570B26" w:rsidRDefault="000B24D0" w:rsidP="000B24D0">
            <w:pPr>
              <w:spacing w:after="120" w:line="240" w:lineRule="auto"/>
              <w:ind w:left="0" w:right="0"/>
              <w:rPr>
                <w:rFonts w:asciiTheme="minorHAnsi" w:hAnsiTheme="minorHAnsi"/>
                <w:b/>
                <w:color w:val="000000"/>
                <w:sz w:val="16"/>
                <w:szCs w:val="16"/>
              </w:rPr>
            </w:pPr>
          </w:p>
        </w:tc>
      </w:tr>
      <w:tr w:rsidR="000B24D0" w:rsidRPr="008727F2" w14:paraId="4593E13C" w14:textId="77777777" w:rsidTr="002072B9">
        <w:tc>
          <w:tcPr>
            <w:tcW w:w="1869" w:type="dxa"/>
          </w:tcPr>
          <w:p w14:paraId="3679BA83" w14:textId="00F3FBF4" w:rsidR="000B24D0" w:rsidRPr="00F524B9" w:rsidRDefault="000B24D0" w:rsidP="000B24D0">
            <w:pPr>
              <w:spacing w:after="120" w:line="240" w:lineRule="auto"/>
              <w:ind w:left="0" w:right="0"/>
              <w:jc w:val="center"/>
              <w:rPr>
                <w:rFonts w:asciiTheme="minorHAnsi" w:hAnsiTheme="minorHAnsi"/>
                <w:color w:val="000000"/>
                <w:szCs w:val="16"/>
              </w:rPr>
            </w:pPr>
            <w:r>
              <w:rPr>
                <w:rFonts w:asciiTheme="minorHAnsi" w:hAnsiTheme="minorHAnsi"/>
                <w:color w:val="000000"/>
                <w:sz w:val="20"/>
              </w:rPr>
              <w:t>2</w:t>
            </w:r>
          </w:p>
        </w:tc>
        <w:tc>
          <w:tcPr>
            <w:tcW w:w="1657" w:type="dxa"/>
          </w:tcPr>
          <w:p w14:paraId="76F513DF" w14:textId="2B1580D4" w:rsidR="000B24D0" w:rsidRDefault="000B24D0" w:rsidP="000B24D0">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33083B83" w14:textId="72FC1FE7" w:rsidR="000B24D0" w:rsidRPr="00F524B9" w:rsidRDefault="000B24D0" w:rsidP="000B24D0">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2.4</w:t>
            </w:r>
          </w:p>
        </w:tc>
        <w:tc>
          <w:tcPr>
            <w:tcW w:w="1204" w:type="dxa"/>
            <w:vAlign w:val="bottom"/>
          </w:tcPr>
          <w:p w14:paraId="5DDFE0D6" w14:textId="0AD38493" w:rsidR="000B24D0" w:rsidRPr="00816CF6" w:rsidRDefault="000B24D0" w:rsidP="00816CF6">
            <w:pPr>
              <w:spacing w:after="120" w:line="240" w:lineRule="auto"/>
              <w:ind w:left="0" w:right="0"/>
              <w:jc w:val="center"/>
              <w:rPr>
                <w:rFonts w:asciiTheme="minorHAnsi" w:hAnsiTheme="minorHAnsi"/>
                <w:sz w:val="20"/>
              </w:rPr>
            </w:pPr>
            <w:r>
              <w:rPr>
                <w:rFonts w:asciiTheme="minorHAnsi" w:hAnsiTheme="minorHAnsi"/>
                <w:color w:val="000000"/>
                <w:sz w:val="20"/>
              </w:rPr>
              <w:t>50</w:t>
            </w:r>
          </w:p>
        </w:tc>
        <w:tc>
          <w:tcPr>
            <w:tcW w:w="2658" w:type="dxa"/>
          </w:tcPr>
          <w:p w14:paraId="70C1602F" w14:textId="77777777" w:rsidR="000B24D0" w:rsidRPr="00570B26" w:rsidRDefault="000B24D0" w:rsidP="000B24D0">
            <w:pPr>
              <w:spacing w:after="120" w:line="240" w:lineRule="auto"/>
              <w:ind w:left="0" w:right="0"/>
              <w:rPr>
                <w:rFonts w:asciiTheme="minorHAnsi" w:hAnsiTheme="minorHAnsi"/>
                <w:b/>
                <w:color w:val="000000"/>
                <w:sz w:val="16"/>
                <w:szCs w:val="16"/>
              </w:rPr>
            </w:pPr>
          </w:p>
        </w:tc>
      </w:tr>
    </w:tbl>
    <w:p w14:paraId="2091D1C2" w14:textId="77777777" w:rsidR="009D6F42" w:rsidRPr="009A0D85" w:rsidRDefault="009D6F42" w:rsidP="009D6F42">
      <w:pPr>
        <w:spacing w:before="240" w:after="240" w:line="240" w:lineRule="auto"/>
        <w:ind w:left="0"/>
        <w:rPr>
          <w:rFonts w:asciiTheme="minorHAnsi" w:hAnsiTheme="minorHAnsi"/>
          <w:szCs w:val="24"/>
        </w:rPr>
      </w:pPr>
      <w:r>
        <w:rPr>
          <w:rFonts w:asciiTheme="minorHAnsi" w:hAnsiTheme="minorHAnsi"/>
        </w:rPr>
        <w:t>Tabela 5: Wymiar 2 – forma finansowania</w:t>
      </w:r>
    </w:p>
    <w:tbl>
      <w:tblPr>
        <w:tblStyle w:val="15"/>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D6F42" w:rsidRPr="008727F2" w14:paraId="3586B5DD" w14:textId="77777777" w:rsidTr="00816A75">
        <w:tc>
          <w:tcPr>
            <w:tcW w:w="1869" w:type="dxa"/>
          </w:tcPr>
          <w:p w14:paraId="1528CB02"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Priorytet nr</w:t>
            </w:r>
          </w:p>
        </w:tc>
        <w:tc>
          <w:tcPr>
            <w:tcW w:w="1657" w:type="dxa"/>
          </w:tcPr>
          <w:p w14:paraId="5900C2CC"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w:t>
            </w:r>
          </w:p>
        </w:tc>
        <w:tc>
          <w:tcPr>
            <w:tcW w:w="1898" w:type="dxa"/>
          </w:tcPr>
          <w:p w14:paraId="0D3DF95C"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Cel szczegółowy</w:t>
            </w:r>
          </w:p>
        </w:tc>
        <w:tc>
          <w:tcPr>
            <w:tcW w:w="1204" w:type="dxa"/>
          </w:tcPr>
          <w:p w14:paraId="1D93EB75"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Kod </w:t>
            </w:r>
          </w:p>
        </w:tc>
        <w:tc>
          <w:tcPr>
            <w:tcW w:w="2658" w:type="dxa"/>
          </w:tcPr>
          <w:p w14:paraId="4EBCA159"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Kwota (EUR)</w:t>
            </w:r>
          </w:p>
        </w:tc>
      </w:tr>
      <w:tr w:rsidR="00F524B9" w:rsidRPr="008727F2" w14:paraId="1FF0C376" w14:textId="77777777" w:rsidTr="00816A75">
        <w:tc>
          <w:tcPr>
            <w:tcW w:w="1869" w:type="dxa"/>
          </w:tcPr>
          <w:p w14:paraId="0BFBB3A8" w14:textId="77777777" w:rsidR="00F524B9" w:rsidRPr="00570B26" w:rsidRDefault="00F524B9" w:rsidP="00F524B9">
            <w:pPr>
              <w:spacing w:after="120" w:line="240" w:lineRule="auto"/>
              <w:ind w:left="0" w:right="0"/>
              <w:jc w:val="center"/>
              <w:rPr>
                <w:rFonts w:asciiTheme="minorHAnsi" w:eastAsia="Times New Roman" w:hAnsiTheme="minorHAnsi" w:cs="Times New Roman"/>
                <w:b/>
                <w:color w:val="000000"/>
                <w:sz w:val="16"/>
                <w:szCs w:val="16"/>
              </w:rPr>
            </w:pPr>
            <w:r>
              <w:rPr>
                <w:rFonts w:asciiTheme="minorHAnsi" w:hAnsiTheme="minorHAnsi"/>
                <w:color w:val="000000"/>
                <w:sz w:val="20"/>
              </w:rPr>
              <w:t>2</w:t>
            </w:r>
          </w:p>
        </w:tc>
        <w:tc>
          <w:tcPr>
            <w:tcW w:w="1657" w:type="dxa"/>
          </w:tcPr>
          <w:p w14:paraId="5227FBBD" w14:textId="3B18940C" w:rsidR="00F524B9" w:rsidRPr="00570B26" w:rsidRDefault="00130FC5" w:rsidP="00F524B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color w:val="000000"/>
                <w:sz w:val="20"/>
              </w:rPr>
              <w:t>EFRR</w:t>
            </w:r>
          </w:p>
        </w:tc>
        <w:tc>
          <w:tcPr>
            <w:tcW w:w="1898" w:type="dxa"/>
          </w:tcPr>
          <w:p w14:paraId="62F154FB" w14:textId="009A03DE" w:rsidR="00F524B9" w:rsidRPr="00570B26" w:rsidRDefault="00130FC5" w:rsidP="00F524B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color w:val="000000"/>
                <w:sz w:val="20"/>
              </w:rPr>
              <w:t>Cel szczegółowy 2.4</w:t>
            </w:r>
          </w:p>
        </w:tc>
        <w:tc>
          <w:tcPr>
            <w:tcW w:w="1204" w:type="dxa"/>
          </w:tcPr>
          <w:p w14:paraId="5F55FA6C" w14:textId="665F2CEA" w:rsidR="00F524B9" w:rsidRPr="00570B26" w:rsidRDefault="00130FC5" w:rsidP="00816CF6">
            <w:pPr>
              <w:spacing w:after="120" w:line="240" w:lineRule="auto"/>
              <w:ind w:left="0" w:right="0"/>
              <w:jc w:val="center"/>
              <w:rPr>
                <w:rFonts w:asciiTheme="minorHAnsi" w:eastAsia="Times New Roman" w:hAnsiTheme="minorHAnsi" w:cs="Times New Roman"/>
                <w:b/>
                <w:color w:val="000000"/>
                <w:sz w:val="16"/>
                <w:szCs w:val="16"/>
              </w:rPr>
            </w:pPr>
            <w:r>
              <w:rPr>
                <w:rFonts w:asciiTheme="minorHAnsi" w:hAnsiTheme="minorHAnsi"/>
                <w:sz w:val="20"/>
              </w:rPr>
              <w:t>01</w:t>
            </w:r>
          </w:p>
        </w:tc>
        <w:tc>
          <w:tcPr>
            <w:tcW w:w="2658" w:type="dxa"/>
          </w:tcPr>
          <w:p w14:paraId="0074E7E4" w14:textId="77777777" w:rsidR="00F524B9" w:rsidRPr="00570B26" w:rsidRDefault="00F524B9" w:rsidP="00F524B9">
            <w:pPr>
              <w:spacing w:after="120" w:line="240" w:lineRule="auto"/>
              <w:ind w:left="0" w:right="0"/>
              <w:rPr>
                <w:rFonts w:asciiTheme="minorHAnsi" w:eastAsia="Times New Roman" w:hAnsiTheme="minorHAnsi" w:cs="Times New Roman"/>
                <w:b/>
                <w:color w:val="000000"/>
                <w:sz w:val="16"/>
                <w:szCs w:val="16"/>
              </w:rPr>
            </w:pPr>
          </w:p>
        </w:tc>
      </w:tr>
    </w:tbl>
    <w:p w14:paraId="72875118" w14:textId="77777777" w:rsidR="009D6F42" w:rsidRPr="009A0D85" w:rsidRDefault="009D6F42" w:rsidP="009D6F42">
      <w:pPr>
        <w:spacing w:before="240" w:after="240" w:line="240" w:lineRule="auto"/>
        <w:ind w:left="0"/>
        <w:rPr>
          <w:rFonts w:asciiTheme="minorHAnsi" w:hAnsiTheme="minorHAnsi"/>
          <w:szCs w:val="24"/>
        </w:rPr>
      </w:pPr>
      <w:r>
        <w:rPr>
          <w:rFonts w:asciiTheme="minorHAnsi" w:hAnsiTheme="minorHAnsi"/>
        </w:rPr>
        <w:t>Tabela 6: Wymiar 3 – mechanizm realizacji terytorialnej i koncentracja na terytorium</w:t>
      </w:r>
    </w:p>
    <w:tbl>
      <w:tblPr>
        <w:tblStyle w:val="14"/>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D6F42" w:rsidRPr="008727F2" w14:paraId="004B7400" w14:textId="77777777" w:rsidTr="00816A75">
        <w:tc>
          <w:tcPr>
            <w:tcW w:w="1869" w:type="dxa"/>
          </w:tcPr>
          <w:p w14:paraId="4C3EF925"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lastRenderedPageBreak/>
              <w:t>Priorytet nr</w:t>
            </w:r>
          </w:p>
        </w:tc>
        <w:tc>
          <w:tcPr>
            <w:tcW w:w="1657" w:type="dxa"/>
          </w:tcPr>
          <w:p w14:paraId="26E8E692"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w:t>
            </w:r>
          </w:p>
        </w:tc>
        <w:tc>
          <w:tcPr>
            <w:tcW w:w="1898" w:type="dxa"/>
          </w:tcPr>
          <w:p w14:paraId="4FE2389E"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Cel szczegółowy</w:t>
            </w:r>
          </w:p>
        </w:tc>
        <w:tc>
          <w:tcPr>
            <w:tcW w:w="1204" w:type="dxa"/>
          </w:tcPr>
          <w:p w14:paraId="34A2ED7A"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Kod </w:t>
            </w:r>
          </w:p>
        </w:tc>
        <w:tc>
          <w:tcPr>
            <w:tcW w:w="2658" w:type="dxa"/>
          </w:tcPr>
          <w:p w14:paraId="697D2042"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Kwota (EUR)</w:t>
            </w:r>
          </w:p>
        </w:tc>
      </w:tr>
      <w:tr w:rsidR="00F524B9" w:rsidRPr="008727F2" w14:paraId="0238564F" w14:textId="77777777" w:rsidTr="00816A75">
        <w:tc>
          <w:tcPr>
            <w:tcW w:w="1869" w:type="dxa"/>
          </w:tcPr>
          <w:p w14:paraId="69ADC651" w14:textId="77777777" w:rsidR="00F524B9" w:rsidRPr="00570B26" w:rsidRDefault="00F524B9" w:rsidP="00F524B9">
            <w:pPr>
              <w:spacing w:after="120" w:line="240" w:lineRule="auto"/>
              <w:ind w:left="0" w:right="0"/>
              <w:jc w:val="center"/>
              <w:rPr>
                <w:rFonts w:asciiTheme="minorHAnsi" w:eastAsia="Times New Roman" w:hAnsiTheme="minorHAnsi" w:cs="Times New Roman"/>
                <w:b/>
                <w:color w:val="000000"/>
                <w:sz w:val="16"/>
                <w:szCs w:val="16"/>
              </w:rPr>
            </w:pPr>
            <w:r>
              <w:rPr>
                <w:rFonts w:asciiTheme="minorHAnsi" w:hAnsiTheme="minorHAnsi"/>
                <w:color w:val="000000"/>
                <w:sz w:val="20"/>
              </w:rPr>
              <w:t>2</w:t>
            </w:r>
          </w:p>
        </w:tc>
        <w:tc>
          <w:tcPr>
            <w:tcW w:w="1657" w:type="dxa"/>
          </w:tcPr>
          <w:p w14:paraId="4A9DF29C" w14:textId="27066DAD" w:rsidR="00F524B9" w:rsidRPr="00570B26" w:rsidRDefault="00130FC5" w:rsidP="00F524B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color w:val="000000"/>
                <w:sz w:val="20"/>
              </w:rPr>
              <w:t>EFRR</w:t>
            </w:r>
          </w:p>
        </w:tc>
        <w:tc>
          <w:tcPr>
            <w:tcW w:w="1898" w:type="dxa"/>
          </w:tcPr>
          <w:p w14:paraId="28712317" w14:textId="43AFE6A0" w:rsidR="00F524B9" w:rsidRPr="00570B26" w:rsidRDefault="00130FC5" w:rsidP="00F524B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color w:val="000000"/>
                <w:sz w:val="20"/>
              </w:rPr>
              <w:t>Cel szczegółowy 2.4</w:t>
            </w:r>
          </w:p>
        </w:tc>
        <w:tc>
          <w:tcPr>
            <w:tcW w:w="1204" w:type="dxa"/>
          </w:tcPr>
          <w:p w14:paraId="175BE9B9" w14:textId="160B1FAA" w:rsidR="00F524B9" w:rsidRPr="00570B26" w:rsidRDefault="00130FC5" w:rsidP="00816CF6">
            <w:pPr>
              <w:spacing w:after="120" w:line="240" w:lineRule="auto"/>
              <w:ind w:left="0" w:right="0"/>
              <w:jc w:val="center"/>
              <w:rPr>
                <w:rFonts w:asciiTheme="minorHAnsi" w:eastAsia="Times New Roman" w:hAnsiTheme="minorHAnsi" w:cs="Times New Roman"/>
                <w:b/>
                <w:color w:val="000000"/>
                <w:sz w:val="16"/>
                <w:szCs w:val="16"/>
              </w:rPr>
            </w:pPr>
            <w:r>
              <w:rPr>
                <w:rFonts w:asciiTheme="minorHAnsi" w:hAnsiTheme="minorHAnsi"/>
                <w:sz w:val="20"/>
              </w:rPr>
              <w:t>48</w:t>
            </w:r>
          </w:p>
        </w:tc>
        <w:tc>
          <w:tcPr>
            <w:tcW w:w="2658" w:type="dxa"/>
          </w:tcPr>
          <w:p w14:paraId="3C2212CF" w14:textId="77777777" w:rsidR="00F524B9" w:rsidRPr="00570B26" w:rsidRDefault="00F524B9" w:rsidP="00F524B9">
            <w:pPr>
              <w:spacing w:after="120" w:line="240" w:lineRule="auto"/>
              <w:ind w:left="0" w:right="0"/>
              <w:rPr>
                <w:rFonts w:asciiTheme="minorHAnsi" w:eastAsia="Times New Roman" w:hAnsiTheme="minorHAnsi" w:cs="Times New Roman"/>
                <w:b/>
                <w:color w:val="000000"/>
                <w:sz w:val="16"/>
                <w:szCs w:val="16"/>
              </w:rPr>
            </w:pPr>
          </w:p>
        </w:tc>
      </w:tr>
    </w:tbl>
    <w:p w14:paraId="4653D6A3" w14:textId="77777777" w:rsidR="009D6F42" w:rsidRDefault="009D6F42" w:rsidP="009D6F42">
      <w:pPr>
        <w:rPr>
          <w:rFonts w:asciiTheme="minorHAnsi" w:hAnsiTheme="minorHAnsi"/>
        </w:rPr>
      </w:pPr>
    </w:p>
    <w:p w14:paraId="58E5F8F7" w14:textId="0F1E5481" w:rsidR="006B1275" w:rsidRPr="008727F2" w:rsidRDefault="006B1275" w:rsidP="006B1275">
      <w:pPr>
        <w:spacing w:before="240" w:after="240" w:line="240" w:lineRule="auto"/>
        <w:ind w:left="709" w:hanging="709"/>
        <w:rPr>
          <w:rFonts w:asciiTheme="minorHAnsi" w:hAnsiTheme="minorHAnsi"/>
          <w:sz w:val="24"/>
          <w:szCs w:val="24"/>
        </w:rPr>
      </w:pPr>
      <w:r>
        <w:rPr>
          <w:rFonts w:asciiTheme="minorHAnsi" w:hAnsiTheme="minorHAnsi"/>
          <w:b/>
          <w:sz w:val="24"/>
        </w:rPr>
        <w:t>2.2.5.</w:t>
      </w:r>
      <w:r>
        <w:rPr>
          <w:rFonts w:asciiTheme="minorHAnsi" w:hAnsiTheme="minorHAnsi"/>
          <w:b/>
          <w:sz w:val="24"/>
        </w:rPr>
        <w:tab/>
        <w:t xml:space="preserve">Cel szczegółowy </w:t>
      </w:r>
      <w:r>
        <w:rPr>
          <w:rFonts w:asciiTheme="minorHAnsi" w:hAnsiTheme="minorHAnsi"/>
          <w:sz w:val="24"/>
        </w:rPr>
        <w:t xml:space="preserve"> (dla każdego wybranego celu szczegółowego, priorytetów, z wyłączeniem pomocy technicznej)</w:t>
      </w:r>
    </w:p>
    <w:p w14:paraId="098D03A9" w14:textId="77777777" w:rsidR="006B1275" w:rsidRPr="00D80606" w:rsidRDefault="006B1275" w:rsidP="006B1275">
      <w:pPr>
        <w:ind w:left="0"/>
        <w:rPr>
          <w:rFonts w:asciiTheme="minorHAnsi" w:hAnsiTheme="minorHAnsi"/>
          <w:color w:val="000000"/>
        </w:rPr>
      </w:pPr>
      <w:r w:rsidRPr="00D80606">
        <w:rPr>
          <w:rFonts w:asciiTheme="minorHAnsi" w:hAnsiTheme="minorHAnsi"/>
          <w:color w:val="000000"/>
        </w:rPr>
        <w:t>Podstawa: art. 17 ust. 4 lit. e</w:t>
      </w:r>
    </w:p>
    <w:p w14:paraId="01D21B67" w14:textId="741620F3" w:rsidR="006B1275" w:rsidRPr="00EB444C" w:rsidRDefault="006B1275" w:rsidP="00173920">
      <w:pPr>
        <w:pStyle w:val="CE-Headline4"/>
      </w:pPr>
      <w:bookmarkStart w:id="107" w:name="_Toc71036609"/>
      <w:r>
        <w:t>PO2-</w:t>
      </w:r>
      <w:r>
        <w:tab/>
        <w:t>(viii) Promowanie zrównoważonej multimodalnej mobilności miejskiej jako elementu przejścia w kierunku gospodarki o zerowej emisji dwutlenku węgla netto</w:t>
      </w:r>
      <w:bookmarkEnd w:id="107"/>
    </w:p>
    <w:p w14:paraId="7471E9F3" w14:textId="581F9EE8" w:rsidR="006B1275" w:rsidRDefault="006B1275" w:rsidP="006B1275">
      <w:pPr>
        <w:spacing w:before="240" w:after="240" w:line="240" w:lineRule="auto"/>
        <w:ind w:left="709" w:hanging="709"/>
        <w:rPr>
          <w:rFonts w:asciiTheme="minorHAnsi" w:hAnsiTheme="minorHAnsi"/>
          <w:b/>
          <w:sz w:val="24"/>
          <w:szCs w:val="24"/>
        </w:rPr>
      </w:pPr>
      <w:r>
        <w:rPr>
          <w:rFonts w:asciiTheme="minorHAnsi" w:hAnsiTheme="minorHAnsi"/>
          <w:b/>
          <w:sz w:val="24"/>
        </w:rPr>
        <w:t>2.2.5.1 Powiązane rodzaje działań i ich planowany wkład w osiągnięcie odpowiednio celów szczegółowych i strategii makroregionalnych i strategii dotyczących basenów morskich</w:t>
      </w:r>
    </w:p>
    <w:p w14:paraId="5128FD93" w14:textId="77777777" w:rsidR="006B1275" w:rsidRPr="00D80606" w:rsidRDefault="006B1275" w:rsidP="006B1275">
      <w:pPr>
        <w:ind w:left="0"/>
        <w:rPr>
          <w:rFonts w:asciiTheme="minorHAnsi" w:hAnsiTheme="minorHAnsi"/>
          <w:color w:val="000000"/>
        </w:rPr>
      </w:pPr>
      <w:r w:rsidRPr="00D80606">
        <w:rPr>
          <w:rFonts w:asciiTheme="minorHAnsi" w:hAnsiTheme="minorHAnsi"/>
          <w:color w:val="000000"/>
        </w:rPr>
        <w:t>Podstawa: art. 17 ust. 4 lit. e pkt i, artykuł 17 ust. 9 lit. c pkt ii</w:t>
      </w:r>
    </w:p>
    <w:p w14:paraId="2C94C958" w14:textId="77777777" w:rsidR="006B1275" w:rsidRPr="00D80606" w:rsidRDefault="006B1275" w:rsidP="006B1275">
      <w:pPr>
        <w:ind w:left="0"/>
        <w:rPr>
          <w:rFonts w:asciiTheme="minorHAnsi" w:hAnsiTheme="minorHAnsi"/>
        </w:rPr>
      </w:pPr>
      <w:r w:rsidRPr="00D80606">
        <w:rPr>
          <w:rFonts w:asciiTheme="minorHAnsi" w:hAnsiTheme="minorHAnsi"/>
        </w:rPr>
        <w:t>Pole tekstowe [7000]</w:t>
      </w:r>
    </w:p>
    <w:tbl>
      <w:tblPr>
        <w:tblStyle w:val="Tabela-Siatka"/>
        <w:tblW w:w="0" w:type="auto"/>
        <w:tblLook w:val="04A0" w:firstRow="1" w:lastRow="0" w:firstColumn="1" w:lastColumn="0" w:noHBand="0" w:noVBand="1"/>
      </w:tblPr>
      <w:tblGrid>
        <w:gridCol w:w="9060"/>
      </w:tblGrid>
      <w:tr w:rsidR="006B1275" w:rsidRPr="00A557D8" w14:paraId="4EB512B5" w14:textId="77777777" w:rsidTr="00216EF9">
        <w:tc>
          <w:tcPr>
            <w:tcW w:w="9060" w:type="dxa"/>
          </w:tcPr>
          <w:p w14:paraId="1EEC26DE" w14:textId="04EAA393" w:rsidR="006B1275" w:rsidRPr="00F70EFA" w:rsidRDefault="006B1275" w:rsidP="00F70EFA">
            <w:pPr>
              <w:ind w:left="0"/>
              <w:rPr>
                <w:rFonts w:asciiTheme="minorHAnsi" w:hAnsiTheme="minorHAnsi"/>
                <w:b/>
                <w:color w:val="000000"/>
                <w:sz w:val="26"/>
                <w:szCs w:val="26"/>
              </w:rPr>
            </w:pPr>
            <w:r w:rsidRPr="00D80606">
              <w:rPr>
                <w:rFonts w:asciiTheme="minorHAnsi" w:hAnsiTheme="minorHAnsi"/>
                <w:b/>
                <w:color w:val="000000"/>
                <w:sz w:val="26"/>
                <w:szCs w:val="26"/>
              </w:rPr>
              <w:t>Cel szczegółowy 2.5: Zielona mobilność miejska</w:t>
            </w:r>
          </w:p>
          <w:p w14:paraId="649BDC60" w14:textId="77777777" w:rsidR="006B1275" w:rsidRPr="00D80606" w:rsidRDefault="006B1275" w:rsidP="00D80606">
            <w:pPr>
              <w:ind w:left="0" w:right="25"/>
              <w:jc w:val="left"/>
              <w:rPr>
                <w:rFonts w:asciiTheme="minorHAnsi" w:hAnsiTheme="minorHAnsi"/>
                <w:sz w:val="24"/>
                <w:szCs w:val="24"/>
              </w:rPr>
            </w:pPr>
            <w:r w:rsidRPr="00D80606">
              <w:rPr>
                <w:rFonts w:asciiTheme="minorHAnsi" w:hAnsiTheme="minorHAnsi"/>
                <w:b/>
                <w:sz w:val="24"/>
                <w:szCs w:val="24"/>
              </w:rPr>
              <w:t>Potrzeby terytorialne Europy Środkowej</w:t>
            </w:r>
            <w:r w:rsidRPr="00D80606">
              <w:rPr>
                <w:rFonts w:asciiTheme="minorHAnsi" w:hAnsiTheme="minorHAnsi"/>
                <w:sz w:val="24"/>
                <w:szCs w:val="24"/>
              </w:rPr>
              <w:t xml:space="preserve"> </w:t>
            </w:r>
          </w:p>
          <w:p w14:paraId="4A6244E3" w14:textId="45B5E90C" w:rsidR="006B1275" w:rsidRPr="00D80606" w:rsidRDefault="006B1275" w:rsidP="00D80606">
            <w:pPr>
              <w:ind w:left="0" w:right="25"/>
              <w:jc w:val="left"/>
              <w:rPr>
                <w:rFonts w:asciiTheme="minorHAnsi" w:hAnsiTheme="minorHAnsi"/>
                <w:sz w:val="24"/>
                <w:szCs w:val="24"/>
              </w:rPr>
            </w:pPr>
            <w:r w:rsidRPr="00D80606">
              <w:rPr>
                <w:rFonts w:asciiTheme="minorHAnsi" w:hAnsiTheme="minorHAnsi"/>
                <w:sz w:val="24"/>
                <w:szCs w:val="24"/>
              </w:rPr>
              <w:t xml:space="preserve">Zmniejszenie emisji z transportu jest kluczowym wyzwaniem dla ekologizacji gospodarki Europy Środkowej, a także głównym celem Europejskiego Zielonego Ładu. Mobilność w mieście wymaga w szczególności zintegrowanej odpowiedzi. Inteligentne i ekologiczne rozwiązania należy wprowadzić w </w:t>
            </w:r>
            <w:r w:rsidR="00B41FE3" w:rsidRPr="00D80606">
              <w:rPr>
                <w:rFonts w:asciiTheme="minorHAnsi" w:hAnsiTheme="minorHAnsi"/>
                <w:sz w:val="24"/>
                <w:szCs w:val="24"/>
              </w:rPr>
              <w:t xml:space="preserve">miejskich </w:t>
            </w:r>
            <w:r w:rsidRPr="00D80606">
              <w:rPr>
                <w:rFonts w:asciiTheme="minorHAnsi" w:hAnsiTheme="minorHAnsi"/>
                <w:sz w:val="24"/>
                <w:szCs w:val="24"/>
              </w:rPr>
              <w:t xml:space="preserve">obszarach </w:t>
            </w:r>
            <w:r w:rsidR="00B41FE3" w:rsidRPr="00D80606">
              <w:rPr>
                <w:rFonts w:asciiTheme="minorHAnsi" w:hAnsiTheme="minorHAnsi"/>
                <w:sz w:val="24"/>
                <w:szCs w:val="24"/>
              </w:rPr>
              <w:t xml:space="preserve">funkcjonalnych </w:t>
            </w:r>
            <w:r w:rsidRPr="00D80606">
              <w:rPr>
                <w:rFonts w:asciiTheme="minorHAnsi" w:hAnsiTheme="minorHAnsi"/>
                <w:sz w:val="24"/>
                <w:szCs w:val="24"/>
              </w:rPr>
              <w:t>(</w:t>
            </w:r>
            <w:r w:rsidR="00B41FE3">
              <w:rPr>
                <w:rFonts w:asciiTheme="minorHAnsi" w:hAnsiTheme="minorHAnsi"/>
                <w:sz w:val="24"/>
                <w:szCs w:val="24"/>
              </w:rPr>
              <w:t>MOF</w:t>
            </w:r>
            <w:r w:rsidRPr="00D80606">
              <w:rPr>
                <w:rFonts w:asciiTheme="minorHAnsi" w:hAnsiTheme="minorHAnsi"/>
                <w:sz w:val="24"/>
                <w:szCs w:val="24"/>
              </w:rPr>
              <w:t xml:space="preserve">), uwzględniając interakcje między „rdzeniami miejskimi” a ich „zapleczem”. W Europie Środkowej wiele jednostek </w:t>
            </w:r>
            <w:r w:rsidR="00B41FE3">
              <w:rPr>
                <w:rFonts w:asciiTheme="minorHAnsi" w:hAnsiTheme="minorHAnsi"/>
                <w:sz w:val="24"/>
                <w:szCs w:val="24"/>
              </w:rPr>
              <w:t>MOF</w:t>
            </w:r>
            <w:r w:rsidRPr="00D80606">
              <w:rPr>
                <w:rFonts w:asciiTheme="minorHAnsi" w:hAnsiTheme="minorHAnsi"/>
                <w:sz w:val="24"/>
                <w:szCs w:val="24"/>
              </w:rPr>
              <w:t xml:space="preserve"> stoi przed podobnymi wyzwaniami związanymi z ekologizacją (zazielenieniem) swojej mobilności. Wymagają one zastosowania zintegrowanych podejść, aby zająć się ogromną różnorodnością aspektów terytorialnych (od np. zapotrzebowania na energię, zanieczyszczenia powietrza, zatłoczenia ulic i logistyki miejskiej po usługi transportu publicznego, zachowania związane z mobilnością i dobre zarządzanie) oraz osiągnąć zerowy poziom emisji gazów cieplarnianych netto. W tym zakresie cyfryzacja i nowe technologie wykazują znaczny potencjał, który może pomóc w ekologizacji przyszłości mobilności miejskiej.</w:t>
            </w:r>
          </w:p>
          <w:p w14:paraId="36F99587" w14:textId="77777777" w:rsidR="006B1275" w:rsidRPr="00D80606" w:rsidRDefault="006B1275" w:rsidP="00D80606">
            <w:pPr>
              <w:ind w:left="0" w:right="25"/>
              <w:jc w:val="left"/>
              <w:rPr>
                <w:rFonts w:asciiTheme="minorHAnsi" w:hAnsiTheme="minorHAnsi"/>
                <w:sz w:val="24"/>
                <w:szCs w:val="24"/>
                <w:highlight w:val="yellow"/>
              </w:rPr>
            </w:pPr>
          </w:p>
          <w:p w14:paraId="1FEA2673" w14:textId="77777777" w:rsidR="006B1275" w:rsidRPr="00D80606" w:rsidRDefault="006B1275" w:rsidP="00D80606">
            <w:pPr>
              <w:ind w:left="0" w:right="25"/>
              <w:jc w:val="left"/>
              <w:rPr>
                <w:rFonts w:asciiTheme="minorHAnsi" w:hAnsiTheme="minorHAnsi"/>
                <w:b/>
                <w:sz w:val="24"/>
                <w:szCs w:val="24"/>
              </w:rPr>
            </w:pPr>
            <w:r w:rsidRPr="00D80606">
              <w:rPr>
                <w:rFonts w:asciiTheme="minorHAnsi" w:hAnsiTheme="minorHAnsi"/>
                <w:b/>
                <w:sz w:val="24"/>
                <w:szCs w:val="24"/>
              </w:rPr>
              <w:t xml:space="preserve">Działania w zakresie współpracy transnarodowej </w:t>
            </w:r>
          </w:p>
          <w:p w14:paraId="74D1CB69" w14:textId="7D36F166" w:rsidR="006B1275" w:rsidRPr="00D80606" w:rsidRDefault="006B1275" w:rsidP="00D80606">
            <w:pPr>
              <w:ind w:left="0" w:right="25"/>
              <w:jc w:val="left"/>
              <w:rPr>
                <w:rFonts w:asciiTheme="minorHAnsi" w:hAnsiTheme="minorHAnsi"/>
                <w:sz w:val="24"/>
                <w:szCs w:val="24"/>
              </w:rPr>
            </w:pPr>
            <w:r w:rsidRPr="00D80606">
              <w:rPr>
                <w:rFonts w:asciiTheme="minorHAnsi" w:hAnsiTheme="minorHAnsi"/>
                <w:sz w:val="24"/>
                <w:szCs w:val="24"/>
              </w:rPr>
              <w:t xml:space="preserve">W ramach niniejszego celu szczegółowego z Programu Interreg EUROPA ŚRODKOWA wsparcie będzie przyznawane na działania z zakresu opracowywania i wdrażania strategii, planów działania, narzędzi, szkoleń i działań pilotażowych służących bardziej efektywnej nauce polityk oraz poprawy zdolności w zakresie </w:t>
            </w:r>
            <w:r w:rsidRPr="00D80606">
              <w:rPr>
                <w:rFonts w:asciiTheme="minorHAnsi" w:hAnsiTheme="minorHAnsi"/>
                <w:sz w:val="24"/>
                <w:szCs w:val="24"/>
              </w:rPr>
              <w:lastRenderedPageBreak/>
              <w:t xml:space="preserve">zrównoważonej mobilności miejskiej. Działania powinny skupiać się na zintegrowanej i inteligentnej ekologicznej mobilności na obszarach </w:t>
            </w:r>
            <w:r w:rsidR="00B41FE3">
              <w:rPr>
                <w:rFonts w:asciiTheme="minorHAnsi" w:hAnsiTheme="minorHAnsi"/>
                <w:sz w:val="24"/>
                <w:szCs w:val="24"/>
              </w:rPr>
              <w:t>MOF</w:t>
            </w:r>
            <w:r w:rsidRPr="00D80606">
              <w:rPr>
                <w:rFonts w:asciiTheme="minorHAnsi" w:hAnsiTheme="minorHAnsi"/>
                <w:sz w:val="24"/>
                <w:szCs w:val="24"/>
              </w:rPr>
              <w:t xml:space="preserve"> poprzez uwzględnienie aspektów zarządzania i poprawę koordynacji między właściwymi interesariuszami i politykami. Zgodnie z unijnym „pakietem dotyczącym mobilności w mieście”, działania powinny obejmować opracowanie i wdrożenie zintegrowanych strategii. Powinny one również obejmować testowanie i wdrażanie nowych ekologicznych podejść i technologii w celu zapewnienia rozwiązań dla wyzwań związanych z mobilnością w mieście. Ponadto działania powinny wyrównywać różnice między terytoriami mniej i bardziej rozwiniętymi pod względem ekologicznej mobilności miejskiej. </w:t>
            </w:r>
          </w:p>
          <w:p w14:paraId="2F757FD8" w14:textId="6E918B13" w:rsidR="006B1275" w:rsidRPr="00D80606" w:rsidRDefault="00E5384C" w:rsidP="00D80606">
            <w:pPr>
              <w:ind w:left="0" w:right="25"/>
              <w:jc w:val="left"/>
              <w:rPr>
                <w:rFonts w:asciiTheme="minorHAnsi" w:hAnsiTheme="minorHAnsi"/>
                <w:sz w:val="24"/>
                <w:szCs w:val="24"/>
              </w:rPr>
            </w:pPr>
            <w:r w:rsidRPr="00E5384C">
              <w:rPr>
                <w:rFonts w:asciiTheme="minorHAnsi" w:hAnsiTheme="minorHAnsi"/>
                <w:sz w:val="24"/>
                <w:szCs w:val="24"/>
              </w:rPr>
              <w:t>Konkretyzując</w:t>
            </w:r>
            <w:r w:rsidR="006B1275" w:rsidRPr="00D80606">
              <w:rPr>
                <w:rFonts w:asciiTheme="minorHAnsi" w:hAnsiTheme="minorHAnsi"/>
                <w:sz w:val="24"/>
                <w:szCs w:val="24"/>
              </w:rPr>
              <w:t>, program będzie finansował działania, których celem będzie poprawa sytuacji w następujących dziedzinach (prezentowana lista nie jest katalogiem zamkniętym):</w:t>
            </w:r>
          </w:p>
          <w:p w14:paraId="49B64F52" w14:textId="77777777" w:rsidR="006B1275" w:rsidRPr="00D80606" w:rsidRDefault="006B1275" w:rsidP="00D80606">
            <w:pPr>
              <w:pStyle w:val="Akapitzlist"/>
              <w:numPr>
                <w:ilvl w:val="0"/>
                <w:numId w:val="48"/>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Planowanie zrównoważonej mobilności miejskiej</w:t>
            </w:r>
          </w:p>
          <w:p w14:paraId="720DCC0F" w14:textId="77777777" w:rsidR="006B1275" w:rsidRPr="00D80606" w:rsidRDefault="006B1275" w:rsidP="00D80606">
            <w:pPr>
              <w:pStyle w:val="Akapitzlist"/>
              <w:numPr>
                <w:ilvl w:val="0"/>
                <w:numId w:val="48"/>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Jakość i wydajność usług ekologicznego, miejskiego transportu publicznego</w:t>
            </w:r>
          </w:p>
          <w:p w14:paraId="165A6266" w14:textId="77777777" w:rsidR="006B1275" w:rsidRPr="00D80606" w:rsidRDefault="006B1275" w:rsidP="00D80606">
            <w:pPr>
              <w:pStyle w:val="Akapitzlist"/>
              <w:numPr>
                <w:ilvl w:val="0"/>
                <w:numId w:val="48"/>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 xml:space="preserve">Inteligentne zarządzanie ruchem i mobilnością, w tym rozwiązania w zakresie dojazdów </w:t>
            </w:r>
          </w:p>
          <w:p w14:paraId="247D9BC7" w14:textId="77777777" w:rsidR="006B1275" w:rsidRPr="00D80606" w:rsidRDefault="006B1275" w:rsidP="00D80606">
            <w:pPr>
              <w:pStyle w:val="Akapitzlist"/>
              <w:numPr>
                <w:ilvl w:val="0"/>
                <w:numId w:val="48"/>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Zrównoważone połączenia multimodalne pomiędzy obszarami miejskimi i podmiejskimi</w:t>
            </w:r>
          </w:p>
          <w:p w14:paraId="01CDE808" w14:textId="77777777" w:rsidR="006B1275" w:rsidRPr="00D80606" w:rsidRDefault="006B1275" w:rsidP="00D80606">
            <w:pPr>
              <w:pStyle w:val="Akapitzlist"/>
              <w:numPr>
                <w:ilvl w:val="0"/>
                <w:numId w:val="48"/>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Zrównoważone multimodalne miejskie rozwiązania transportowe i logistyczne (z uwzględnieniem tzw. „ostatniej mili”)</w:t>
            </w:r>
          </w:p>
          <w:p w14:paraId="534B1A00" w14:textId="77777777" w:rsidR="006B1275" w:rsidRPr="00D80606" w:rsidRDefault="006B1275" w:rsidP="00D80606">
            <w:pPr>
              <w:pStyle w:val="Akapitzlist"/>
              <w:numPr>
                <w:ilvl w:val="0"/>
                <w:numId w:val="48"/>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Zmniejszenie emisji gazów cieplarnianych i innych zanieczyszczeń powietrza pochodzących z transportu miejskiego</w:t>
            </w:r>
          </w:p>
          <w:p w14:paraId="03315A75" w14:textId="77777777" w:rsidR="006B1275" w:rsidRPr="00D80606" w:rsidRDefault="006B1275" w:rsidP="00D80606">
            <w:pPr>
              <w:pStyle w:val="Akapitzlist"/>
              <w:numPr>
                <w:ilvl w:val="0"/>
                <w:numId w:val="48"/>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Dostępność miejskiego transportu publicznego dla wszystkich, a zwłaszcza dla osób starszych i wrażliwych</w:t>
            </w:r>
          </w:p>
          <w:p w14:paraId="1767E691" w14:textId="77777777" w:rsidR="006B1275" w:rsidRPr="00D80606" w:rsidRDefault="006B1275" w:rsidP="00D80606">
            <w:pPr>
              <w:spacing w:before="80" w:after="80"/>
              <w:ind w:left="0" w:right="0"/>
              <w:jc w:val="left"/>
              <w:rPr>
                <w:rFonts w:ascii="Trebuchet MS" w:eastAsiaTheme="minorHAnsi" w:hAnsi="Trebuchet MS" w:cstheme="minorBidi"/>
                <w:b/>
                <w:sz w:val="24"/>
                <w:szCs w:val="24"/>
                <w:u w:val="single"/>
              </w:rPr>
            </w:pPr>
          </w:p>
          <w:p w14:paraId="0804F4AA" w14:textId="77777777" w:rsidR="006B1275" w:rsidRPr="00D80606" w:rsidRDefault="006B1275" w:rsidP="00D80606">
            <w:pPr>
              <w:spacing w:before="80" w:after="80"/>
              <w:ind w:left="0" w:right="0"/>
              <w:jc w:val="left"/>
              <w:rPr>
                <w:rFonts w:ascii="Trebuchet MS" w:eastAsiaTheme="minorHAnsi" w:hAnsi="Trebuchet MS" w:cstheme="minorBidi"/>
                <w:b/>
                <w:sz w:val="24"/>
                <w:szCs w:val="24"/>
                <w:u w:val="single"/>
              </w:rPr>
            </w:pPr>
            <w:r w:rsidRPr="00D80606">
              <w:rPr>
                <w:rFonts w:ascii="Trebuchet MS" w:hAnsi="Trebuchet MS"/>
                <w:b/>
                <w:sz w:val="24"/>
                <w:szCs w:val="24"/>
                <w:u w:val="single"/>
              </w:rPr>
              <w:t xml:space="preserve">Przykłady wspieranych działań (prezentowana lista nie jest katalogiem zamkniętym): </w:t>
            </w:r>
          </w:p>
          <w:p w14:paraId="412AD9C7" w14:textId="77777777" w:rsidR="006B1275" w:rsidRPr="00D80606" w:rsidRDefault="006B1275" w:rsidP="00D80606">
            <w:pPr>
              <w:pStyle w:val="Akapitzlist"/>
              <w:numPr>
                <w:ilvl w:val="0"/>
                <w:numId w:val="49"/>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Podnoszenie umiejętności i zdolności urbanistów i decydentów w zakresie zintegrowanego planowania zrównoważonej i ekologicznej mobilności na poziomie miejskich obszarów funkcjonalnych</w:t>
            </w:r>
          </w:p>
          <w:p w14:paraId="23F16DBA" w14:textId="77777777" w:rsidR="006B1275" w:rsidRPr="00D80606" w:rsidRDefault="006B1275" w:rsidP="00D80606">
            <w:pPr>
              <w:pStyle w:val="Akapitzlist"/>
              <w:numPr>
                <w:ilvl w:val="0"/>
                <w:numId w:val="49"/>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Wymiana wiedzy, doświadczeń i dobrych praktyk w zakresie inteligentnego zarządzania ruchem w celu poprawy takich aspektów jak parkowanie, zatłoczenie, emisja gazów cieplarnianych i innych emisji związanych z transportem</w:t>
            </w:r>
          </w:p>
          <w:p w14:paraId="000B4886" w14:textId="77777777" w:rsidR="006B1275" w:rsidRPr="00D80606" w:rsidRDefault="006B1275" w:rsidP="00D80606">
            <w:pPr>
              <w:pStyle w:val="Akapitzlist"/>
              <w:numPr>
                <w:ilvl w:val="0"/>
                <w:numId w:val="49"/>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 xml:space="preserve">Testowanie i wdrażanie rozwiązań w zakresie zharmonizowanych i zintegrowanych rozwiązań w zakresie biletów, sprzyjających wydajnemu i </w:t>
            </w:r>
            <w:r w:rsidRPr="00D80606">
              <w:rPr>
                <w:rFonts w:asciiTheme="minorHAnsi" w:hAnsiTheme="minorHAnsi"/>
                <w:sz w:val="24"/>
                <w:szCs w:val="24"/>
              </w:rPr>
              <w:lastRenderedPageBreak/>
              <w:t>powszechnie akceptowanemu transportowi publicznemu na poziomie miejskich obszarów funkcjonalnych</w:t>
            </w:r>
          </w:p>
          <w:p w14:paraId="4BE9E8E3" w14:textId="77777777" w:rsidR="006B1275" w:rsidRPr="00D80606" w:rsidRDefault="006B1275" w:rsidP="00D80606">
            <w:pPr>
              <w:pStyle w:val="Akapitzlist"/>
              <w:numPr>
                <w:ilvl w:val="0"/>
                <w:numId w:val="49"/>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 xml:space="preserve">Testowanie i wprowadzanie rozwiązań typu „mobilność jako usługa” (MaaS) oraz innych cyfrowych modeli biznesowych na rzecz zrównoważonej mobilności miejskiej i inteligentnych rozwiązań logistycznych </w:t>
            </w:r>
          </w:p>
          <w:p w14:paraId="67982CBF" w14:textId="77777777" w:rsidR="006B1275" w:rsidRPr="00D80606" w:rsidRDefault="006B1275" w:rsidP="00D80606">
            <w:pPr>
              <w:pStyle w:val="Akapitzlist"/>
              <w:numPr>
                <w:ilvl w:val="0"/>
                <w:numId w:val="49"/>
              </w:numPr>
              <w:ind w:right="23"/>
              <w:contextualSpacing w:val="0"/>
              <w:jc w:val="left"/>
              <w:rPr>
                <w:rFonts w:asciiTheme="minorHAnsi" w:hAnsiTheme="minorHAnsi"/>
                <w:sz w:val="24"/>
                <w:szCs w:val="24"/>
              </w:rPr>
            </w:pPr>
            <w:r w:rsidRPr="00D80606">
              <w:rPr>
                <w:rFonts w:asciiTheme="minorHAnsi" w:hAnsiTheme="minorHAnsi"/>
                <w:sz w:val="24"/>
                <w:szCs w:val="24"/>
              </w:rPr>
              <w:t>Promowanie i wdrażanie zintegrowanych koncepcji mobilności miejskiej, w tym np. transportu bezemisyjnego, w tym rowerowego, oraz strategii monitorowania, które przyczyniają się do lepszego zarządzania jakością powietrza w celu zmniejszenia narażenia ludności na emisje związane z transportem (zanieczyszczenie powietrza i hałas) w oparciu o obowiązujące wytyczne WHO i dyrektywy UE</w:t>
            </w:r>
          </w:p>
          <w:p w14:paraId="53F99286" w14:textId="77777777" w:rsidR="006B1275" w:rsidRPr="00D80606" w:rsidRDefault="006B1275" w:rsidP="00D80606">
            <w:pPr>
              <w:pStyle w:val="Akapitzlist"/>
              <w:numPr>
                <w:ilvl w:val="0"/>
                <w:numId w:val="49"/>
              </w:numPr>
              <w:ind w:right="23"/>
              <w:contextualSpacing w:val="0"/>
              <w:jc w:val="left"/>
              <w:rPr>
                <w:rFonts w:asciiTheme="minorHAnsi" w:hAnsiTheme="minorHAnsi"/>
                <w:sz w:val="24"/>
                <w:szCs w:val="24"/>
              </w:rPr>
            </w:pPr>
            <w:r w:rsidRPr="00D80606">
              <w:rPr>
                <w:rFonts w:asciiTheme="minorHAnsi" w:hAnsiTheme="minorHAnsi"/>
                <w:sz w:val="24"/>
                <w:szCs w:val="24"/>
              </w:rPr>
              <w:t>Wymiana doświadczeń i podejść do zarządzania lub wykorzystania baterii wycofanych z eksploatacji w systemach elektromobilności miejskiej</w:t>
            </w:r>
          </w:p>
          <w:p w14:paraId="2876F12D" w14:textId="4A1039B8" w:rsidR="006B1275" w:rsidRPr="00D80606" w:rsidRDefault="006B1275" w:rsidP="00D80606">
            <w:pPr>
              <w:pStyle w:val="Akapitzlist"/>
              <w:numPr>
                <w:ilvl w:val="0"/>
                <w:numId w:val="49"/>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 xml:space="preserve">Opracowywanie i wprowadzanie lepszych rozwiązań w zakresie zarządzania zrównoważoną mobilnością na poziomie </w:t>
            </w:r>
            <w:r w:rsidR="000C3525">
              <w:rPr>
                <w:rFonts w:asciiTheme="minorHAnsi" w:hAnsiTheme="minorHAnsi"/>
                <w:sz w:val="24"/>
                <w:szCs w:val="24"/>
              </w:rPr>
              <w:t>MOF</w:t>
            </w:r>
            <w:r w:rsidRPr="00D80606">
              <w:rPr>
                <w:rFonts w:asciiTheme="minorHAnsi" w:hAnsiTheme="minorHAnsi"/>
                <w:sz w:val="24"/>
                <w:szCs w:val="24"/>
              </w:rPr>
              <w:t>, w tym np. koordynacja interesariuszy na różnych poziomach zarządzania w celu poprawy łączności miejskiej i podmiejskiej oraz rozwiązań w zakresie ekologicznych dojazdów</w:t>
            </w:r>
          </w:p>
          <w:p w14:paraId="760F24A9" w14:textId="4FE5397C" w:rsidR="006B1275" w:rsidRPr="00D80606" w:rsidRDefault="006B1275" w:rsidP="00D80606">
            <w:pPr>
              <w:pStyle w:val="Akapitzlist"/>
              <w:numPr>
                <w:ilvl w:val="0"/>
                <w:numId w:val="49"/>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 xml:space="preserve">Testowanie i wdrażanie ekologicznych miejskich rozwiązań logistycznych oraz testowanie nowych podejść do multimodalnego transportu towarów na poziomie </w:t>
            </w:r>
            <w:r w:rsidR="007A5BF6">
              <w:rPr>
                <w:rFonts w:asciiTheme="minorHAnsi" w:hAnsiTheme="minorHAnsi"/>
                <w:sz w:val="24"/>
                <w:szCs w:val="24"/>
              </w:rPr>
              <w:t>MOF</w:t>
            </w:r>
            <w:r w:rsidRPr="00D80606">
              <w:rPr>
                <w:rFonts w:asciiTheme="minorHAnsi" w:hAnsiTheme="minorHAnsi"/>
                <w:sz w:val="24"/>
                <w:szCs w:val="24"/>
              </w:rPr>
              <w:t xml:space="preserve"> (np. multimodalne węzły komunikacyjne)</w:t>
            </w:r>
          </w:p>
          <w:p w14:paraId="3DFE5504" w14:textId="77777777" w:rsidR="006B1275" w:rsidRPr="00D80606" w:rsidRDefault="006B1275" w:rsidP="00D80606">
            <w:pPr>
              <w:pStyle w:val="Akapitzlist"/>
              <w:numPr>
                <w:ilvl w:val="0"/>
                <w:numId w:val="49"/>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Projektowanie i wdrażanie strategii mających na celu ekologizację „ostatniej mili” dostaw i logistyki w miastach</w:t>
            </w:r>
          </w:p>
          <w:p w14:paraId="61104A66" w14:textId="77777777" w:rsidR="006B1275" w:rsidRPr="00D80606" w:rsidRDefault="006B1275" w:rsidP="00D80606">
            <w:pPr>
              <w:pStyle w:val="Akapitzlist"/>
              <w:numPr>
                <w:ilvl w:val="0"/>
                <w:numId w:val="49"/>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Wyzwalanie zmian zachowań w kierunku bardziej zrównoważonej mobilności miejskiej poprzez innowacyjne podejścia (np. działania typu „</w:t>
            </w:r>
            <w:r w:rsidRPr="008A72BA">
              <w:rPr>
                <w:rFonts w:asciiTheme="minorHAnsi" w:hAnsiTheme="minorHAnsi"/>
                <w:sz w:val="24"/>
                <w:szCs w:val="24"/>
              </w:rPr>
              <w:t>pop-up</w:t>
            </w:r>
            <w:r w:rsidRPr="00D80606">
              <w:rPr>
                <w:rFonts w:asciiTheme="minorHAnsi" w:hAnsiTheme="minorHAnsi"/>
                <w:sz w:val="24"/>
                <w:szCs w:val="24"/>
              </w:rPr>
              <w:t>”, którym towarzyszy kampania cyfrowa)</w:t>
            </w:r>
          </w:p>
          <w:p w14:paraId="490323FD" w14:textId="77777777" w:rsidR="006B1275" w:rsidRPr="00D80606" w:rsidRDefault="006B1275" w:rsidP="00D80606">
            <w:pPr>
              <w:pStyle w:val="Akapitzlist"/>
              <w:numPr>
                <w:ilvl w:val="0"/>
                <w:numId w:val="49"/>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Opracowywanie i wdrażanie strategii i planów działania w celu poprawy pozbawionego barier dostępu do systemów transportu publicznego, zwłaszcza dla osób starszych i niepełnosprawnych</w:t>
            </w:r>
          </w:p>
          <w:p w14:paraId="18888132" w14:textId="38BF3284" w:rsidR="006B1275" w:rsidRPr="00D80606" w:rsidRDefault="006B1275" w:rsidP="00D80606">
            <w:pPr>
              <w:ind w:left="0" w:right="25"/>
              <w:jc w:val="left"/>
              <w:rPr>
                <w:rFonts w:asciiTheme="minorHAnsi" w:hAnsiTheme="minorHAnsi"/>
                <w:sz w:val="24"/>
                <w:szCs w:val="24"/>
              </w:rPr>
            </w:pPr>
            <w:r w:rsidRPr="00D80606">
              <w:rPr>
                <w:rFonts w:asciiTheme="minorHAnsi" w:hAnsiTheme="minorHAnsi"/>
                <w:sz w:val="24"/>
                <w:szCs w:val="24"/>
              </w:rPr>
              <w:t>Działania powinny poszukiwać synergii z instrumentami UE, aby podejmowa</w:t>
            </w:r>
            <w:r w:rsidR="0051432B" w:rsidRPr="00D80606">
              <w:rPr>
                <w:rFonts w:asciiTheme="minorHAnsi" w:hAnsiTheme="minorHAnsi"/>
                <w:sz w:val="24"/>
                <w:szCs w:val="24"/>
              </w:rPr>
              <w:t>ć</w:t>
            </w:r>
            <w:r w:rsidRPr="00D80606">
              <w:rPr>
                <w:rFonts w:asciiTheme="minorHAnsi" w:hAnsiTheme="minorHAnsi"/>
                <w:sz w:val="24"/>
                <w:szCs w:val="24"/>
              </w:rPr>
              <w:t xml:space="preserve"> innowacyjne podejścia i technologie, np. z programem Horyzont Europa, oraz z istniejącymi sieciami i inicjatywami, np. CIVITAS, europejską platformą ds. planów zrównoważonej mobilności miejskiej oraz agendą miejską UE, jak również uwzględniać plany działania w ramach strategii makroregionalnych. Działania powinny przyczyniać się do wykorzystania inwestycji finansowanych na przykład z krajowych i regionalnych programów EFRR lub Wspólnego Funduszu Transformacji.</w:t>
            </w:r>
          </w:p>
          <w:p w14:paraId="47D11E4D" w14:textId="77777777" w:rsidR="006B1275" w:rsidRPr="00D80606" w:rsidRDefault="006B1275" w:rsidP="00D80606">
            <w:pPr>
              <w:ind w:left="0" w:right="25"/>
              <w:jc w:val="left"/>
              <w:rPr>
                <w:rFonts w:asciiTheme="minorHAnsi" w:hAnsiTheme="minorHAnsi"/>
                <w:sz w:val="24"/>
                <w:szCs w:val="24"/>
              </w:rPr>
            </w:pPr>
            <w:r w:rsidRPr="00D80606">
              <w:rPr>
                <w:rFonts w:asciiTheme="minorHAnsi" w:hAnsiTheme="minorHAnsi"/>
                <w:sz w:val="24"/>
                <w:szCs w:val="24"/>
              </w:rPr>
              <w:t xml:space="preserve">Projektowanie działań w ramach tego celu szczegółowego powinno uwzględniać w szczególności następujące kwestie: zmniejszenie zapotrzebowania na transport, zmniejszenie lub optymalizacja przepływów transportowych, </w:t>
            </w:r>
            <w:r w:rsidRPr="00D80606">
              <w:rPr>
                <w:rFonts w:asciiTheme="minorHAnsi" w:hAnsiTheme="minorHAnsi"/>
                <w:sz w:val="24"/>
                <w:szCs w:val="24"/>
              </w:rPr>
              <w:lastRenderedPageBreak/>
              <w:t>promowanie systemów transportowych o najniższej emisyjności; oraz zmniejszenie wpływu systemów transportowych na zanieczyszczenie powietrza i hałas, zdrowie publiczne i dziedzictwo kulturowe.</w:t>
            </w:r>
          </w:p>
          <w:p w14:paraId="3C844039" w14:textId="77777777" w:rsidR="006B1275" w:rsidRPr="00D80606" w:rsidRDefault="006B1275" w:rsidP="00D80606">
            <w:pPr>
              <w:ind w:left="0"/>
              <w:jc w:val="left"/>
              <w:rPr>
                <w:rFonts w:asciiTheme="minorHAnsi" w:hAnsiTheme="minorHAnsi"/>
                <w:color w:val="000000"/>
                <w:sz w:val="24"/>
                <w:szCs w:val="24"/>
              </w:rPr>
            </w:pPr>
          </w:p>
          <w:p w14:paraId="38A092CA" w14:textId="77777777" w:rsidR="006B1275" w:rsidRPr="00D80606" w:rsidRDefault="006B1275" w:rsidP="00D80606">
            <w:pPr>
              <w:ind w:left="0" w:right="25"/>
              <w:jc w:val="left"/>
              <w:rPr>
                <w:rFonts w:asciiTheme="minorHAnsi" w:hAnsiTheme="minorHAnsi"/>
                <w:b/>
                <w:sz w:val="24"/>
                <w:szCs w:val="24"/>
              </w:rPr>
            </w:pPr>
            <w:r w:rsidRPr="00D80606">
              <w:rPr>
                <w:rFonts w:asciiTheme="minorHAnsi" w:hAnsiTheme="minorHAnsi"/>
                <w:b/>
                <w:sz w:val="24"/>
                <w:szCs w:val="24"/>
              </w:rPr>
              <w:t xml:space="preserve">Planowane wyniki </w:t>
            </w:r>
          </w:p>
          <w:p w14:paraId="032C1F2F" w14:textId="77777777" w:rsidR="006B1275" w:rsidRPr="008727F2" w:rsidRDefault="006B1275" w:rsidP="00D80606">
            <w:pPr>
              <w:ind w:left="0" w:right="25"/>
              <w:jc w:val="left"/>
              <w:rPr>
                <w:rFonts w:asciiTheme="minorHAnsi" w:hAnsiTheme="minorHAnsi"/>
                <w:i/>
                <w:color w:val="000000"/>
              </w:rPr>
            </w:pPr>
            <w:r w:rsidRPr="00D80606">
              <w:rPr>
                <w:rFonts w:asciiTheme="minorHAnsi" w:hAnsiTheme="minorHAnsi"/>
                <w:sz w:val="24"/>
                <w:szCs w:val="24"/>
              </w:rPr>
              <w:t>Wynikiem działań w ramach współpracy transnarodowej będzie poprawa zdolności i uczenie się w zakresie polityk na wszystkich poziomach zarządzania w celu wdrożenia multimodalnej mobilności zgodnej z zasadami zrównoważonego rozwoju w funkcjonalnych obszarach miejskich. Doprowadzi to do powstania bardziej ekologicznych usług w zakresie mobilności miejskiej, zmiany zachowań i przyczyni się do znacznego ograniczenia zanieczyszczeń związanych z transportem oraz do redukcji emisji gazów cieplarnianych. Mniej zatłoczone miasta Europy Środkowej przyniosą korzyści gospodarcze i stworzą przestrzeń publiczną, która z kolei przyczyni się do zapewnienia wyższej jakości życia obywatelom. Ponadto wspierane działania odblokują środki finansowe na zwiększenie skali opracowanych rozwiązań i pomogą we wdrażaniu innowacyjnych i ekologicznych technologii mobilności miejskiej na szerszym poziomie terytorialnym.</w:t>
            </w:r>
          </w:p>
        </w:tc>
      </w:tr>
    </w:tbl>
    <w:p w14:paraId="139B9249" w14:textId="77777777" w:rsidR="006B1275" w:rsidRPr="00680741" w:rsidRDefault="006B1275" w:rsidP="006B1275">
      <w:pPr>
        <w:rPr>
          <w:rFonts w:asciiTheme="minorHAnsi" w:hAnsiTheme="minorHAnsi"/>
          <w:i/>
          <w:color w:val="000000"/>
        </w:rPr>
      </w:pPr>
    </w:p>
    <w:p w14:paraId="5247AD8B" w14:textId="77777777" w:rsidR="006B1275" w:rsidRPr="00D80606" w:rsidRDefault="006B1275" w:rsidP="006B1275">
      <w:pPr>
        <w:spacing w:before="240" w:after="240" w:line="240" w:lineRule="auto"/>
        <w:ind w:left="0"/>
        <w:rPr>
          <w:rFonts w:asciiTheme="minorHAnsi" w:hAnsiTheme="minorHAnsi"/>
          <w:b/>
          <w:sz w:val="24"/>
          <w:szCs w:val="24"/>
        </w:rPr>
      </w:pPr>
      <w:r w:rsidRPr="00D80606">
        <w:rPr>
          <w:rFonts w:asciiTheme="minorHAnsi" w:hAnsiTheme="minorHAnsi"/>
          <w:b/>
          <w:sz w:val="24"/>
          <w:szCs w:val="24"/>
        </w:rPr>
        <w:t>Dla programów INTERACT i ESPON:</w:t>
      </w:r>
    </w:p>
    <w:p w14:paraId="22D9A216" w14:textId="77777777" w:rsidR="006B1275" w:rsidRPr="00D80606" w:rsidRDefault="006B1275" w:rsidP="006B1275">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9 lit. c punkt i</w:t>
      </w:r>
    </w:p>
    <w:p w14:paraId="122BF1BF" w14:textId="77777777" w:rsidR="006B1275" w:rsidRPr="00D80606" w:rsidRDefault="006B1275" w:rsidP="006B1275">
      <w:pPr>
        <w:spacing w:before="240" w:after="240" w:line="240" w:lineRule="auto"/>
        <w:ind w:left="0"/>
        <w:rPr>
          <w:rFonts w:asciiTheme="minorHAnsi" w:hAnsiTheme="minorHAnsi"/>
          <w:color w:val="000000"/>
          <w:szCs w:val="24"/>
        </w:rPr>
      </w:pPr>
      <w:r w:rsidRPr="00D80606">
        <w:rPr>
          <w:rFonts w:asciiTheme="minorHAnsi" w:hAnsiTheme="minorHAnsi"/>
          <w:color w:val="000000"/>
        </w:rPr>
        <w:t>Definicja pojedynczego beneficjenta lub zamkniętej listy beneficjentów i procedura przyznawania środków finansowych.</w:t>
      </w:r>
    </w:p>
    <w:p w14:paraId="3AE5F85D" w14:textId="77777777" w:rsidR="006B1275" w:rsidRPr="00D80606" w:rsidRDefault="006B1275" w:rsidP="006B1275">
      <w:pPr>
        <w:spacing w:before="240" w:after="240" w:line="240" w:lineRule="auto"/>
        <w:ind w:left="0"/>
        <w:rPr>
          <w:rFonts w:asciiTheme="minorHAnsi" w:hAnsiTheme="minorHAnsi"/>
          <w:color w:val="000000"/>
          <w:szCs w:val="24"/>
        </w:rPr>
      </w:pPr>
      <w:r w:rsidRPr="00D80606">
        <w:rPr>
          <w:rFonts w:asciiTheme="minorHAnsi" w:hAnsiTheme="minorHAnsi"/>
          <w:color w:val="000000"/>
        </w:rPr>
        <w:t>Pole tekstowe [7000]</w:t>
      </w:r>
    </w:p>
    <w:p w14:paraId="2375E8AB" w14:textId="77777777" w:rsidR="006B1275" w:rsidRPr="00D80606" w:rsidRDefault="006B1275" w:rsidP="00D80606">
      <w:pPr>
        <w:pBdr>
          <w:top w:val="single" w:sz="4" w:space="1" w:color="000000"/>
          <w:left w:val="single" w:sz="4" w:space="4" w:color="000000"/>
          <w:bottom w:val="single" w:sz="4" w:space="1" w:color="000000"/>
          <w:right w:val="single" w:sz="4" w:space="4" w:color="000000"/>
        </w:pBdr>
        <w:ind w:left="142"/>
        <w:jc w:val="left"/>
        <w:rPr>
          <w:rFonts w:asciiTheme="minorHAnsi" w:hAnsiTheme="minorHAnsi"/>
          <w:color w:val="000000"/>
          <w:sz w:val="24"/>
          <w:szCs w:val="24"/>
        </w:rPr>
      </w:pPr>
      <w:r w:rsidRPr="00D80606">
        <w:rPr>
          <w:rFonts w:asciiTheme="minorHAnsi" w:hAnsiTheme="minorHAnsi"/>
          <w:color w:val="000000"/>
          <w:sz w:val="24"/>
          <w:szCs w:val="24"/>
        </w:rPr>
        <w:t>Nie dotyczy.</w:t>
      </w:r>
    </w:p>
    <w:p w14:paraId="7D6BBCA3" w14:textId="4EDB3CA2" w:rsidR="006B1275" w:rsidRPr="008727F2" w:rsidRDefault="006B1275" w:rsidP="006B1275">
      <w:pPr>
        <w:spacing w:before="240" w:after="240" w:line="240" w:lineRule="auto"/>
        <w:ind w:left="709" w:hanging="709"/>
        <w:rPr>
          <w:rFonts w:asciiTheme="minorHAnsi" w:hAnsiTheme="minorHAnsi"/>
          <w:b/>
          <w:sz w:val="24"/>
          <w:szCs w:val="24"/>
        </w:rPr>
      </w:pPr>
      <w:r>
        <w:rPr>
          <w:rFonts w:asciiTheme="minorHAnsi" w:hAnsiTheme="minorHAnsi"/>
          <w:b/>
          <w:sz w:val="24"/>
        </w:rPr>
        <w:t>2.2.5.2</w:t>
      </w:r>
      <w:r>
        <w:rPr>
          <w:rFonts w:asciiTheme="minorHAnsi" w:hAnsiTheme="minorHAnsi"/>
          <w:b/>
          <w:sz w:val="24"/>
        </w:rPr>
        <w:tab/>
        <w:t>Wskaźniki</w:t>
      </w:r>
    </w:p>
    <w:p w14:paraId="2930B539" w14:textId="77777777" w:rsidR="006B1275" w:rsidRPr="00D80606" w:rsidRDefault="006B1275" w:rsidP="006B1275">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ii, art. 17 ust. 9 lit. c punkt iii</w:t>
      </w:r>
    </w:p>
    <w:p w14:paraId="4CA516DC" w14:textId="77777777" w:rsidR="006B1275" w:rsidRPr="009A0D85" w:rsidRDefault="006B1275" w:rsidP="006B1275">
      <w:pPr>
        <w:spacing w:before="240" w:after="240" w:line="240" w:lineRule="auto"/>
        <w:ind w:left="0"/>
        <w:rPr>
          <w:rFonts w:asciiTheme="minorHAnsi" w:hAnsiTheme="minorHAnsi"/>
          <w:szCs w:val="24"/>
        </w:rPr>
      </w:pPr>
      <w:r>
        <w:rPr>
          <w:rFonts w:asciiTheme="minorHAnsi" w:hAnsiTheme="minorHAnsi"/>
        </w:rPr>
        <w:t>Tabela 2: Wskaźniki produktów</w:t>
      </w:r>
    </w:p>
    <w:tbl>
      <w:tblPr>
        <w:tblStyle w:val="18"/>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4"/>
        <w:gridCol w:w="1331"/>
        <w:gridCol w:w="1418"/>
        <w:gridCol w:w="2202"/>
        <w:gridCol w:w="1688"/>
        <w:gridCol w:w="1018"/>
        <w:gridCol w:w="1075"/>
      </w:tblGrid>
      <w:tr w:rsidR="006B1275" w:rsidRPr="008727F2" w14:paraId="5504DD26" w14:textId="77777777" w:rsidTr="000C3525">
        <w:trPr>
          <w:trHeight w:val="836"/>
          <w:tblHeader/>
        </w:trPr>
        <w:tc>
          <w:tcPr>
            <w:tcW w:w="398" w:type="pct"/>
          </w:tcPr>
          <w:p w14:paraId="746AD6E0"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Priorytet </w:t>
            </w:r>
          </w:p>
        </w:tc>
        <w:tc>
          <w:tcPr>
            <w:tcW w:w="467" w:type="pct"/>
          </w:tcPr>
          <w:p w14:paraId="41C2513A"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szczegółowy</w:t>
            </w:r>
          </w:p>
        </w:tc>
        <w:tc>
          <w:tcPr>
            <w:tcW w:w="534" w:type="pct"/>
          </w:tcPr>
          <w:p w14:paraId="56B2EFAB"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IDENTYFIKATOR</w:t>
            </w:r>
          </w:p>
          <w:p w14:paraId="29A1458B"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[5]</w:t>
            </w:r>
          </w:p>
        </w:tc>
        <w:tc>
          <w:tcPr>
            <w:tcW w:w="1267" w:type="pct"/>
            <w:shd w:val="clear" w:color="auto" w:fill="auto"/>
          </w:tcPr>
          <w:p w14:paraId="2AF5B7D8"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Wskaźnik </w:t>
            </w:r>
          </w:p>
        </w:tc>
        <w:tc>
          <w:tcPr>
            <w:tcW w:w="1000" w:type="pct"/>
          </w:tcPr>
          <w:p w14:paraId="2F9AA4D9"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Jednostka miary</w:t>
            </w:r>
          </w:p>
          <w:p w14:paraId="5AB2E854"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[255]</w:t>
            </w:r>
          </w:p>
        </w:tc>
        <w:tc>
          <w:tcPr>
            <w:tcW w:w="652" w:type="pct"/>
            <w:shd w:val="clear" w:color="auto" w:fill="auto"/>
          </w:tcPr>
          <w:p w14:paraId="1C87D401"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Kamień milowy (2024)</w:t>
            </w:r>
          </w:p>
          <w:p w14:paraId="21DCFD03"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[200]</w:t>
            </w:r>
          </w:p>
        </w:tc>
        <w:tc>
          <w:tcPr>
            <w:tcW w:w="682" w:type="pct"/>
            <w:shd w:val="clear" w:color="auto" w:fill="auto"/>
          </w:tcPr>
          <w:p w14:paraId="35E31CFB" w14:textId="77777777" w:rsidR="006B1275" w:rsidRPr="00570B26" w:rsidRDefault="006B1275" w:rsidP="00623082">
            <w:pPr>
              <w:pBdr>
                <w:top w:val="nil"/>
                <w:left w:val="nil"/>
                <w:bottom w:val="nil"/>
                <w:right w:val="nil"/>
                <w:between w:val="nil"/>
              </w:pBdr>
              <w:spacing w:after="120" w:line="240" w:lineRule="auto"/>
              <w:ind w:left="0" w:right="0"/>
              <w:jc w:val="left"/>
              <w:rPr>
                <w:rFonts w:asciiTheme="minorHAnsi" w:hAnsiTheme="minorHAnsi"/>
                <w:b/>
                <w:color w:val="000000"/>
                <w:sz w:val="16"/>
                <w:szCs w:val="16"/>
              </w:rPr>
            </w:pPr>
            <w:r>
              <w:rPr>
                <w:rFonts w:asciiTheme="minorHAnsi" w:hAnsiTheme="minorHAnsi"/>
                <w:b/>
                <w:color w:val="000000"/>
                <w:sz w:val="16"/>
              </w:rPr>
              <w:t>Cel końcowy (2029)</w:t>
            </w:r>
          </w:p>
          <w:p w14:paraId="64DB8832"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[200]</w:t>
            </w:r>
          </w:p>
        </w:tc>
      </w:tr>
      <w:tr w:rsidR="006B1275" w:rsidRPr="001B3725" w14:paraId="532B63C7" w14:textId="77777777" w:rsidTr="000C3525">
        <w:trPr>
          <w:trHeight w:val="579"/>
        </w:trPr>
        <w:tc>
          <w:tcPr>
            <w:tcW w:w="398" w:type="pct"/>
          </w:tcPr>
          <w:p w14:paraId="36A4E5BA" w14:textId="04FE3E5C" w:rsidR="006B1275" w:rsidRPr="001B3B78" w:rsidRDefault="00623082" w:rsidP="00216EF9">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467" w:type="pct"/>
          </w:tcPr>
          <w:p w14:paraId="6F0DF220" w14:textId="1C296895" w:rsidR="006B1275" w:rsidRPr="001B3B78" w:rsidRDefault="006B1275" w:rsidP="00623082">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2.5</w:t>
            </w:r>
          </w:p>
        </w:tc>
        <w:tc>
          <w:tcPr>
            <w:tcW w:w="534" w:type="pct"/>
          </w:tcPr>
          <w:p w14:paraId="050EA280" w14:textId="77777777" w:rsidR="006B1275" w:rsidRPr="001B3B78" w:rsidRDefault="006B1275" w:rsidP="00216EF9">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83 RCO</w:t>
            </w:r>
          </w:p>
        </w:tc>
        <w:tc>
          <w:tcPr>
            <w:tcW w:w="1267" w:type="pct"/>
            <w:shd w:val="clear" w:color="auto" w:fill="auto"/>
          </w:tcPr>
          <w:p w14:paraId="1D7CB922" w14:textId="77777777" w:rsidR="006B1275" w:rsidRPr="009B1281" w:rsidRDefault="006B1275" w:rsidP="00216EF9">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Wspólnie opracowane strategie i plany działania</w:t>
            </w:r>
          </w:p>
        </w:tc>
        <w:tc>
          <w:tcPr>
            <w:tcW w:w="1000" w:type="pct"/>
          </w:tcPr>
          <w:p w14:paraId="54D6FC68" w14:textId="77777777" w:rsidR="006B1275" w:rsidRPr="001B3B78" w:rsidRDefault="006B1275" w:rsidP="00216EF9">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Strategia/plan działania</w:t>
            </w:r>
          </w:p>
        </w:tc>
        <w:tc>
          <w:tcPr>
            <w:tcW w:w="652" w:type="pct"/>
            <w:shd w:val="clear" w:color="auto" w:fill="auto"/>
          </w:tcPr>
          <w:p w14:paraId="569DFE51" w14:textId="77777777" w:rsidR="006B1275" w:rsidRPr="001B3B78" w:rsidRDefault="006B1275" w:rsidP="00216EF9">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06324FC8" w14:textId="77777777" w:rsidR="006B1275" w:rsidRPr="001B3B78" w:rsidRDefault="006B1275" w:rsidP="00216EF9">
            <w:pPr>
              <w:pBdr>
                <w:top w:val="nil"/>
                <w:left w:val="nil"/>
                <w:bottom w:val="nil"/>
                <w:right w:val="nil"/>
                <w:between w:val="nil"/>
              </w:pBdr>
              <w:spacing w:after="120" w:line="240" w:lineRule="auto"/>
              <w:ind w:left="0" w:right="0"/>
              <w:rPr>
                <w:rFonts w:asciiTheme="minorHAnsi" w:hAnsiTheme="minorHAnsi"/>
                <w:color w:val="000000"/>
              </w:rPr>
            </w:pPr>
          </w:p>
        </w:tc>
      </w:tr>
      <w:tr w:rsidR="006B1275" w:rsidRPr="008727F2" w14:paraId="6F06D273" w14:textId="77777777" w:rsidTr="000C3525">
        <w:trPr>
          <w:trHeight w:val="579"/>
        </w:trPr>
        <w:tc>
          <w:tcPr>
            <w:tcW w:w="398" w:type="pct"/>
          </w:tcPr>
          <w:p w14:paraId="429FA501" w14:textId="0C5AF9CD" w:rsidR="006B1275" w:rsidRPr="001B3B78" w:rsidRDefault="00623082" w:rsidP="00216EF9">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467" w:type="pct"/>
          </w:tcPr>
          <w:p w14:paraId="0189FDCB" w14:textId="18B17E37" w:rsidR="006B1275" w:rsidRPr="001B3B78" w:rsidRDefault="006B1275" w:rsidP="00623082">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 xml:space="preserve">Cel szczegółowy </w:t>
            </w:r>
            <w:r>
              <w:rPr>
                <w:rFonts w:asciiTheme="minorHAnsi" w:hAnsiTheme="minorHAnsi"/>
                <w:color w:val="000000"/>
              </w:rPr>
              <w:lastRenderedPageBreak/>
              <w:t>2.5</w:t>
            </w:r>
          </w:p>
        </w:tc>
        <w:tc>
          <w:tcPr>
            <w:tcW w:w="534" w:type="pct"/>
          </w:tcPr>
          <w:p w14:paraId="25DA13D6" w14:textId="77777777" w:rsidR="006B1275" w:rsidRPr="001B3B78" w:rsidRDefault="006B1275" w:rsidP="00216EF9">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lastRenderedPageBreak/>
              <w:t>84 RCO</w:t>
            </w:r>
          </w:p>
        </w:tc>
        <w:tc>
          <w:tcPr>
            <w:tcW w:w="1267" w:type="pct"/>
            <w:shd w:val="clear" w:color="auto" w:fill="auto"/>
          </w:tcPr>
          <w:p w14:paraId="3A37D056" w14:textId="77777777" w:rsidR="006B1275" w:rsidRPr="009B1281" w:rsidRDefault="006B1275" w:rsidP="00216EF9">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 xml:space="preserve">Działania pilotażowe opracowane wspólnie </w:t>
            </w:r>
            <w:r>
              <w:rPr>
                <w:rFonts w:asciiTheme="minorHAnsi" w:hAnsiTheme="minorHAnsi"/>
                <w:color w:val="000000"/>
              </w:rPr>
              <w:lastRenderedPageBreak/>
              <w:t>i realizowane w ramach projektów</w:t>
            </w:r>
          </w:p>
        </w:tc>
        <w:tc>
          <w:tcPr>
            <w:tcW w:w="1000" w:type="pct"/>
          </w:tcPr>
          <w:p w14:paraId="0A403F30" w14:textId="77777777" w:rsidR="006B1275" w:rsidRPr="001B3B78" w:rsidRDefault="006B1275" w:rsidP="00216EF9">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lastRenderedPageBreak/>
              <w:t>Działanie pilotażowe</w:t>
            </w:r>
          </w:p>
        </w:tc>
        <w:tc>
          <w:tcPr>
            <w:tcW w:w="652" w:type="pct"/>
            <w:shd w:val="clear" w:color="auto" w:fill="auto"/>
          </w:tcPr>
          <w:p w14:paraId="5DC4B840" w14:textId="77777777" w:rsidR="006B1275" w:rsidRPr="001B3B78" w:rsidRDefault="006B1275" w:rsidP="00216EF9">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5EDD68B5" w14:textId="77777777" w:rsidR="006B1275" w:rsidRPr="001B3B78" w:rsidRDefault="006B1275" w:rsidP="00216EF9">
            <w:pPr>
              <w:pBdr>
                <w:top w:val="nil"/>
                <w:left w:val="nil"/>
                <w:bottom w:val="nil"/>
                <w:right w:val="nil"/>
                <w:between w:val="nil"/>
              </w:pBdr>
              <w:spacing w:after="120" w:line="240" w:lineRule="auto"/>
              <w:ind w:left="0" w:right="0"/>
              <w:rPr>
                <w:rFonts w:asciiTheme="minorHAnsi" w:hAnsiTheme="minorHAnsi"/>
                <w:color w:val="000000"/>
              </w:rPr>
            </w:pPr>
          </w:p>
        </w:tc>
      </w:tr>
      <w:tr w:rsidR="006B1275" w:rsidRPr="008727F2" w14:paraId="45E22A7B" w14:textId="77777777" w:rsidTr="000C3525">
        <w:trPr>
          <w:trHeight w:val="579"/>
        </w:trPr>
        <w:tc>
          <w:tcPr>
            <w:tcW w:w="398" w:type="pct"/>
          </w:tcPr>
          <w:p w14:paraId="73C478CA" w14:textId="0AB5B121" w:rsidR="006B1275" w:rsidRPr="001B3B78" w:rsidRDefault="00623082" w:rsidP="00216EF9">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lastRenderedPageBreak/>
              <w:t>2</w:t>
            </w:r>
          </w:p>
        </w:tc>
        <w:tc>
          <w:tcPr>
            <w:tcW w:w="467" w:type="pct"/>
          </w:tcPr>
          <w:p w14:paraId="535AD6B1" w14:textId="43418920" w:rsidR="006B1275" w:rsidRPr="001B3B78" w:rsidRDefault="006B1275" w:rsidP="00623082">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2.5</w:t>
            </w:r>
          </w:p>
        </w:tc>
        <w:tc>
          <w:tcPr>
            <w:tcW w:w="534" w:type="pct"/>
          </w:tcPr>
          <w:p w14:paraId="5EEB2123" w14:textId="77777777" w:rsidR="006B1275" w:rsidRDefault="006B1275" w:rsidP="00216EF9">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87 RCO</w:t>
            </w:r>
          </w:p>
        </w:tc>
        <w:tc>
          <w:tcPr>
            <w:tcW w:w="1267" w:type="pct"/>
            <w:shd w:val="clear" w:color="auto" w:fill="auto"/>
          </w:tcPr>
          <w:p w14:paraId="7D631793" w14:textId="77777777" w:rsidR="006B1275" w:rsidRPr="001B3B78" w:rsidRDefault="006B1275" w:rsidP="00216EF9">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Organizacje współpracujące ponad granicami</w:t>
            </w:r>
          </w:p>
        </w:tc>
        <w:tc>
          <w:tcPr>
            <w:tcW w:w="1000" w:type="pct"/>
          </w:tcPr>
          <w:p w14:paraId="5D8C56C4" w14:textId="77777777" w:rsidR="006B1275" w:rsidRPr="001B3B78" w:rsidRDefault="006B1275" w:rsidP="00216EF9">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Organizacja</w:t>
            </w:r>
          </w:p>
        </w:tc>
        <w:tc>
          <w:tcPr>
            <w:tcW w:w="652" w:type="pct"/>
            <w:shd w:val="clear" w:color="auto" w:fill="auto"/>
          </w:tcPr>
          <w:p w14:paraId="6BE97A7D" w14:textId="77777777" w:rsidR="006B1275" w:rsidRPr="001B3B78" w:rsidRDefault="006B1275" w:rsidP="00216EF9">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770CECB7" w14:textId="77777777" w:rsidR="006B1275" w:rsidRPr="001B3B78" w:rsidRDefault="006B1275" w:rsidP="00216EF9">
            <w:pPr>
              <w:pBdr>
                <w:top w:val="nil"/>
                <w:left w:val="nil"/>
                <w:bottom w:val="nil"/>
                <w:right w:val="nil"/>
                <w:between w:val="nil"/>
              </w:pBdr>
              <w:spacing w:after="120" w:line="240" w:lineRule="auto"/>
              <w:ind w:left="0" w:right="0"/>
              <w:rPr>
                <w:rFonts w:asciiTheme="minorHAnsi" w:hAnsiTheme="minorHAnsi"/>
                <w:color w:val="000000"/>
              </w:rPr>
            </w:pPr>
          </w:p>
        </w:tc>
      </w:tr>
      <w:tr w:rsidR="006B1275" w:rsidRPr="008727F2" w14:paraId="1D363A8E" w14:textId="77777777" w:rsidTr="000C3525">
        <w:trPr>
          <w:trHeight w:val="579"/>
        </w:trPr>
        <w:tc>
          <w:tcPr>
            <w:tcW w:w="398" w:type="pct"/>
          </w:tcPr>
          <w:p w14:paraId="10849038" w14:textId="60073B95" w:rsidR="006B1275" w:rsidRPr="001B3B78" w:rsidRDefault="00623082" w:rsidP="00216EF9">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467" w:type="pct"/>
          </w:tcPr>
          <w:p w14:paraId="489D7E86" w14:textId="279849A8" w:rsidR="006B1275" w:rsidRPr="001B3B78" w:rsidRDefault="006B1275" w:rsidP="00623082">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2.5</w:t>
            </w:r>
          </w:p>
        </w:tc>
        <w:tc>
          <w:tcPr>
            <w:tcW w:w="534" w:type="pct"/>
          </w:tcPr>
          <w:p w14:paraId="5D0BADC6" w14:textId="77777777" w:rsidR="006B1275" w:rsidRDefault="006B1275" w:rsidP="00216EF9">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116 RCO</w:t>
            </w:r>
          </w:p>
        </w:tc>
        <w:tc>
          <w:tcPr>
            <w:tcW w:w="1267" w:type="pct"/>
            <w:shd w:val="clear" w:color="auto" w:fill="auto"/>
          </w:tcPr>
          <w:p w14:paraId="24166FA1" w14:textId="77777777" w:rsidR="006B1275" w:rsidRPr="001B3B78" w:rsidRDefault="006B1275" w:rsidP="00216EF9">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Wspólnie opracowane rozwiązania</w:t>
            </w:r>
          </w:p>
        </w:tc>
        <w:tc>
          <w:tcPr>
            <w:tcW w:w="1000" w:type="pct"/>
          </w:tcPr>
          <w:p w14:paraId="0BC54025" w14:textId="77777777" w:rsidR="006B1275" w:rsidRPr="001B3B78" w:rsidRDefault="006B1275" w:rsidP="00216EF9">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Rozwiązanie</w:t>
            </w:r>
          </w:p>
        </w:tc>
        <w:tc>
          <w:tcPr>
            <w:tcW w:w="652" w:type="pct"/>
            <w:shd w:val="clear" w:color="auto" w:fill="auto"/>
          </w:tcPr>
          <w:p w14:paraId="293A77F3" w14:textId="77777777" w:rsidR="006B1275" w:rsidRPr="001B3B78" w:rsidRDefault="006B1275" w:rsidP="00216EF9">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43187B12" w14:textId="77777777" w:rsidR="006B1275" w:rsidRPr="001B3B78" w:rsidRDefault="006B1275" w:rsidP="00216EF9">
            <w:pPr>
              <w:pBdr>
                <w:top w:val="nil"/>
                <w:left w:val="nil"/>
                <w:bottom w:val="nil"/>
                <w:right w:val="nil"/>
                <w:between w:val="nil"/>
              </w:pBdr>
              <w:spacing w:after="120" w:line="240" w:lineRule="auto"/>
              <w:ind w:left="0" w:right="0"/>
              <w:rPr>
                <w:rFonts w:asciiTheme="minorHAnsi" w:hAnsiTheme="minorHAnsi"/>
                <w:color w:val="000000"/>
              </w:rPr>
            </w:pPr>
          </w:p>
        </w:tc>
      </w:tr>
      <w:tr w:rsidR="006B1275" w:rsidRPr="008727F2" w14:paraId="66FB14BA" w14:textId="77777777" w:rsidTr="000C3525">
        <w:trPr>
          <w:trHeight w:val="579"/>
        </w:trPr>
        <w:tc>
          <w:tcPr>
            <w:tcW w:w="398" w:type="pct"/>
          </w:tcPr>
          <w:p w14:paraId="44712B55" w14:textId="4DBAFE5C" w:rsidR="006B1275" w:rsidRPr="004854D7" w:rsidRDefault="00623082" w:rsidP="00216EF9">
            <w:pPr>
              <w:pBdr>
                <w:top w:val="nil"/>
                <w:left w:val="nil"/>
                <w:bottom w:val="nil"/>
                <w:right w:val="nil"/>
                <w:between w:val="nil"/>
              </w:pBdr>
              <w:spacing w:after="120" w:line="240" w:lineRule="auto"/>
              <w:ind w:left="0" w:right="0"/>
              <w:jc w:val="center"/>
              <w:rPr>
                <w:rFonts w:asciiTheme="minorHAnsi" w:hAnsiTheme="minorHAnsi"/>
                <w:color w:val="000000"/>
                <w:highlight w:val="yellow"/>
              </w:rPr>
            </w:pPr>
            <w:r>
              <w:rPr>
                <w:rFonts w:asciiTheme="minorHAnsi" w:hAnsiTheme="minorHAnsi"/>
                <w:color w:val="000000"/>
              </w:rPr>
              <w:t>2</w:t>
            </w:r>
          </w:p>
        </w:tc>
        <w:tc>
          <w:tcPr>
            <w:tcW w:w="467" w:type="pct"/>
          </w:tcPr>
          <w:p w14:paraId="44983C3D" w14:textId="2110FC75" w:rsidR="006B1275" w:rsidRPr="004854D7" w:rsidRDefault="006B1275" w:rsidP="00623082">
            <w:pPr>
              <w:pBdr>
                <w:top w:val="nil"/>
                <w:left w:val="nil"/>
                <w:bottom w:val="nil"/>
                <w:right w:val="nil"/>
                <w:between w:val="nil"/>
              </w:pBdr>
              <w:spacing w:after="120" w:line="240" w:lineRule="auto"/>
              <w:ind w:left="0" w:right="0"/>
              <w:rPr>
                <w:rFonts w:asciiTheme="minorHAnsi" w:hAnsiTheme="minorHAnsi"/>
                <w:color w:val="000000"/>
                <w:highlight w:val="yellow"/>
              </w:rPr>
            </w:pPr>
            <w:r>
              <w:rPr>
                <w:rFonts w:asciiTheme="minorHAnsi" w:hAnsiTheme="minorHAnsi"/>
                <w:color w:val="000000"/>
              </w:rPr>
              <w:t>Cel szczegółowy 2.5</w:t>
            </w:r>
          </w:p>
        </w:tc>
        <w:tc>
          <w:tcPr>
            <w:tcW w:w="534" w:type="pct"/>
          </w:tcPr>
          <w:p w14:paraId="1F4BBA44" w14:textId="77777777" w:rsidR="006B1275" w:rsidRPr="00D22A6D" w:rsidRDefault="006B1275" w:rsidP="00216EF9">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119 RCO</w:t>
            </w:r>
          </w:p>
        </w:tc>
        <w:tc>
          <w:tcPr>
            <w:tcW w:w="1267" w:type="pct"/>
            <w:shd w:val="clear" w:color="auto" w:fill="auto"/>
          </w:tcPr>
          <w:p w14:paraId="37358ED5" w14:textId="77777777" w:rsidR="006B1275" w:rsidRPr="009B1281" w:rsidRDefault="006B1275" w:rsidP="00216EF9">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Projekty wspierające współpracę transgraniczną w celu rozwijania powiązań między obszarami miejskimi i wiejskimi</w:t>
            </w:r>
          </w:p>
        </w:tc>
        <w:tc>
          <w:tcPr>
            <w:tcW w:w="1000" w:type="pct"/>
          </w:tcPr>
          <w:p w14:paraId="1CB549D6" w14:textId="77777777" w:rsidR="006B1275" w:rsidRPr="00D22A6D" w:rsidRDefault="006B1275" w:rsidP="00216EF9">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Projekt</w:t>
            </w:r>
          </w:p>
        </w:tc>
        <w:tc>
          <w:tcPr>
            <w:tcW w:w="652" w:type="pct"/>
            <w:shd w:val="clear" w:color="auto" w:fill="auto"/>
          </w:tcPr>
          <w:p w14:paraId="71DE6304" w14:textId="77777777" w:rsidR="006B1275" w:rsidRPr="001B3B78" w:rsidRDefault="006B1275" w:rsidP="00216EF9">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7B898D35" w14:textId="77777777" w:rsidR="006B1275" w:rsidRPr="001B3B78" w:rsidRDefault="006B1275" w:rsidP="00216EF9">
            <w:pPr>
              <w:pBdr>
                <w:top w:val="nil"/>
                <w:left w:val="nil"/>
                <w:bottom w:val="nil"/>
                <w:right w:val="nil"/>
                <w:between w:val="nil"/>
              </w:pBdr>
              <w:spacing w:after="120" w:line="240" w:lineRule="auto"/>
              <w:ind w:left="0" w:right="0"/>
              <w:rPr>
                <w:rFonts w:asciiTheme="minorHAnsi" w:hAnsiTheme="minorHAnsi"/>
                <w:color w:val="000000"/>
              </w:rPr>
            </w:pPr>
          </w:p>
        </w:tc>
      </w:tr>
    </w:tbl>
    <w:p w14:paraId="495701C1" w14:textId="77777777" w:rsidR="006B1275" w:rsidRPr="009A0D85" w:rsidRDefault="006B1275" w:rsidP="006B1275">
      <w:pPr>
        <w:spacing w:before="240" w:after="240" w:line="240" w:lineRule="auto"/>
        <w:ind w:left="0"/>
        <w:rPr>
          <w:rFonts w:asciiTheme="minorHAnsi" w:hAnsiTheme="minorHAnsi"/>
          <w:szCs w:val="24"/>
        </w:rPr>
      </w:pPr>
      <w:r>
        <w:rPr>
          <w:rFonts w:asciiTheme="minorHAnsi" w:hAnsiTheme="minorHAnsi"/>
        </w:rPr>
        <w:t>Tabela 3: Wskaźniki wyników</w:t>
      </w:r>
    </w:p>
    <w:tbl>
      <w:tblPr>
        <w:tblStyle w:val="1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53"/>
        <w:gridCol w:w="1083"/>
        <w:gridCol w:w="1151"/>
        <w:gridCol w:w="1313"/>
        <w:gridCol w:w="1086"/>
        <w:gridCol w:w="777"/>
        <w:gridCol w:w="892"/>
        <w:gridCol w:w="738"/>
        <w:gridCol w:w="1266"/>
        <w:gridCol w:w="577"/>
      </w:tblGrid>
      <w:tr w:rsidR="006B1275" w:rsidRPr="008727F2" w14:paraId="37DB724C" w14:textId="77777777" w:rsidTr="000C3525">
        <w:trPr>
          <w:trHeight w:val="947"/>
        </w:trPr>
        <w:tc>
          <w:tcPr>
            <w:tcW w:w="398" w:type="pct"/>
          </w:tcPr>
          <w:p w14:paraId="29EB2F51"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Priorytet </w:t>
            </w:r>
          </w:p>
        </w:tc>
        <w:tc>
          <w:tcPr>
            <w:tcW w:w="428" w:type="pct"/>
          </w:tcPr>
          <w:p w14:paraId="3E8306F9"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szczegółowy</w:t>
            </w:r>
          </w:p>
        </w:tc>
        <w:tc>
          <w:tcPr>
            <w:tcW w:w="458" w:type="pct"/>
          </w:tcPr>
          <w:p w14:paraId="43AF6269"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IDENTYFIKATOR</w:t>
            </w:r>
          </w:p>
        </w:tc>
        <w:tc>
          <w:tcPr>
            <w:tcW w:w="815" w:type="pct"/>
            <w:shd w:val="clear" w:color="auto" w:fill="auto"/>
          </w:tcPr>
          <w:p w14:paraId="3A5F3BD3"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Wskaźnik </w:t>
            </w:r>
          </w:p>
        </w:tc>
        <w:tc>
          <w:tcPr>
            <w:tcW w:w="637" w:type="pct"/>
          </w:tcPr>
          <w:p w14:paraId="7286D3C8"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Jednostka miary</w:t>
            </w:r>
          </w:p>
        </w:tc>
        <w:tc>
          <w:tcPr>
            <w:tcW w:w="321" w:type="pct"/>
          </w:tcPr>
          <w:p w14:paraId="3977A075"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Podstawa</w:t>
            </w:r>
          </w:p>
        </w:tc>
        <w:tc>
          <w:tcPr>
            <w:tcW w:w="509" w:type="pct"/>
          </w:tcPr>
          <w:p w14:paraId="3D538BA2"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Rok odniesienia</w:t>
            </w:r>
          </w:p>
        </w:tc>
        <w:tc>
          <w:tcPr>
            <w:tcW w:w="382" w:type="pct"/>
            <w:shd w:val="clear" w:color="auto" w:fill="auto"/>
          </w:tcPr>
          <w:p w14:paraId="4920AB9B" w14:textId="77777777" w:rsidR="006B1275" w:rsidRPr="00570B26" w:rsidRDefault="006B1275" w:rsidP="00216EF9">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końcowy (2029)</w:t>
            </w:r>
          </w:p>
        </w:tc>
        <w:tc>
          <w:tcPr>
            <w:tcW w:w="569" w:type="pct"/>
            <w:shd w:val="clear" w:color="auto" w:fill="auto"/>
          </w:tcPr>
          <w:p w14:paraId="0564266A" w14:textId="77777777" w:rsidR="006B1275" w:rsidRPr="008503E7" w:rsidRDefault="006B1275" w:rsidP="00216EF9">
            <w:pPr>
              <w:pBdr>
                <w:top w:val="nil"/>
                <w:left w:val="nil"/>
                <w:bottom w:val="nil"/>
                <w:right w:val="nil"/>
                <w:between w:val="nil"/>
              </w:pBdr>
              <w:spacing w:after="120" w:line="240" w:lineRule="auto"/>
              <w:ind w:left="0" w:right="0"/>
              <w:jc w:val="center"/>
              <w:rPr>
                <w:rFonts w:asciiTheme="minorHAnsi" w:hAnsiTheme="minorHAnsi"/>
                <w:b/>
                <w:color w:val="000000"/>
                <w:sz w:val="16"/>
                <w:szCs w:val="16"/>
              </w:rPr>
            </w:pPr>
            <w:r>
              <w:rPr>
                <w:rFonts w:asciiTheme="minorHAnsi" w:hAnsiTheme="minorHAnsi"/>
                <w:b/>
                <w:color w:val="000000"/>
                <w:sz w:val="16"/>
              </w:rPr>
              <w:t>Źródło danych</w:t>
            </w:r>
          </w:p>
        </w:tc>
        <w:tc>
          <w:tcPr>
            <w:tcW w:w="483" w:type="pct"/>
          </w:tcPr>
          <w:p w14:paraId="6E226076" w14:textId="77777777" w:rsidR="006B1275" w:rsidRPr="00570B26" w:rsidRDefault="006B1275" w:rsidP="00216EF9">
            <w:pPr>
              <w:pBdr>
                <w:top w:val="nil"/>
                <w:left w:val="nil"/>
                <w:bottom w:val="nil"/>
                <w:right w:val="nil"/>
                <w:between w:val="nil"/>
              </w:pBdr>
              <w:spacing w:after="120" w:line="480" w:lineRule="auto"/>
              <w:ind w:left="0" w:right="0"/>
              <w:rPr>
                <w:rFonts w:asciiTheme="minorHAnsi" w:hAnsiTheme="minorHAnsi"/>
                <w:b/>
                <w:color w:val="000000"/>
                <w:sz w:val="16"/>
                <w:szCs w:val="16"/>
              </w:rPr>
            </w:pPr>
            <w:r>
              <w:rPr>
                <w:rFonts w:asciiTheme="minorHAnsi" w:hAnsiTheme="minorHAnsi"/>
                <w:b/>
                <w:color w:val="000000"/>
                <w:sz w:val="16"/>
              </w:rPr>
              <w:t>Uwagi</w:t>
            </w:r>
          </w:p>
        </w:tc>
      </w:tr>
      <w:tr w:rsidR="006B1275" w:rsidRPr="004854D7" w14:paraId="220A8EA6" w14:textId="77777777" w:rsidTr="000C3525">
        <w:trPr>
          <w:trHeight w:val="629"/>
        </w:trPr>
        <w:tc>
          <w:tcPr>
            <w:tcW w:w="398" w:type="pct"/>
          </w:tcPr>
          <w:p w14:paraId="78BCA8F2" w14:textId="5202B198" w:rsidR="006B1275" w:rsidRPr="004854D7" w:rsidRDefault="00623082" w:rsidP="00216EF9">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428" w:type="pct"/>
          </w:tcPr>
          <w:p w14:paraId="78AA35DC" w14:textId="4F8C417F" w:rsidR="006B1275" w:rsidRPr="004854D7" w:rsidRDefault="006B1275" w:rsidP="00623082">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2.5</w:t>
            </w:r>
          </w:p>
        </w:tc>
        <w:tc>
          <w:tcPr>
            <w:tcW w:w="458" w:type="pct"/>
          </w:tcPr>
          <w:p w14:paraId="34E13322" w14:textId="77777777" w:rsidR="006B1275" w:rsidRPr="004854D7" w:rsidRDefault="006B1275" w:rsidP="00216EF9">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79 RCR</w:t>
            </w:r>
          </w:p>
        </w:tc>
        <w:tc>
          <w:tcPr>
            <w:tcW w:w="815" w:type="pct"/>
            <w:shd w:val="clear" w:color="auto" w:fill="auto"/>
          </w:tcPr>
          <w:p w14:paraId="3E735CB8" w14:textId="77777777" w:rsidR="006B1275" w:rsidRPr="009B1281" w:rsidRDefault="006B1275" w:rsidP="00216EF9">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Wspólne strategie i plany działania podejmowane przez organizacje</w:t>
            </w:r>
          </w:p>
        </w:tc>
        <w:tc>
          <w:tcPr>
            <w:tcW w:w="637" w:type="pct"/>
          </w:tcPr>
          <w:p w14:paraId="6AB8CF9D" w14:textId="77777777" w:rsidR="006B1275" w:rsidRPr="004854D7" w:rsidRDefault="006B1275" w:rsidP="00216EF9">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Wspólna strategia / plan działania</w:t>
            </w:r>
          </w:p>
        </w:tc>
        <w:tc>
          <w:tcPr>
            <w:tcW w:w="321" w:type="pct"/>
          </w:tcPr>
          <w:p w14:paraId="4F01B2E5" w14:textId="77777777" w:rsidR="006B1275" w:rsidRPr="004854D7" w:rsidRDefault="006B1275" w:rsidP="00216EF9">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509" w:type="pct"/>
          </w:tcPr>
          <w:p w14:paraId="0F38D482" w14:textId="77777777" w:rsidR="006B1275" w:rsidRPr="004854D7" w:rsidRDefault="006B1275" w:rsidP="00216EF9">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382" w:type="pct"/>
            <w:shd w:val="clear" w:color="auto" w:fill="auto"/>
          </w:tcPr>
          <w:p w14:paraId="123D467D" w14:textId="77777777" w:rsidR="006B1275" w:rsidRPr="004854D7" w:rsidRDefault="006B1275" w:rsidP="00216EF9">
            <w:pPr>
              <w:pBdr>
                <w:top w:val="nil"/>
                <w:left w:val="nil"/>
                <w:bottom w:val="nil"/>
                <w:right w:val="nil"/>
                <w:between w:val="nil"/>
              </w:pBdr>
              <w:spacing w:after="120" w:line="240" w:lineRule="auto"/>
              <w:ind w:left="0" w:right="0"/>
              <w:jc w:val="center"/>
              <w:rPr>
                <w:rFonts w:asciiTheme="minorHAnsi" w:hAnsiTheme="minorHAnsi"/>
                <w:color w:val="000000"/>
              </w:rPr>
            </w:pPr>
          </w:p>
        </w:tc>
        <w:tc>
          <w:tcPr>
            <w:tcW w:w="569" w:type="pct"/>
            <w:shd w:val="clear" w:color="auto" w:fill="auto"/>
          </w:tcPr>
          <w:p w14:paraId="53C5D2EB" w14:textId="77777777" w:rsidR="006B1275" w:rsidRPr="004854D7" w:rsidRDefault="006B1275" w:rsidP="00216EF9">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System monitorowania programu</w:t>
            </w:r>
          </w:p>
        </w:tc>
        <w:tc>
          <w:tcPr>
            <w:tcW w:w="483" w:type="pct"/>
          </w:tcPr>
          <w:p w14:paraId="67397356" w14:textId="77777777" w:rsidR="006B1275" w:rsidRPr="004854D7" w:rsidRDefault="006B1275" w:rsidP="00216EF9">
            <w:pPr>
              <w:ind w:left="0" w:right="0"/>
              <w:rPr>
                <w:rFonts w:asciiTheme="minorHAnsi" w:hAnsiTheme="minorHAnsi"/>
                <w:color w:val="000000"/>
              </w:rPr>
            </w:pPr>
          </w:p>
        </w:tc>
      </w:tr>
      <w:tr w:rsidR="006B1275" w:rsidRPr="00D465BC" w14:paraId="652F331E" w14:textId="77777777" w:rsidTr="000C3525">
        <w:trPr>
          <w:trHeight w:val="629"/>
        </w:trPr>
        <w:tc>
          <w:tcPr>
            <w:tcW w:w="398" w:type="pct"/>
          </w:tcPr>
          <w:p w14:paraId="0A0F3912" w14:textId="213C3476" w:rsidR="006B1275" w:rsidRPr="00D465BC" w:rsidRDefault="00623082" w:rsidP="00216EF9">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428" w:type="pct"/>
          </w:tcPr>
          <w:p w14:paraId="050D14F3" w14:textId="40CA2E4E" w:rsidR="006B1275" w:rsidRPr="00D465BC" w:rsidRDefault="006B1275" w:rsidP="00623082">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2.5</w:t>
            </w:r>
          </w:p>
        </w:tc>
        <w:tc>
          <w:tcPr>
            <w:tcW w:w="458" w:type="pct"/>
          </w:tcPr>
          <w:p w14:paraId="61E96499" w14:textId="77777777" w:rsidR="006B1275" w:rsidRPr="00D465BC" w:rsidRDefault="006B1275" w:rsidP="00216EF9">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84 RCR</w:t>
            </w:r>
          </w:p>
        </w:tc>
        <w:tc>
          <w:tcPr>
            <w:tcW w:w="815" w:type="pct"/>
            <w:shd w:val="clear" w:color="auto" w:fill="auto"/>
          </w:tcPr>
          <w:p w14:paraId="51C535DF" w14:textId="77777777" w:rsidR="006B1275" w:rsidRPr="009B1281" w:rsidRDefault="006B1275" w:rsidP="00216EF9">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Organizacje współpracujące ponad granicami po zakończeniu projektu</w:t>
            </w:r>
          </w:p>
        </w:tc>
        <w:tc>
          <w:tcPr>
            <w:tcW w:w="637" w:type="pct"/>
          </w:tcPr>
          <w:p w14:paraId="15B08242" w14:textId="77777777" w:rsidR="006B1275" w:rsidRPr="00D465BC" w:rsidRDefault="006B1275" w:rsidP="00216EF9">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Organizacja</w:t>
            </w:r>
          </w:p>
        </w:tc>
        <w:tc>
          <w:tcPr>
            <w:tcW w:w="321" w:type="pct"/>
          </w:tcPr>
          <w:p w14:paraId="2F81D413" w14:textId="77777777" w:rsidR="006B1275" w:rsidRPr="00D465BC" w:rsidRDefault="006B1275" w:rsidP="00216EF9">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509" w:type="pct"/>
          </w:tcPr>
          <w:p w14:paraId="22B1BC4A" w14:textId="77777777" w:rsidR="006B1275" w:rsidRPr="00D465BC" w:rsidRDefault="006B1275" w:rsidP="00216EF9">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382" w:type="pct"/>
            <w:shd w:val="clear" w:color="auto" w:fill="auto"/>
          </w:tcPr>
          <w:p w14:paraId="17911F21" w14:textId="77777777" w:rsidR="006B1275" w:rsidRPr="00D465BC" w:rsidRDefault="006B1275" w:rsidP="00216EF9">
            <w:pPr>
              <w:pBdr>
                <w:top w:val="nil"/>
                <w:left w:val="nil"/>
                <w:bottom w:val="nil"/>
                <w:right w:val="nil"/>
                <w:between w:val="nil"/>
              </w:pBdr>
              <w:spacing w:after="120" w:line="240" w:lineRule="auto"/>
              <w:ind w:left="0" w:right="0"/>
              <w:jc w:val="center"/>
              <w:rPr>
                <w:rFonts w:asciiTheme="minorHAnsi" w:hAnsiTheme="minorHAnsi"/>
                <w:color w:val="000000"/>
              </w:rPr>
            </w:pPr>
          </w:p>
        </w:tc>
        <w:tc>
          <w:tcPr>
            <w:tcW w:w="569" w:type="pct"/>
            <w:shd w:val="clear" w:color="auto" w:fill="auto"/>
          </w:tcPr>
          <w:p w14:paraId="3563E9F7" w14:textId="77777777" w:rsidR="006B1275" w:rsidRPr="00D465BC" w:rsidRDefault="006B1275" w:rsidP="00216EF9">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System monitorowania programu</w:t>
            </w:r>
          </w:p>
        </w:tc>
        <w:tc>
          <w:tcPr>
            <w:tcW w:w="483" w:type="pct"/>
          </w:tcPr>
          <w:p w14:paraId="55136C51" w14:textId="77777777" w:rsidR="006B1275" w:rsidRPr="00D465BC" w:rsidRDefault="006B1275" w:rsidP="00216EF9">
            <w:pPr>
              <w:ind w:left="0" w:right="0"/>
              <w:rPr>
                <w:rFonts w:asciiTheme="minorHAnsi" w:hAnsiTheme="minorHAnsi"/>
                <w:color w:val="000000"/>
              </w:rPr>
            </w:pPr>
          </w:p>
        </w:tc>
      </w:tr>
      <w:tr w:rsidR="006B1275" w:rsidRPr="00D465BC" w14:paraId="5DE1FA91" w14:textId="77777777" w:rsidTr="000C3525">
        <w:trPr>
          <w:trHeight w:val="629"/>
        </w:trPr>
        <w:tc>
          <w:tcPr>
            <w:tcW w:w="398" w:type="pct"/>
          </w:tcPr>
          <w:p w14:paraId="5EC901FA" w14:textId="11F2FAF4" w:rsidR="006B1275" w:rsidRPr="00D465BC" w:rsidRDefault="00623082" w:rsidP="00216EF9">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w:t>
            </w:r>
          </w:p>
        </w:tc>
        <w:tc>
          <w:tcPr>
            <w:tcW w:w="428" w:type="pct"/>
          </w:tcPr>
          <w:p w14:paraId="605DCC3A" w14:textId="3BF5014B" w:rsidR="006B1275" w:rsidRPr="00D465BC" w:rsidRDefault="006B1275" w:rsidP="00623082">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2.5</w:t>
            </w:r>
          </w:p>
        </w:tc>
        <w:tc>
          <w:tcPr>
            <w:tcW w:w="458" w:type="pct"/>
          </w:tcPr>
          <w:p w14:paraId="0970C94E" w14:textId="77777777" w:rsidR="006B1275" w:rsidRPr="00D465BC" w:rsidRDefault="006B1275" w:rsidP="00216EF9">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104 RCR</w:t>
            </w:r>
          </w:p>
        </w:tc>
        <w:tc>
          <w:tcPr>
            <w:tcW w:w="815" w:type="pct"/>
            <w:shd w:val="clear" w:color="auto" w:fill="auto"/>
          </w:tcPr>
          <w:p w14:paraId="46E76EF5" w14:textId="77777777" w:rsidR="006B1275" w:rsidRPr="009B1281" w:rsidRDefault="006B1275" w:rsidP="00216EF9">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Rozwiązania przyjmowane lub doskonalone przez organizacje</w:t>
            </w:r>
          </w:p>
        </w:tc>
        <w:tc>
          <w:tcPr>
            <w:tcW w:w="637" w:type="pct"/>
          </w:tcPr>
          <w:p w14:paraId="37987AA1" w14:textId="77777777" w:rsidR="006B1275" w:rsidRPr="00D465BC" w:rsidRDefault="006B1275" w:rsidP="00216EF9">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Rozwiązanie</w:t>
            </w:r>
          </w:p>
        </w:tc>
        <w:tc>
          <w:tcPr>
            <w:tcW w:w="321" w:type="pct"/>
          </w:tcPr>
          <w:p w14:paraId="6FA55338" w14:textId="77777777" w:rsidR="006B1275" w:rsidRPr="00D465BC" w:rsidRDefault="006B1275" w:rsidP="00216EF9">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509" w:type="pct"/>
          </w:tcPr>
          <w:p w14:paraId="3476784A" w14:textId="77777777" w:rsidR="006B1275" w:rsidRPr="00D465BC" w:rsidRDefault="006B1275" w:rsidP="00216EF9">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382" w:type="pct"/>
            <w:shd w:val="clear" w:color="auto" w:fill="auto"/>
          </w:tcPr>
          <w:p w14:paraId="3FF18CEB" w14:textId="77777777" w:rsidR="006B1275" w:rsidRPr="00D465BC" w:rsidRDefault="006B1275" w:rsidP="00216EF9">
            <w:pPr>
              <w:pBdr>
                <w:top w:val="nil"/>
                <w:left w:val="nil"/>
                <w:bottom w:val="nil"/>
                <w:right w:val="nil"/>
                <w:between w:val="nil"/>
              </w:pBdr>
              <w:spacing w:after="120" w:line="240" w:lineRule="auto"/>
              <w:ind w:left="0" w:right="0"/>
              <w:jc w:val="center"/>
              <w:rPr>
                <w:rFonts w:asciiTheme="minorHAnsi" w:hAnsiTheme="minorHAnsi"/>
                <w:color w:val="000000"/>
              </w:rPr>
            </w:pPr>
          </w:p>
        </w:tc>
        <w:tc>
          <w:tcPr>
            <w:tcW w:w="569" w:type="pct"/>
            <w:shd w:val="clear" w:color="auto" w:fill="auto"/>
          </w:tcPr>
          <w:p w14:paraId="30B7EBA3" w14:textId="77777777" w:rsidR="006B1275" w:rsidRPr="00D465BC" w:rsidRDefault="006B1275" w:rsidP="00216EF9">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System monitorowania programu</w:t>
            </w:r>
          </w:p>
        </w:tc>
        <w:tc>
          <w:tcPr>
            <w:tcW w:w="483" w:type="pct"/>
          </w:tcPr>
          <w:p w14:paraId="1AD7A502" w14:textId="77777777" w:rsidR="006B1275" w:rsidRPr="00D465BC" w:rsidRDefault="006B1275" w:rsidP="00216EF9">
            <w:pPr>
              <w:ind w:left="0" w:right="0"/>
              <w:rPr>
                <w:rFonts w:asciiTheme="minorHAnsi" w:hAnsiTheme="minorHAnsi"/>
                <w:color w:val="000000"/>
              </w:rPr>
            </w:pPr>
          </w:p>
        </w:tc>
      </w:tr>
    </w:tbl>
    <w:p w14:paraId="41567966" w14:textId="77777777" w:rsidR="006B1275" w:rsidRDefault="006B1275" w:rsidP="006B1275">
      <w:pPr>
        <w:spacing w:before="240" w:after="240" w:line="240" w:lineRule="auto"/>
        <w:ind w:left="709" w:hanging="709"/>
        <w:rPr>
          <w:rFonts w:asciiTheme="minorHAnsi" w:hAnsiTheme="minorHAnsi"/>
          <w:b/>
          <w:sz w:val="24"/>
          <w:szCs w:val="24"/>
          <w:lang w:val="en-GB"/>
        </w:rPr>
      </w:pPr>
    </w:p>
    <w:p w14:paraId="2D7C0709" w14:textId="7C18CBD7" w:rsidR="006B1275" w:rsidRPr="00570B26" w:rsidRDefault="006B1275" w:rsidP="006B1275">
      <w:pPr>
        <w:spacing w:before="240" w:after="240" w:line="240" w:lineRule="auto"/>
        <w:ind w:left="709" w:hanging="709"/>
        <w:rPr>
          <w:rFonts w:asciiTheme="minorHAnsi" w:hAnsiTheme="minorHAnsi"/>
          <w:b/>
          <w:sz w:val="24"/>
          <w:szCs w:val="24"/>
        </w:rPr>
      </w:pPr>
      <w:r>
        <w:rPr>
          <w:rFonts w:asciiTheme="minorHAnsi" w:hAnsiTheme="minorHAnsi"/>
          <w:b/>
          <w:sz w:val="24"/>
        </w:rPr>
        <w:t>2.2.5.3</w:t>
      </w:r>
      <w:r>
        <w:rPr>
          <w:rFonts w:asciiTheme="minorHAnsi" w:hAnsiTheme="minorHAnsi"/>
          <w:b/>
          <w:sz w:val="24"/>
        </w:rPr>
        <w:tab/>
        <w:t>Główne grupy docelowe</w:t>
      </w:r>
    </w:p>
    <w:p w14:paraId="0A26BAF7" w14:textId="77777777" w:rsidR="006B1275" w:rsidRPr="00D80606" w:rsidRDefault="006B1275" w:rsidP="006B1275">
      <w:pPr>
        <w:spacing w:before="240" w:after="240" w:line="240" w:lineRule="auto"/>
        <w:ind w:left="0"/>
        <w:rPr>
          <w:rFonts w:asciiTheme="minorHAnsi" w:hAnsiTheme="minorHAnsi"/>
          <w:color w:val="000000"/>
          <w:szCs w:val="24"/>
        </w:rPr>
      </w:pPr>
      <w:r w:rsidRPr="00D80606">
        <w:rPr>
          <w:rFonts w:asciiTheme="minorHAnsi" w:hAnsiTheme="minorHAnsi"/>
          <w:color w:val="000000"/>
        </w:rPr>
        <w:lastRenderedPageBreak/>
        <w:t>Podstawa: art. 17 ust. 4 lit. e punkt iii, art. 17 ust. 9 lit. c punkt iv</w:t>
      </w:r>
    </w:p>
    <w:p w14:paraId="0ADF4F47" w14:textId="77777777" w:rsidR="006B1275" w:rsidRPr="00D80606" w:rsidRDefault="006B1275" w:rsidP="006B1275">
      <w:pPr>
        <w:spacing w:before="240" w:after="240" w:line="240" w:lineRule="auto"/>
        <w:ind w:left="0"/>
        <w:rPr>
          <w:rFonts w:asciiTheme="minorHAnsi" w:hAnsiTheme="minorHAnsi"/>
          <w:color w:val="000000"/>
          <w:szCs w:val="24"/>
        </w:rPr>
      </w:pPr>
      <w:r w:rsidRPr="00D80606">
        <w:rPr>
          <w:rFonts w:asciiTheme="minorHAnsi" w:hAnsiTheme="minorHAnsi"/>
          <w:color w:val="000000"/>
        </w:rPr>
        <w:t>Pole tekstowe [7000]</w:t>
      </w:r>
    </w:p>
    <w:p w14:paraId="33F11D74" w14:textId="77777777" w:rsidR="006B1275" w:rsidRPr="00D80606" w:rsidRDefault="006B1275" w:rsidP="00D80606">
      <w:pPr>
        <w:pBdr>
          <w:top w:val="single" w:sz="4" w:space="1" w:color="000000"/>
          <w:left w:val="single" w:sz="4" w:space="4" w:color="000000"/>
          <w:bottom w:val="single" w:sz="4" w:space="1" w:color="000000"/>
          <w:right w:val="single" w:sz="4" w:space="4" w:color="000000"/>
        </w:pBdr>
        <w:ind w:left="142"/>
        <w:jc w:val="left"/>
        <w:rPr>
          <w:rFonts w:asciiTheme="minorHAnsi" w:hAnsiTheme="minorHAnsi"/>
          <w:sz w:val="24"/>
          <w:szCs w:val="24"/>
        </w:rPr>
      </w:pPr>
      <w:r w:rsidRPr="00D80606">
        <w:rPr>
          <w:rFonts w:asciiTheme="minorHAnsi" w:hAnsiTheme="minorHAnsi"/>
          <w:sz w:val="24"/>
          <w:szCs w:val="24"/>
        </w:rPr>
        <w:t>Grupami docelowymi działań objętych wsparciem mogą być zarówno osoby prywatne, jak i organizacje, które są zaangażowane w ich realizację lub są ich beneficjentami. Grupy docelowe obejmują w szczególności zarówno podmioty publiczne, jak i prywatne, takich jak operatorów transportu publicznego, lokalne, regionalne i krajowe władze publiczne, decydentów i planistów, agencje rozwoju regionalnego, dostawców infrastruktury, dostawców usług związanych z mobilnością, grupy interesu związane z mobilnością, inne lokalne i regionalne podmioty działające w sektorze transportu, przedsiębiorstwa, w tym MŚP, organizacje pozarządowe, instytucje finansujące, organizacje edukacyjne i szkoleniowe, a także uniwersytety i instytuty badawcze. Grupy docelowe obejmują również wszystkie grupy społeczne, które skorzystają z ulepszonych, bardziej ekologicznych systemów transportu publicznego w funkcjonalnych obszarach miejskich.</w:t>
      </w:r>
    </w:p>
    <w:p w14:paraId="4403A9A2" w14:textId="77777777" w:rsidR="006B1275" w:rsidRPr="00680741" w:rsidRDefault="006B1275" w:rsidP="006B1275">
      <w:pPr>
        <w:spacing w:before="240" w:after="240" w:line="240" w:lineRule="auto"/>
        <w:ind w:left="709" w:hanging="709"/>
        <w:rPr>
          <w:rFonts w:asciiTheme="minorHAnsi" w:hAnsiTheme="minorHAnsi"/>
          <w:b/>
          <w:sz w:val="24"/>
          <w:szCs w:val="24"/>
        </w:rPr>
      </w:pPr>
    </w:p>
    <w:p w14:paraId="5B8F720F" w14:textId="141B6477" w:rsidR="006B1275" w:rsidRPr="008727F2" w:rsidRDefault="006B1275" w:rsidP="006B1275">
      <w:pPr>
        <w:spacing w:before="240" w:after="240" w:line="240" w:lineRule="auto"/>
        <w:ind w:left="709" w:hanging="709"/>
        <w:rPr>
          <w:rFonts w:asciiTheme="minorHAnsi" w:hAnsiTheme="minorHAnsi"/>
          <w:b/>
          <w:sz w:val="24"/>
          <w:szCs w:val="24"/>
        </w:rPr>
      </w:pPr>
      <w:r>
        <w:rPr>
          <w:rFonts w:asciiTheme="minorHAnsi" w:hAnsiTheme="minorHAnsi"/>
          <w:b/>
          <w:sz w:val="24"/>
        </w:rPr>
        <w:t>2.2.5.4</w:t>
      </w:r>
      <w:r>
        <w:rPr>
          <w:rFonts w:asciiTheme="minorHAnsi" w:hAnsiTheme="minorHAnsi"/>
          <w:b/>
          <w:sz w:val="24"/>
        </w:rPr>
        <w:tab/>
        <w:t>Określenie szczególnych terytoriów docelowych, w tym planowego wykorzystania ZIT, RKSL i pozostałych narzędzi terytorialnych</w:t>
      </w:r>
    </w:p>
    <w:p w14:paraId="29178ADC" w14:textId="77777777" w:rsidR="006B1275" w:rsidRPr="00D80606" w:rsidRDefault="006B1275" w:rsidP="006B1275">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iv</w:t>
      </w:r>
    </w:p>
    <w:p w14:paraId="0736D27F" w14:textId="77777777" w:rsidR="006B1275" w:rsidRPr="00D80606" w:rsidRDefault="006B1275" w:rsidP="006B1275">
      <w:pPr>
        <w:spacing w:before="240" w:after="240" w:line="240" w:lineRule="auto"/>
        <w:ind w:left="0"/>
        <w:rPr>
          <w:rFonts w:asciiTheme="minorHAnsi" w:hAnsiTheme="minorHAnsi"/>
          <w:color w:val="000000"/>
          <w:szCs w:val="24"/>
        </w:rPr>
      </w:pPr>
      <w:r w:rsidRPr="00D80606">
        <w:rPr>
          <w:rFonts w:asciiTheme="minorHAnsi" w:hAnsiTheme="minorHAnsi"/>
          <w:color w:val="000000"/>
        </w:rPr>
        <w:t>Pole tekstowe [7000]</w:t>
      </w:r>
    </w:p>
    <w:p w14:paraId="0D83D899" w14:textId="1D0682CE" w:rsidR="00524D72" w:rsidRPr="00D80606" w:rsidRDefault="006B1275" w:rsidP="00D80606">
      <w:pPr>
        <w:pBdr>
          <w:top w:val="single" w:sz="4" w:space="1" w:color="000000"/>
          <w:left w:val="single" w:sz="4" w:space="4" w:color="000000"/>
          <w:bottom w:val="single" w:sz="4" w:space="1" w:color="000000"/>
          <w:right w:val="single" w:sz="4" w:space="4" w:color="000000"/>
        </w:pBdr>
        <w:ind w:left="142"/>
        <w:jc w:val="left"/>
        <w:rPr>
          <w:rFonts w:asciiTheme="minorHAnsi" w:hAnsiTheme="minorHAnsi"/>
          <w:sz w:val="24"/>
          <w:szCs w:val="24"/>
        </w:rPr>
      </w:pPr>
      <w:r w:rsidRPr="00D80606">
        <w:rPr>
          <w:rFonts w:asciiTheme="minorHAnsi" w:hAnsiTheme="minorHAnsi"/>
          <w:sz w:val="24"/>
          <w:szCs w:val="24"/>
        </w:rPr>
        <w:t xml:space="preserve">Działania mogą być realizowane na całym obszarze współpracy. Ze względu na znaczenie interakcji pomiędzy miastami a ich zapleczem (np. osoby dojeżdżające do pracy czy szkoły) wyzwania związane z mobilnością miejską należy zatem rozpatrywać na poziomie miejskich obszarów funkcjonalnych. Według OECD, Komisji Europejskiej i Eurostatu (OECD, 2012), funkcjonalny obszar miejski definiowany jest jako funkcjonalna jednostka gospodarcza charakteryzująca się gęsto zaludnionymi „rdzeniami miejskimi” i „zapleczem”, gdzie rynek pracy jest silnie zintegrowany z rdzeniami. W centrum uwagi powinny jednak znaleźć się funkcjonalne obszary miejskie o wysokiej emisji CO2 lub zanieczyszczeń powietrza pochodzących z sektora transportu. Najbardziej skorzystają one na wymianie wiedzy z regionami, które są bardziej zaawansowane we wdrażaniu niskoemisyjnych rozwiązań w zakresie mobilności miejskiej. Z kolei współpraca pozwoli również bardziej rozwiniętym regionom na dalszą poprawę ich możliwości wdrażania ekologicznej mobilności miejskiej. </w:t>
      </w:r>
    </w:p>
    <w:p w14:paraId="7D4E4085" w14:textId="3AD5B2CD" w:rsidR="006B1275" w:rsidRPr="00D80606" w:rsidRDefault="006B1275" w:rsidP="00D80606">
      <w:pPr>
        <w:pBdr>
          <w:top w:val="single" w:sz="4" w:space="1" w:color="000000"/>
          <w:left w:val="single" w:sz="4" w:space="4" w:color="000000"/>
          <w:bottom w:val="single" w:sz="4" w:space="1" w:color="000000"/>
          <w:right w:val="single" w:sz="4" w:space="4" w:color="000000"/>
        </w:pBdr>
        <w:ind w:left="142"/>
        <w:jc w:val="left"/>
        <w:rPr>
          <w:rFonts w:asciiTheme="minorHAnsi" w:hAnsiTheme="minorHAnsi"/>
          <w:sz w:val="24"/>
          <w:szCs w:val="24"/>
        </w:rPr>
      </w:pPr>
      <w:r w:rsidRPr="00D80606">
        <w:rPr>
          <w:rFonts w:asciiTheme="minorHAnsi" w:hAnsiTheme="minorHAnsi"/>
          <w:sz w:val="24"/>
          <w:szCs w:val="24"/>
        </w:rPr>
        <w:t>Wszelkie możliwe działania muszą uwzględniać specyficzne cechy terytorialne funkcjonalnych obszarów miejskich objętych programem i być dostosowane do odpowiednich strategii terytorialnych na odpowiednim poziomie zarządzania (lokalnym, regionalnym, krajowym).</w:t>
      </w:r>
    </w:p>
    <w:p w14:paraId="3E0E3C62" w14:textId="70C9DA3F" w:rsidR="006B1275" w:rsidRPr="008727F2" w:rsidRDefault="006B1275" w:rsidP="006B1275">
      <w:pPr>
        <w:spacing w:before="240" w:after="240" w:line="240" w:lineRule="auto"/>
        <w:ind w:left="709" w:hanging="709"/>
        <w:rPr>
          <w:rFonts w:asciiTheme="minorHAnsi" w:hAnsiTheme="minorHAnsi"/>
          <w:b/>
          <w:sz w:val="24"/>
          <w:szCs w:val="24"/>
        </w:rPr>
      </w:pPr>
      <w:r>
        <w:rPr>
          <w:rFonts w:asciiTheme="minorHAnsi" w:hAnsiTheme="minorHAnsi"/>
          <w:b/>
          <w:sz w:val="24"/>
        </w:rPr>
        <w:lastRenderedPageBreak/>
        <w:t>2.2.5.5</w:t>
      </w:r>
      <w:r>
        <w:rPr>
          <w:rFonts w:asciiTheme="minorHAnsi" w:hAnsiTheme="minorHAnsi"/>
          <w:b/>
          <w:sz w:val="24"/>
        </w:rPr>
        <w:tab/>
        <w:t>Planowane wykorzystanie instrumentów finansowych</w:t>
      </w:r>
    </w:p>
    <w:p w14:paraId="432F3E10" w14:textId="77777777" w:rsidR="006B1275" w:rsidRPr="00D80606" w:rsidRDefault="006B1275" w:rsidP="006B1275">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v</w:t>
      </w:r>
    </w:p>
    <w:p w14:paraId="066CCA13" w14:textId="77777777" w:rsidR="006B1275" w:rsidRPr="00D80606" w:rsidRDefault="006B1275" w:rsidP="006B1275">
      <w:pPr>
        <w:spacing w:before="240" w:after="240" w:line="240" w:lineRule="auto"/>
        <w:ind w:left="0"/>
        <w:rPr>
          <w:rFonts w:asciiTheme="minorHAnsi" w:hAnsiTheme="minorHAnsi"/>
          <w:color w:val="000000"/>
          <w:szCs w:val="24"/>
        </w:rPr>
      </w:pPr>
      <w:r w:rsidRPr="00D80606">
        <w:rPr>
          <w:rFonts w:asciiTheme="minorHAnsi" w:hAnsiTheme="minorHAnsi"/>
          <w:color w:val="000000"/>
        </w:rPr>
        <w:t>Pole tekstowe [7000]</w:t>
      </w:r>
    </w:p>
    <w:p w14:paraId="169101B6" w14:textId="77777777" w:rsidR="006B1275" w:rsidRPr="00D80606" w:rsidRDefault="006B1275" w:rsidP="006B1275">
      <w:pPr>
        <w:pBdr>
          <w:top w:val="single" w:sz="4" w:space="1" w:color="000000"/>
          <w:left w:val="single" w:sz="4" w:space="4" w:color="000000"/>
          <w:bottom w:val="single" w:sz="4" w:space="1" w:color="000000"/>
          <w:right w:val="single" w:sz="4" w:space="4" w:color="000000"/>
        </w:pBdr>
        <w:ind w:left="142"/>
        <w:rPr>
          <w:rFonts w:asciiTheme="minorHAnsi" w:hAnsiTheme="minorHAnsi"/>
          <w:sz w:val="24"/>
          <w:szCs w:val="24"/>
        </w:rPr>
      </w:pPr>
      <w:r w:rsidRPr="00D80606">
        <w:rPr>
          <w:rFonts w:asciiTheme="minorHAnsi" w:hAnsiTheme="minorHAnsi"/>
          <w:sz w:val="24"/>
          <w:szCs w:val="24"/>
        </w:rPr>
        <w:t>Nie dotyczy.</w:t>
      </w:r>
    </w:p>
    <w:p w14:paraId="53FB6F8B" w14:textId="77777777" w:rsidR="006B1275" w:rsidRPr="00680741" w:rsidRDefault="006B1275" w:rsidP="006B1275">
      <w:pPr>
        <w:spacing w:before="240" w:after="240" w:line="240" w:lineRule="auto"/>
        <w:ind w:left="709" w:hanging="709"/>
        <w:rPr>
          <w:rFonts w:asciiTheme="minorHAnsi" w:hAnsiTheme="minorHAnsi"/>
          <w:b/>
          <w:sz w:val="24"/>
          <w:szCs w:val="24"/>
        </w:rPr>
      </w:pPr>
    </w:p>
    <w:p w14:paraId="6FF30BD3" w14:textId="26006DAD" w:rsidR="006B1275" w:rsidRPr="008727F2" w:rsidRDefault="006B1275" w:rsidP="006B1275">
      <w:pPr>
        <w:spacing w:before="240" w:after="240" w:line="240" w:lineRule="auto"/>
        <w:ind w:left="709" w:hanging="709"/>
        <w:rPr>
          <w:rFonts w:asciiTheme="minorHAnsi" w:hAnsiTheme="minorHAnsi"/>
          <w:b/>
          <w:sz w:val="24"/>
          <w:szCs w:val="24"/>
        </w:rPr>
      </w:pPr>
      <w:r>
        <w:rPr>
          <w:rFonts w:asciiTheme="minorHAnsi" w:hAnsiTheme="minorHAnsi"/>
          <w:b/>
          <w:sz w:val="24"/>
        </w:rPr>
        <w:t>2.2.5.6</w:t>
      </w:r>
      <w:r>
        <w:rPr>
          <w:rFonts w:asciiTheme="minorHAnsi" w:hAnsiTheme="minorHAnsi"/>
          <w:b/>
          <w:sz w:val="24"/>
        </w:rPr>
        <w:tab/>
        <w:t>Orientacyjny podział zasobów programu UE według rodzaju interwencji</w:t>
      </w:r>
    </w:p>
    <w:p w14:paraId="5A197FCF" w14:textId="77777777" w:rsidR="006B1275" w:rsidRPr="00D80606" w:rsidRDefault="006B1275" w:rsidP="006B1275">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vi, art. 17 ust. 9 lit. c punkt v</w:t>
      </w:r>
    </w:p>
    <w:p w14:paraId="1F49003E" w14:textId="77777777" w:rsidR="006B1275" w:rsidRPr="009A0D85" w:rsidRDefault="006B1275" w:rsidP="006B1275">
      <w:pPr>
        <w:spacing w:before="240" w:after="240" w:line="240" w:lineRule="auto"/>
        <w:ind w:left="0"/>
        <w:rPr>
          <w:rFonts w:asciiTheme="minorHAnsi" w:hAnsiTheme="minorHAnsi"/>
          <w:szCs w:val="24"/>
        </w:rPr>
      </w:pPr>
      <w:r>
        <w:rPr>
          <w:rFonts w:asciiTheme="minorHAnsi" w:hAnsiTheme="minorHAnsi"/>
        </w:rPr>
        <w:t>Tabela 4: Wymiar 1 – obszar interwencji</w:t>
      </w:r>
    </w:p>
    <w:tbl>
      <w:tblPr>
        <w:tblStyle w:val="16"/>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6B1275" w:rsidRPr="008727F2" w14:paraId="08DC5785" w14:textId="77777777" w:rsidTr="00216EF9">
        <w:tc>
          <w:tcPr>
            <w:tcW w:w="1869" w:type="dxa"/>
          </w:tcPr>
          <w:p w14:paraId="4E9B0E68"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Priorytet nr</w:t>
            </w:r>
          </w:p>
        </w:tc>
        <w:tc>
          <w:tcPr>
            <w:tcW w:w="1657" w:type="dxa"/>
          </w:tcPr>
          <w:p w14:paraId="2D849B5A"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w:t>
            </w:r>
          </w:p>
        </w:tc>
        <w:tc>
          <w:tcPr>
            <w:tcW w:w="1898" w:type="dxa"/>
          </w:tcPr>
          <w:p w14:paraId="534890EE"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Cel szczegółowy</w:t>
            </w:r>
          </w:p>
        </w:tc>
        <w:tc>
          <w:tcPr>
            <w:tcW w:w="1204" w:type="dxa"/>
          </w:tcPr>
          <w:p w14:paraId="21ECCE02"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Kod </w:t>
            </w:r>
          </w:p>
        </w:tc>
        <w:tc>
          <w:tcPr>
            <w:tcW w:w="2658" w:type="dxa"/>
          </w:tcPr>
          <w:p w14:paraId="14A7EA83"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Kwota (EUR)</w:t>
            </w:r>
          </w:p>
        </w:tc>
      </w:tr>
      <w:tr w:rsidR="006B1275" w:rsidRPr="008727F2" w14:paraId="3A66D9D5" w14:textId="77777777" w:rsidTr="00216EF9">
        <w:tc>
          <w:tcPr>
            <w:tcW w:w="1869" w:type="dxa"/>
          </w:tcPr>
          <w:p w14:paraId="08163813" w14:textId="0EDC6B07" w:rsidR="006B1275" w:rsidRPr="0065633A" w:rsidRDefault="00623082" w:rsidP="00216EF9">
            <w:pPr>
              <w:spacing w:after="120" w:line="240" w:lineRule="auto"/>
              <w:ind w:left="0" w:right="0"/>
              <w:jc w:val="center"/>
              <w:rPr>
                <w:rFonts w:asciiTheme="minorHAnsi" w:eastAsia="Times New Roman" w:hAnsiTheme="minorHAnsi" w:cs="Times New Roman"/>
                <w:color w:val="000000"/>
                <w:sz w:val="20"/>
                <w:szCs w:val="16"/>
              </w:rPr>
            </w:pPr>
            <w:r>
              <w:rPr>
                <w:rFonts w:asciiTheme="minorHAnsi" w:hAnsiTheme="minorHAnsi"/>
                <w:color w:val="000000"/>
                <w:sz w:val="20"/>
              </w:rPr>
              <w:t>2</w:t>
            </w:r>
          </w:p>
        </w:tc>
        <w:tc>
          <w:tcPr>
            <w:tcW w:w="1657" w:type="dxa"/>
          </w:tcPr>
          <w:p w14:paraId="5771F190" w14:textId="77777777" w:rsidR="006B1275" w:rsidRPr="0065633A" w:rsidRDefault="006B1275" w:rsidP="00216EF9">
            <w:pPr>
              <w:spacing w:after="120" w:line="240" w:lineRule="auto"/>
              <w:ind w:left="0" w:right="0"/>
              <w:rPr>
                <w:rFonts w:asciiTheme="minorHAnsi" w:eastAsia="Times New Roman" w:hAnsiTheme="minorHAnsi" w:cs="Times New Roman"/>
                <w:color w:val="000000"/>
                <w:sz w:val="20"/>
                <w:szCs w:val="16"/>
              </w:rPr>
            </w:pPr>
            <w:r>
              <w:rPr>
                <w:rFonts w:asciiTheme="minorHAnsi" w:hAnsiTheme="minorHAnsi"/>
                <w:color w:val="000000"/>
                <w:sz w:val="20"/>
              </w:rPr>
              <w:t>EFRR</w:t>
            </w:r>
          </w:p>
        </w:tc>
        <w:tc>
          <w:tcPr>
            <w:tcW w:w="1898" w:type="dxa"/>
          </w:tcPr>
          <w:p w14:paraId="494D1826" w14:textId="03332A6F" w:rsidR="006B1275" w:rsidRPr="0065633A" w:rsidRDefault="006B1275" w:rsidP="00623082">
            <w:pPr>
              <w:spacing w:after="120" w:line="240" w:lineRule="auto"/>
              <w:ind w:left="0" w:right="0"/>
              <w:rPr>
                <w:rFonts w:asciiTheme="minorHAnsi" w:eastAsia="Times New Roman" w:hAnsiTheme="minorHAnsi" w:cs="Times New Roman"/>
                <w:color w:val="000000"/>
                <w:sz w:val="20"/>
                <w:szCs w:val="16"/>
              </w:rPr>
            </w:pPr>
            <w:r>
              <w:rPr>
                <w:rFonts w:asciiTheme="minorHAnsi" w:hAnsiTheme="minorHAnsi"/>
                <w:color w:val="000000"/>
                <w:sz w:val="20"/>
              </w:rPr>
              <w:t>Cel szczegółowy 2.5</w:t>
            </w:r>
          </w:p>
        </w:tc>
        <w:tc>
          <w:tcPr>
            <w:tcW w:w="1204" w:type="dxa"/>
          </w:tcPr>
          <w:p w14:paraId="2DA446CB" w14:textId="77777777" w:rsidR="006B1275" w:rsidRPr="00800B81" w:rsidRDefault="006B1275" w:rsidP="00683570">
            <w:pPr>
              <w:spacing w:after="120" w:line="240" w:lineRule="auto"/>
              <w:ind w:left="0" w:right="0"/>
              <w:jc w:val="center"/>
              <w:rPr>
                <w:rFonts w:ascii="Trebuchet MS" w:eastAsia="Times New Roman" w:hAnsi="Trebuchet MS" w:cs="Times New Roman"/>
                <w:b/>
                <w:color w:val="000000"/>
                <w:sz w:val="20"/>
                <w:szCs w:val="16"/>
              </w:rPr>
            </w:pPr>
            <w:r>
              <w:rPr>
                <w:rFonts w:ascii="Trebuchet MS" w:hAnsi="Trebuchet MS"/>
                <w:sz w:val="20"/>
              </w:rPr>
              <w:t>73</w:t>
            </w:r>
          </w:p>
        </w:tc>
        <w:tc>
          <w:tcPr>
            <w:tcW w:w="2658" w:type="dxa"/>
          </w:tcPr>
          <w:p w14:paraId="123C9D2F"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p>
        </w:tc>
      </w:tr>
      <w:tr w:rsidR="006B1275" w:rsidRPr="008727F2" w14:paraId="3A074857" w14:textId="77777777" w:rsidTr="00216EF9">
        <w:tc>
          <w:tcPr>
            <w:tcW w:w="1869" w:type="dxa"/>
          </w:tcPr>
          <w:p w14:paraId="16BF9E58" w14:textId="02197E86" w:rsidR="006B1275" w:rsidRDefault="00623082" w:rsidP="00216EF9">
            <w:pPr>
              <w:spacing w:after="120" w:line="240" w:lineRule="auto"/>
              <w:ind w:left="0" w:right="0"/>
              <w:jc w:val="center"/>
              <w:rPr>
                <w:rFonts w:asciiTheme="minorHAnsi" w:hAnsiTheme="minorHAnsi"/>
                <w:color w:val="000000"/>
                <w:szCs w:val="16"/>
              </w:rPr>
            </w:pPr>
            <w:r>
              <w:rPr>
                <w:rFonts w:asciiTheme="minorHAnsi" w:hAnsiTheme="minorHAnsi"/>
                <w:color w:val="000000"/>
                <w:sz w:val="20"/>
              </w:rPr>
              <w:t>2</w:t>
            </w:r>
          </w:p>
        </w:tc>
        <w:tc>
          <w:tcPr>
            <w:tcW w:w="1657" w:type="dxa"/>
          </w:tcPr>
          <w:p w14:paraId="502A40E7" w14:textId="77777777" w:rsidR="006B1275" w:rsidRPr="0065633A" w:rsidRDefault="006B1275" w:rsidP="00216EF9">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0008BAD5" w14:textId="11BB906A" w:rsidR="006B1275" w:rsidRPr="0065633A" w:rsidRDefault="006B1275" w:rsidP="00623082">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2.5</w:t>
            </w:r>
          </w:p>
        </w:tc>
        <w:tc>
          <w:tcPr>
            <w:tcW w:w="1204" w:type="dxa"/>
          </w:tcPr>
          <w:p w14:paraId="69F439D8" w14:textId="77777777" w:rsidR="006B1275" w:rsidRPr="00800B81" w:rsidRDefault="006B1275" w:rsidP="00683570">
            <w:pPr>
              <w:spacing w:after="120" w:line="240" w:lineRule="auto"/>
              <w:ind w:left="0" w:right="0"/>
              <w:jc w:val="center"/>
              <w:rPr>
                <w:rFonts w:ascii="Trebuchet MS" w:hAnsi="Trebuchet MS"/>
                <w:b/>
                <w:color w:val="000000"/>
                <w:sz w:val="20"/>
                <w:szCs w:val="16"/>
              </w:rPr>
            </w:pPr>
            <w:r>
              <w:rPr>
                <w:rFonts w:ascii="Trebuchet MS" w:hAnsi="Trebuchet MS"/>
                <w:sz w:val="20"/>
              </w:rPr>
              <w:t>74</w:t>
            </w:r>
          </w:p>
        </w:tc>
        <w:tc>
          <w:tcPr>
            <w:tcW w:w="2658" w:type="dxa"/>
          </w:tcPr>
          <w:p w14:paraId="595C03B6" w14:textId="77777777" w:rsidR="006B1275" w:rsidRPr="00570B26" w:rsidRDefault="006B1275" w:rsidP="00216EF9">
            <w:pPr>
              <w:spacing w:after="120" w:line="240" w:lineRule="auto"/>
              <w:ind w:left="0" w:right="0"/>
              <w:rPr>
                <w:rFonts w:asciiTheme="minorHAnsi" w:hAnsiTheme="minorHAnsi"/>
                <w:b/>
                <w:color w:val="000000"/>
                <w:sz w:val="16"/>
                <w:szCs w:val="16"/>
              </w:rPr>
            </w:pPr>
          </w:p>
        </w:tc>
      </w:tr>
      <w:tr w:rsidR="006B1275" w:rsidRPr="008727F2" w14:paraId="07459A02" w14:textId="77777777" w:rsidTr="00216EF9">
        <w:tc>
          <w:tcPr>
            <w:tcW w:w="1869" w:type="dxa"/>
          </w:tcPr>
          <w:p w14:paraId="446F08AC" w14:textId="2D7CCA80" w:rsidR="006B1275" w:rsidRDefault="00623082" w:rsidP="00216EF9">
            <w:pPr>
              <w:spacing w:after="120" w:line="240" w:lineRule="auto"/>
              <w:ind w:left="0" w:right="0"/>
              <w:jc w:val="center"/>
              <w:rPr>
                <w:rFonts w:asciiTheme="minorHAnsi" w:hAnsiTheme="minorHAnsi"/>
                <w:color w:val="000000"/>
                <w:szCs w:val="16"/>
              </w:rPr>
            </w:pPr>
            <w:r>
              <w:rPr>
                <w:rFonts w:asciiTheme="minorHAnsi" w:hAnsiTheme="minorHAnsi"/>
                <w:color w:val="000000"/>
                <w:sz w:val="20"/>
              </w:rPr>
              <w:t>2</w:t>
            </w:r>
          </w:p>
        </w:tc>
        <w:tc>
          <w:tcPr>
            <w:tcW w:w="1657" w:type="dxa"/>
          </w:tcPr>
          <w:p w14:paraId="72AC8ADE" w14:textId="77777777" w:rsidR="006B1275" w:rsidRPr="0065633A" w:rsidRDefault="006B1275" w:rsidP="00216EF9">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6058656D" w14:textId="431C00AB" w:rsidR="006B1275" w:rsidRPr="0065633A" w:rsidRDefault="006B1275" w:rsidP="00623082">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2.5</w:t>
            </w:r>
          </w:p>
        </w:tc>
        <w:tc>
          <w:tcPr>
            <w:tcW w:w="1204" w:type="dxa"/>
          </w:tcPr>
          <w:p w14:paraId="3A37ED53" w14:textId="77777777" w:rsidR="006B1275" w:rsidRPr="00800B81" w:rsidRDefault="006B1275" w:rsidP="00683570">
            <w:pPr>
              <w:spacing w:after="120" w:line="240" w:lineRule="auto"/>
              <w:ind w:left="0" w:right="0"/>
              <w:jc w:val="center"/>
              <w:rPr>
                <w:rFonts w:ascii="Trebuchet MS" w:hAnsi="Trebuchet MS"/>
                <w:b/>
                <w:color w:val="000000"/>
                <w:sz w:val="20"/>
                <w:szCs w:val="16"/>
              </w:rPr>
            </w:pPr>
            <w:r>
              <w:rPr>
                <w:rFonts w:ascii="Trebuchet MS" w:hAnsi="Trebuchet MS"/>
                <w:sz w:val="20"/>
              </w:rPr>
              <w:t>75</w:t>
            </w:r>
          </w:p>
        </w:tc>
        <w:tc>
          <w:tcPr>
            <w:tcW w:w="2658" w:type="dxa"/>
          </w:tcPr>
          <w:p w14:paraId="0E98641E" w14:textId="77777777" w:rsidR="006B1275" w:rsidRPr="00570B26" w:rsidRDefault="006B1275" w:rsidP="00216EF9">
            <w:pPr>
              <w:spacing w:after="120" w:line="240" w:lineRule="auto"/>
              <w:ind w:left="0" w:right="0"/>
              <w:rPr>
                <w:rFonts w:asciiTheme="minorHAnsi" w:hAnsiTheme="minorHAnsi"/>
                <w:b/>
                <w:color w:val="000000"/>
                <w:sz w:val="16"/>
                <w:szCs w:val="16"/>
              </w:rPr>
            </w:pPr>
          </w:p>
        </w:tc>
      </w:tr>
      <w:tr w:rsidR="006B1275" w:rsidRPr="008727F2" w14:paraId="25EAAFF6" w14:textId="77777777" w:rsidTr="00216EF9">
        <w:tc>
          <w:tcPr>
            <w:tcW w:w="1869" w:type="dxa"/>
          </w:tcPr>
          <w:p w14:paraId="143200AB" w14:textId="2C437C50" w:rsidR="006B1275" w:rsidRDefault="00623082" w:rsidP="00216EF9">
            <w:pPr>
              <w:spacing w:after="120" w:line="240" w:lineRule="auto"/>
              <w:ind w:left="0" w:right="0"/>
              <w:jc w:val="center"/>
              <w:rPr>
                <w:rFonts w:asciiTheme="minorHAnsi" w:hAnsiTheme="minorHAnsi"/>
                <w:color w:val="000000"/>
                <w:szCs w:val="16"/>
              </w:rPr>
            </w:pPr>
            <w:r>
              <w:rPr>
                <w:rFonts w:asciiTheme="minorHAnsi" w:hAnsiTheme="minorHAnsi"/>
                <w:color w:val="000000"/>
                <w:sz w:val="20"/>
              </w:rPr>
              <w:t>2</w:t>
            </w:r>
          </w:p>
        </w:tc>
        <w:tc>
          <w:tcPr>
            <w:tcW w:w="1657" w:type="dxa"/>
          </w:tcPr>
          <w:p w14:paraId="5D504D9A" w14:textId="77777777" w:rsidR="006B1275" w:rsidRPr="0065633A" w:rsidRDefault="006B1275" w:rsidP="00216EF9">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6CBDF099" w14:textId="2045FF7C" w:rsidR="006B1275" w:rsidRPr="0065633A" w:rsidRDefault="006B1275" w:rsidP="00623082">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2.5</w:t>
            </w:r>
          </w:p>
        </w:tc>
        <w:tc>
          <w:tcPr>
            <w:tcW w:w="1204" w:type="dxa"/>
          </w:tcPr>
          <w:p w14:paraId="4DC40DC0" w14:textId="77777777" w:rsidR="006B1275" w:rsidRPr="00800B81" w:rsidRDefault="006B1275" w:rsidP="00683570">
            <w:pPr>
              <w:spacing w:after="120" w:line="240" w:lineRule="auto"/>
              <w:ind w:left="0" w:right="0"/>
              <w:jc w:val="center"/>
              <w:rPr>
                <w:rFonts w:ascii="Trebuchet MS" w:hAnsi="Trebuchet MS"/>
                <w:b/>
                <w:color w:val="000000"/>
                <w:sz w:val="20"/>
                <w:szCs w:val="16"/>
              </w:rPr>
            </w:pPr>
            <w:r>
              <w:rPr>
                <w:rFonts w:ascii="Trebuchet MS" w:hAnsi="Trebuchet MS"/>
                <w:sz w:val="20"/>
              </w:rPr>
              <w:t>76</w:t>
            </w:r>
          </w:p>
        </w:tc>
        <w:tc>
          <w:tcPr>
            <w:tcW w:w="2658" w:type="dxa"/>
          </w:tcPr>
          <w:p w14:paraId="75505570" w14:textId="77777777" w:rsidR="006B1275" w:rsidRPr="00570B26" w:rsidRDefault="006B1275" w:rsidP="00216EF9">
            <w:pPr>
              <w:spacing w:after="120" w:line="240" w:lineRule="auto"/>
              <w:ind w:left="0" w:right="0"/>
              <w:rPr>
                <w:rFonts w:asciiTheme="minorHAnsi" w:hAnsiTheme="minorHAnsi"/>
                <w:b/>
                <w:color w:val="000000"/>
                <w:sz w:val="16"/>
                <w:szCs w:val="16"/>
              </w:rPr>
            </w:pPr>
          </w:p>
        </w:tc>
      </w:tr>
    </w:tbl>
    <w:p w14:paraId="376D3707" w14:textId="77777777" w:rsidR="006B1275" w:rsidRPr="009A0D85" w:rsidRDefault="006B1275" w:rsidP="006B1275">
      <w:pPr>
        <w:spacing w:before="240" w:after="240" w:line="240" w:lineRule="auto"/>
        <w:ind w:left="0"/>
        <w:rPr>
          <w:rFonts w:asciiTheme="minorHAnsi" w:hAnsiTheme="minorHAnsi"/>
          <w:szCs w:val="24"/>
        </w:rPr>
      </w:pPr>
      <w:r>
        <w:rPr>
          <w:rFonts w:asciiTheme="minorHAnsi" w:hAnsiTheme="minorHAnsi"/>
        </w:rPr>
        <w:t>Tabela 5: Wymiar 2 – forma finansowania</w:t>
      </w:r>
    </w:p>
    <w:tbl>
      <w:tblPr>
        <w:tblStyle w:val="15"/>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6B1275" w:rsidRPr="008727F2" w14:paraId="19DF8016" w14:textId="77777777" w:rsidTr="00216EF9">
        <w:tc>
          <w:tcPr>
            <w:tcW w:w="1869" w:type="dxa"/>
          </w:tcPr>
          <w:p w14:paraId="73E4C608"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Priorytet nr</w:t>
            </w:r>
          </w:p>
        </w:tc>
        <w:tc>
          <w:tcPr>
            <w:tcW w:w="1657" w:type="dxa"/>
          </w:tcPr>
          <w:p w14:paraId="2A8E0D7B"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w:t>
            </w:r>
          </w:p>
        </w:tc>
        <w:tc>
          <w:tcPr>
            <w:tcW w:w="1898" w:type="dxa"/>
          </w:tcPr>
          <w:p w14:paraId="26A7E2CE"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Cel szczegółowy</w:t>
            </w:r>
          </w:p>
        </w:tc>
        <w:tc>
          <w:tcPr>
            <w:tcW w:w="1204" w:type="dxa"/>
          </w:tcPr>
          <w:p w14:paraId="11B4B861"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Kod </w:t>
            </w:r>
          </w:p>
        </w:tc>
        <w:tc>
          <w:tcPr>
            <w:tcW w:w="2658" w:type="dxa"/>
          </w:tcPr>
          <w:p w14:paraId="5D1215E9"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Kwota (EUR)</w:t>
            </w:r>
          </w:p>
        </w:tc>
      </w:tr>
      <w:tr w:rsidR="006B1275" w:rsidRPr="008727F2" w14:paraId="6C4B282F" w14:textId="77777777" w:rsidTr="00216EF9">
        <w:tc>
          <w:tcPr>
            <w:tcW w:w="1869" w:type="dxa"/>
          </w:tcPr>
          <w:p w14:paraId="2E4189CF" w14:textId="593DDBB3" w:rsidR="006B1275" w:rsidRPr="00570B26" w:rsidRDefault="00623082" w:rsidP="00216EF9">
            <w:pPr>
              <w:spacing w:after="120" w:line="240" w:lineRule="auto"/>
              <w:ind w:left="0" w:right="0"/>
              <w:jc w:val="center"/>
              <w:rPr>
                <w:rFonts w:asciiTheme="minorHAnsi" w:eastAsia="Times New Roman" w:hAnsiTheme="minorHAnsi" w:cs="Times New Roman"/>
                <w:b/>
                <w:color w:val="000000"/>
                <w:sz w:val="16"/>
                <w:szCs w:val="16"/>
              </w:rPr>
            </w:pPr>
            <w:r>
              <w:rPr>
                <w:rFonts w:asciiTheme="minorHAnsi" w:hAnsiTheme="minorHAnsi"/>
                <w:color w:val="000000"/>
                <w:sz w:val="20"/>
              </w:rPr>
              <w:t>2</w:t>
            </w:r>
          </w:p>
        </w:tc>
        <w:tc>
          <w:tcPr>
            <w:tcW w:w="1657" w:type="dxa"/>
          </w:tcPr>
          <w:p w14:paraId="23509E6C"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color w:val="000000"/>
                <w:sz w:val="20"/>
              </w:rPr>
              <w:t>EFRR</w:t>
            </w:r>
          </w:p>
        </w:tc>
        <w:tc>
          <w:tcPr>
            <w:tcW w:w="1898" w:type="dxa"/>
          </w:tcPr>
          <w:p w14:paraId="66DA4F01" w14:textId="3493D4C7" w:rsidR="006B1275" w:rsidRPr="00570B26" w:rsidRDefault="006B1275" w:rsidP="00623082">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color w:val="000000"/>
                <w:sz w:val="20"/>
              </w:rPr>
              <w:t>Cel szczegółowy 2.5</w:t>
            </w:r>
          </w:p>
        </w:tc>
        <w:tc>
          <w:tcPr>
            <w:tcW w:w="1204" w:type="dxa"/>
          </w:tcPr>
          <w:p w14:paraId="6015B4ED" w14:textId="77777777" w:rsidR="006B1275" w:rsidRPr="00570B26" w:rsidRDefault="006B1275" w:rsidP="00683570">
            <w:pPr>
              <w:spacing w:after="120" w:line="240" w:lineRule="auto"/>
              <w:ind w:left="0" w:right="0"/>
              <w:jc w:val="center"/>
              <w:rPr>
                <w:rFonts w:asciiTheme="minorHAnsi" w:eastAsia="Times New Roman" w:hAnsiTheme="minorHAnsi" w:cs="Times New Roman"/>
                <w:b/>
                <w:color w:val="000000"/>
                <w:sz w:val="16"/>
                <w:szCs w:val="16"/>
              </w:rPr>
            </w:pPr>
            <w:r>
              <w:rPr>
                <w:rFonts w:asciiTheme="minorHAnsi" w:hAnsiTheme="minorHAnsi"/>
                <w:color w:val="000000"/>
                <w:sz w:val="20"/>
              </w:rPr>
              <w:t>0</w:t>
            </w:r>
            <w:r>
              <w:rPr>
                <w:rFonts w:ascii="Trebuchet MS" w:hAnsi="Trebuchet MS"/>
                <w:sz w:val="20"/>
              </w:rPr>
              <w:t>1</w:t>
            </w:r>
          </w:p>
        </w:tc>
        <w:tc>
          <w:tcPr>
            <w:tcW w:w="2658" w:type="dxa"/>
          </w:tcPr>
          <w:p w14:paraId="3BCAC097"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p>
        </w:tc>
      </w:tr>
    </w:tbl>
    <w:p w14:paraId="1A519048" w14:textId="77777777" w:rsidR="006B1275" w:rsidRPr="009A0D85" w:rsidRDefault="006B1275" w:rsidP="006B1275">
      <w:pPr>
        <w:spacing w:before="240" w:after="240" w:line="240" w:lineRule="auto"/>
        <w:ind w:left="0"/>
        <w:rPr>
          <w:rFonts w:asciiTheme="minorHAnsi" w:hAnsiTheme="minorHAnsi"/>
          <w:szCs w:val="24"/>
        </w:rPr>
      </w:pPr>
      <w:r>
        <w:rPr>
          <w:rFonts w:asciiTheme="minorHAnsi" w:hAnsiTheme="minorHAnsi"/>
        </w:rPr>
        <w:t>Tabela 6: Wymiar 3 – mechanizm realizacji terytorialnej i koncentracja na terytorium</w:t>
      </w:r>
    </w:p>
    <w:tbl>
      <w:tblPr>
        <w:tblStyle w:val="14"/>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6B1275" w:rsidRPr="008727F2" w14:paraId="2A7F56E9" w14:textId="77777777" w:rsidTr="00216EF9">
        <w:tc>
          <w:tcPr>
            <w:tcW w:w="1869" w:type="dxa"/>
          </w:tcPr>
          <w:p w14:paraId="4618E1B6"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Priorytet nr</w:t>
            </w:r>
          </w:p>
        </w:tc>
        <w:tc>
          <w:tcPr>
            <w:tcW w:w="1657" w:type="dxa"/>
          </w:tcPr>
          <w:p w14:paraId="4397EEDD"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w:t>
            </w:r>
          </w:p>
        </w:tc>
        <w:tc>
          <w:tcPr>
            <w:tcW w:w="1898" w:type="dxa"/>
          </w:tcPr>
          <w:p w14:paraId="36B375C5"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Cel szczegółowy</w:t>
            </w:r>
          </w:p>
        </w:tc>
        <w:tc>
          <w:tcPr>
            <w:tcW w:w="1204" w:type="dxa"/>
          </w:tcPr>
          <w:p w14:paraId="1DB9C61C"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Kod </w:t>
            </w:r>
          </w:p>
        </w:tc>
        <w:tc>
          <w:tcPr>
            <w:tcW w:w="2658" w:type="dxa"/>
          </w:tcPr>
          <w:p w14:paraId="7AF1D4D8"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Kwota (EUR)</w:t>
            </w:r>
          </w:p>
        </w:tc>
      </w:tr>
      <w:tr w:rsidR="006B1275" w:rsidRPr="008727F2" w14:paraId="4176B903" w14:textId="77777777" w:rsidTr="00216EF9">
        <w:tc>
          <w:tcPr>
            <w:tcW w:w="1869" w:type="dxa"/>
          </w:tcPr>
          <w:p w14:paraId="7235E69C" w14:textId="08C1D3A5" w:rsidR="006B1275" w:rsidRPr="00570B26" w:rsidRDefault="00623082" w:rsidP="00216EF9">
            <w:pPr>
              <w:spacing w:after="120" w:line="240" w:lineRule="auto"/>
              <w:ind w:left="0" w:right="0"/>
              <w:jc w:val="center"/>
              <w:rPr>
                <w:rFonts w:asciiTheme="minorHAnsi" w:eastAsia="Times New Roman" w:hAnsiTheme="minorHAnsi" w:cs="Times New Roman"/>
                <w:b/>
                <w:color w:val="000000"/>
                <w:sz w:val="16"/>
                <w:szCs w:val="16"/>
              </w:rPr>
            </w:pPr>
            <w:r>
              <w:rPr>
                <w:rFonts w:asciiTheme="minorHAnsi" w:hAnsiTheme="minorHAnsi"/>
                <w:color w:val="000000"/>
                <w:sz w:val="20"/>
              </w:rPr>
              <w:t>2</w:t>
            </w:r>
          </w:p>
        </w:tc>
        <w:tc>
          <w:tcPr>
            <w:tcW w:w="1657" w:type="dxa"/>
          </w:tcPr>
          <w:p w14:paraId="18DCD0D5"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color w:val="000000"/>
                <w:sz w:val="20"/>
              </w:rPr>
              <w:t>EFRR</w:t>
            </w:r>
          </w:p>
        </w:tc>
        <w:tc>
          <w:tcPr>
            <w:tcW w:w="1898" w:type="dxa"/>
          </w:tcPr>
          <w:p w14:paraId="6A442D0E" w14:textId="3D2A57CD" w:rsidR="006B1275" w:rsidRPr="00570B26" w:rsidRDefault="006B1275" w:rsidP="00623082">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color w:val="000000"/>
                <w:sz w:val="20"/>
              </w:rPr>
              <w:t>Cel szczegółowy 2.5</w:t>
            </w:r>
          </w:p>
        </w:tc>
        <w:tc>
          <w:tcPr>
            <w:tcW w:w="1204" w:type="dxa"/>
          </w:tcPr>
          <w:p w14:paraId="54815C55" w14:textId="77777777" w:rsidR="006B1275" w:rsidRPr="00683570" w:rsidRDefault="006B1275" w:rsidP="00683570">
            <w:pPr>
              <w:spacing w:after="120" w:line="240" w:lineRule="auto"/>
              <w:ind w:left="0" w:right="0"/>
              <w:jc w:val="center"/>
              <w:rPr>
                <w:rFonts w:asciiTheme="minorHAnsi" w:eastAsia="Times New Roman" w:hAnsiTheme="minorHAnsi" w:cs="Times New Roman"/>
                <w:color w:val="000000"/>
                <w:sz w:val="20"/>
                <w:szCs w:val="16"/>
              </w:rPr>
            </w:pPr>
            <w:r>
              <w:rPr>
                <w:rFonts w:asciiTheme="minorHAnsi" w:hAnsiTheme="minorHAnsi"/>
                <w:color w:val="000000"/>
                <w:sz w:val="20"/>
              </w:rPr>
              <w:t>43</w:t>
            </w:r>
          </w:p>
        </w:tc>
        <w:tc>
          <w:tcPr>
            <w:tcW w:w="2658" w:type="dxa"/>
          </w:tcPr>
          <w:p w14:paraId="01C01874" w14:textId="77777777" w:rsidR="006B1275" w:rsidRPr="00570B26" w:rsidRDefault="006B1275" w:rsidP="00216EF9">
            <w:pPr>
              <w:spacing w:after="120" w:line="240" w:lineRule="auto"/>
              <w:ind w:left="0" w:right="0"/>
              <w:rPr>
                <w:rFonts w:asciiTheme="minorHAnsi" w:eastAsia="Times New Roman" w:hAnsiTheme="minorHAnsi" w:cs="Times New Roman"/>
                <w:b/>
                <w:color w:val="000000"/>
                <w:sz w:val="16"/>
                <w:szCs w:val="16"/>
              </w:rPr>
            </w:pPr>
          </w:p>
        </w:tc>
      </w:tr>
    </w:tbl>
    <w:p w14:paraId="195DFF11" w14:textId="77777777" w:rsidR="009D6F42" w:rsidRDefault="009D6F42">
      <w:pPr>
        <w:spacing w:before="0" w:line="240" w:lineRule="auto"/>
        <w:ind w:left="0" w:right="0"/>
        <w:jc w:val="left"/>
        <w:rPr>
          <w:rFonts w:asciiTheme="minorHAnsi" w:hAnsiTheme="minorHAnsi"/>
        </w:rPr>
      </w:pPr>
      <w:r>
        <w:br w:type="page"/>
      </w:r>
    </w:p>
    <w:p w14:paraId="460EDD1B" w14:textId="12D33D18" w:rsidR="009D6F42" w:rsidRPr="009D6F42" w:rsidRDefault="00E44B67" w:rsidP="00E44B67">
      <w:pPr>
        <w:pStyle w:val="Akapitzlist"/>
        <w:tabs>
          <w:tab w:val="left" w:pos="567"/>
        </w:tabs>
        <w:spacing w:before="240" w:after="240" w:line="240" w:lineRule="auto"/>
        <w:ind w:left="792" w:right="0"/>
        <w:rPr>
          <w:rFonts w:asciiTheme="minorHAnsi" w:hAnsiTheme="minorHAnsi"/>
          <w:b/>
          <w:sz w:val="24"/>
          <w:szCs w:val="24"/>
        </w:rPr>
      </w:pPr>
      <w:r>
        <w:rPr>
          <w:rFonts w:asciiTheme="minorHAnsi" w:hAnsiTheme="minorHAnsi"/>
          <w:b/>
          <w:sz w:val="24"/>
        </w:rPr>
        <w:lastRenderedPageBreak/>
        <w:t>2.3 Tytuł priorytetu (dla każdego priorytetu)</w:t>
      </w:r>
    </w:p>
    <w:p w14:paraId="43453BE9" w14:textId="77777777" w:rsidR="009D6F42" w:rsidRPr="00D80606" w:rsidRDefault="009D6F42" w:rsidP="009D6F42">
      <w:pPr>
        <w:ind w:left="0"/>
        <w:rPr>
          <w:rFonts w:asciiTheme="minorHAnsi" w:hAnsiTheme="minorHAnsi"/>
          <w:color w:val="000000"/>
          <w:szCs w:val="24"/>
        </w:rPr>
      </w:pPr>
      <w:r w:rsidRPr="00D80606">
        <w:rPr>
          <w:rFonts w:asciiTheme="minorHAnsi" w:hAnsiTheme="minorHAnsi"/>
          <w:color w:val="000000"/>
        </w:rPr>
        <w:t>Podstawa: art. 17 ust. 4 lit. d</w:t>
      </w:r>
    </w:p>
    <w:p w14:paraId="52183116" w14:textId="77777777" w:rsidR="009D6F42" w:rsidRPr="00D80606" w:rsidRDefault="009D6F42" w:rsidP="009D6F42">
      <w:pPr>
        <w:ind w:left="0"/>
        <w:rPr>
          <w:rFonts w:asciiTheme="minorHAnsi" w:hAnsiTheme="minorHAnsi"/>
        </w:rPr>
      </w:pPr>
      <w:r w:rsidRPr="00D80606">
        <w:rPr>
          <w:rFonts w:asciiTheme="minorHAnsi" w:hAnsiTheme="minorHAnsi"/>
        </w:rPr>
        <w:t>Pole tekstowe: [300]</w:t>
      </w:r>
    </w:p>
    <w:tbl>
      <w:tblPr>
        <w:tblStyle w:val="Tabela-Siatka"/>
        <w:tblW w:w="0" w:type="auto"/>
        <w:tblLook w:val="04A0" w:firstRow="1" w:lastRow="0" w:firstColumn="1" w:lastColumn="0" w:noHBand="0" w:noVBand="1"/>
      </w:tblPr>
      <w:tblGrid>
        <w:gridCol w:w="9060"/>
      </w:tblGrid>
      <w:tr w:rsidR="009D6F42" w:rsidRPr="00A557D8" w14:paraId="358E48BC" w14:textId="77777777" w:rsidTr="00816A75">
        <w:tc>
          <w:tcPr>
            <w:tcW w:w="9060" w:type="dxa"/>
          </w:tcPr>
          <w:p w14:paraId="051FF1DC" w14:textId="4A673510" w:rsidR="00DD5D09" w:rsidRPr="00EB444C" w:rsidRDefault="00DD5D09" w:rsidP="00173920">
            <w:pPr>
              <w:pStyle w:val="CE-Headline3"/>
            </w:pPr>
            <w:bookmarkStart w:id="108" w:name="_Toc71036610"/>
            <w:r>
              <w:t>Priorytet 3: Współpraca na rzecz lepiej połączonej Europy Środkowej</w:t>
            </w:r>
            <w:bookmarkEnd w:id="108"/>
            <w:r>
              <w:t xml:space="preserve"> </w:t>
            </w:r>
          </w:p>
        </w:tc>
      </w:tr>
    </w:tbl>
    <w:p w14:paraId="06D8CA6B" w14:textId="77777777" w:rsidR="009D6F42" w:rsidRPr="00680741" w:rsidRDefault="009D6F42" w:rsidP="009D6F42">
      <w:pPr>
        <w:rPr>
          <w:rFonts w:asciiTheme="minorHAnsi" w:hAnsiTheme="minorHAnsi"/>
          <w:i/>
        </w:rPr>
      </w:pPr>
    </w:p>
    <w:p w14:paraId="45DA0D0A" w14:textId="77777777" w:rsidR="009D6F42" w:rsidRPr="008727F2" w:rsidRDefault="009D6F42" w:rsidP="009D6F42">
      <w:pPr>
        <w:spacing w:before="240" w:after="240" w:line="240" w:lineRule="auto"/>
        <w:ind w:left="709" w:hanging="709"/>
        <w:rPr>
          <w:rFonts w:asciiTheme="minorHAnsi" w:hAnsiTheme="minorHAnsi"/>
          <w:sz w:val="24"/>
          <w:szCs w:val="24"/>
        </w:rPr>
      </w:pPr>
      <w:r>
        <w:rPr>
          <w:rFonts w:asciiTheme="minorHAnsi" w:hAnsiTheme="minorHAnsi"/>
          <w:b/>
          <w:sz w:val="24"/>
        </w:rPr>
        <w:t>2.3.1.</w:t>
      </w:r>
      <w:r>
        <w:rPr>
          <w:rFonts w:asciiTheme="minorHAnsi" w:hAnsiTheme="minorHAnsi"/>
          <w:b/>
          <w:sz w:val="24"/>
        </w:rPr>
        <w:tab/>
        <w:t xml:space="preserve">Cel szczegółowy </w:t>
      </w:r>
      <w:r>
        <w:rPr>
          <w:rFonts w:asciiTheme="minorHAnsi" w:hAnsiTheme="minorHAnsi"/>
          <w:sz w:val="24"/>
        </w:rPr>
        <w:t xml:space="preserve"> (dla każdego wybranego celu szczegółowego, priorytetów, z wyłączeniem pomocy technicznej)</w:t>
      </w:r>
    </w:p>
    <w:p w14:paraId="59330BE0" w14:textId="77777777" w:rsidR="009D6F42" w:rsidRPr="00D80606" w:rsidRDefault="009D6F42" w:rsidP="009D6F42">
      <w:pPr>
        <w:ind w:left="0"/>
        <w:rPr>
          <w:rFonts w:asciiTheme="minorHAnsi" w:hAnsiTheme="minorHAnsi"/>
          <w:color w:val="000000"/>
        </w:rPr>
      </w:pPr>
      <w:r w:rsidRPr="00D80606">
        <w:rPr>
          <w:rFonts w:asciiTheme="minorHAnsi" w:hAnsiTheme="minorHAnsi"/>
          <w:color w:val="000000"/>
        </w:rPr>
        <w:t>Podstawa: art. 17 ust. 4 lit. e</w:t>
      </w:r>
    </w:p>
    <w:p w14:paraId="165B8903" w14:textId="1A01C7D3" w:rsidR="00CE577E" w:rsidRPr="00EB444C" w:rsidRDefault="00CE577E" w:rsidP="00173920">
      <w:pPr>
        <w:pStyle w:val="CE-Headline4"/>
      </w:pPr>
      <w:bookmarkStart w:id="109" w:name="_Toc61245877"/>
      <w:bookmarkStart w:id="110" w:name="_Toc71036611"/>
      <w:r>
        <w:t>PO3 -</w:t>
      </w:r>
      <w:r>
        <w:tab/>
        <w:t>(ii)  Rozwój zrównoważonej, odpornej na zmiany klimatu, inteligentnej i intermodalnej mobilności na poziomie krajowym, regionalnym i lokalnym, w tym poprawa dostępności sieci TEN-T i mobilności transgranicznej</w:t>
      </w:r>
      <w:bookmarkEnd w:id="109"/>
      <w:bookmarkEnd w:id="110"/>
    </w:p>
    <w:p w14:paraId="50A3FC80" w14:textId="1130E946" w:rsidR="009D6F42" w:rsidRDefault="009D6F42" w:rsidP="009D6F42">
      <w:pPr>
        <w:spacing w:before="240" w:after="240" w:line="240" w:lineRule="auto"/>
        <w:ind w:left="709" w:hanging="709"/>
        <w:rPr>
          <w:rFonts w:asciiTheme="minorHAnsi" w:hAnsiTheme="minorHAnsi"/>
          <w:b/>
          <w:sz w:val="24"/>
          <w:szCs w:val="24"/>
        </w:rPr>
      </w:pPr>
      <w:r>
        <w:rPr>
          <w:rFonts w:asciiTheme="minorHAnsi" w:hAnsiTheme="minorHAnsi"/>
          <w:b/>
          <w:sz w:val="24"/>
        </w:rPr>
        <w:t>2.3.1.1 Powiązane rodzaje działań i ich planowany wkład w osiągnięcie odpowiednio celów szczegółowych i strategii makroregionalnych i strategii dotyczących basenów morskich</w:t>
      </w:r>
    </w:p>
    <w:p w14:paraId="3E1A8E1F" w14:textId="77777777" w:rsidR="009D6F42" w:rsidRPr="00D80606" w:rsidRDefault="009D6F42" w:rsidP="009D6F42">
      <w:pPr>
        <w:ind w:left="0"/>
        <w:rPr>
          <w:rFonts w:asciiTheme="minorHAnsi" w:hAnsiTheme="minorHAnsi"/>
          <w:color w:val="000000"/>
        </w:rPr>
      </w:pPr>
      <w:r w:rsidRPr="00D80606">
        <w:rPr>
          <w:rFonts w:asciiTheme="minorHAnsi" w:hAnsiTheme="minorHAnsi"/>
          <w:color w:val="000000"/>
        </w:rPr>
        <w:t>Podstawa: art. 17 ust. 4 lit. e pkt i, artykuł 17 ust. 9 lit. c pkt ii</w:t>
      </w:r>
    </w:p>
    <w:p w14:paraId="1BCB0A04" w14:textId="77777777" w:rsidR="009D6F42" w:rsidRPr="00D80606" w:rsidRDefault="009D6F42" w:rsidP="009D6F42">
      <w:pPr>
        <w:ind w:left="0"/>
        <w:rPr>
          <w:rFonts w:asciiTheme="minorHAnsi" w:hAnsiTheme="minorHAnsi"/>
        </w:rPr>
      </w:pPr>
      <w:r w:rsidRPr="00D80606">
        <w:rPr>
          <w:rFonts w:asciiTheme="minorHAnsi" w:hAnsiTheme="minorHAnsi"/>
        </w:rPr>
        <w:t>Pole tekstowe [7000]</w:t>
      </w:r>
    </w:p>
    <w:tbl>
      <w:tblPr>
        <w:tblStyle w:val="Tabela-Siatka"/>
        <w:tblW w:w="0" w:type="auto"/>
        <w:tblLook w:val="04A0" w:firstRow="1" w:lastRow="0" w:firstColumn="1" w:lastColumn="0" w:noHBand="0" w:noVBand="1"/>
      </w:tblPr>
      <w:tblGrid>
        <w:gridCol w:w="9060"/>
      </w:tblGrid>
      <w:tr w:rsidR="009D6F42" w:rsidRPr="00F56EF1" w14:paraId="0B26371C" w14:textId="77777777" w:rsidTr="00D80606">
        <w:tc>
          <w:tcPr>
            <w:tcW w:w="9060" w:type="dxa"/>
          </w:tcPr>
          <w:p w14:paraId="574BEB42" w14:textId="77777777" w:rsidR="009D6F42" w:rsidRPr="00D80606" w:rsidRDefault="00DD5D09" w:rsidP="003F1734">
            <w:pPr>
              <w:ind w:left="0"/>
              <w:jc w:val="left"/>
              <w:rPr>
                <w:rFonts w:asciiTheme="minorHAnsi" w:hAnsiTheme="minorHAnsi"/>
                <w:b/>
                <w:color w:val="000000"/>
                <w:sz w:val="26"/>
                <w:szCs w:val="26"/>
              </w:rPr>
            </w:pPr>
            <w:r w:rsidRPr="00D80606">
              <w:rPr>
                <w:rFonts w:asciiTheme="minorHAnsi" w:hAnsiTheme="minorHAnsi"/>
                <w:b/>
                <w:color w:val="000000"/>
                <w:sz w:val="26"/>
                <w:szCs w:val="26"/>
              </w:rPr>
              <w:t>Cel szczegółowy 3.1: Poprawa połączeń transportowych obszarów wiejskich i peryferyjnych</w:t>
            </w:r>
          </w:p>
          <w:p w14:paraId="168D1879" w14:textId="77777777" w:rsidR="00DD5D09" w:rsidRPr="00D80606" w:rsidRDefault="00DD5D09" w:rsidP="00F97E96">
            <w:pPr>
              <w:ind w:left="0" w:right="25"/>
              <w:rPr>
                <w:rFonts w:asciiTheme="minorHAnsi" w:hAnsiTheme="minorHAnsi"/>
                <w:sz w:val="24"/>
                <w:szCs w:val="24"/>
              </w:rPr>
            </w:pPr>
            <w:r w:rsidRPr="00D80606">
              <w:rPr>
                <w:rFonts w:asciiTheme="minorHAnsi" w:hAnsiTheme="minorHAnsi"/>
                <w:b/>
                <w:sz w:val="24"/>
                <w:szCs w:val="24"/>
              </w:rPr>
              <w:t>Potrzeby terytorialne Europy Środkowej</w:t>
            </w:r>
            <w:r w:rsidRPr="00D80606">
              <w:rPr>
                <w:rFonts w:asciiTheme="minorHAnsi" w:hAnsiTheme="minorHAnsi"/>
                <w:sz w:val="24"/>
                <w:szCs w:val="24"/>
              </w:rPr>
              <w:t xml:space="preserve"> </w:t>
            </w:r>
          </w:p>
          <w:p w14:paraId="3DF09719" w14:textId="77777777" w:rsidR="006758EC" w:rsidRPr="00D80606" w:rsidRDefault="00143169" w:rsidP="003F1734">
            <w:pPr>
              <w:ind w:left="0" w:right="25"/>
              <w:jc w:val="left"/>
              <w:rPr>
                <w:rFonts w:asciiTheme="minorHAnsi" w:hAnsiTheme="minorHAnsi"/>
                <w:sz w:val="24"/>
                <w:szCs w:val="24"/>
              </w:rPr>
            </w:pPr>
            <w:r w:rsidRPr="00D80606">
              <w:rPr>
                <w:rFonts w:asciiTheme="minorHAnsi" w:hAnsiTheme="minorHAnsi"/>
                <w:sz w:val="24"/>
                <w:szCs w:val="24"/>
              </w:rPr>
              <w:t xml:space="preserve">Obszar objęty programem stanowi centralny węzeł komunikacyjny w sercu Europy. Siedem z dziewięciu korytarzy podstawowej transeuropejskiej sieci transportowej (TEN-T) przebiega przez Europę Środkową i łączy Morze Bałtyckie z Morzem Śródziemnym. Istniejące uwarunkowania terytorialne sprawiają, że od setek lat Europa Środkowa jest ważnym centrum szlaków handlowo-transportowych, z którymi jest połączonych wiele regionów pod względem materialnym lub społeczno-gospodarczym. Większa dostępność całego jej obszaru mogłaby strategicznie wzmocnić pozycję Europy Środkowej w handlu europejskim i światowym, a także zwiększyć jej konkurencyjność w skali regionalnej. </w:t>
            </w:r>
          </w:p>
          <w:p w14:paraId="51E17C50" w14:textId="3991F1F5" w:rsidR="004E27F2" w:rsidRPr="00D80606" w:rsidRDefault="00143169" w:rsidP="003F1734">
            <w:pPr>
              <w:ind w:left="0" w:right="25"/>
              <w:jc w:val="left"/>
              <w:rPr>
                <w:rFonts w:asciiTheme="minorHAnsi" w:hAnsiTheme="minorHAnsi"/>
                <w:sz w:val="24"/>
                <w:szCs w:val="24"/>
              </w:rPr>
            </w:pPr>
            <w:r w:rsidRPr="00D80606">
              <w:rPr>
                <w:rFonts w:asciiTheme="minorHAnsi" w:hAnsiTheme="minorHAnsi"/>
                <w:sz w:val="24"/>
                <w:szCs w:val="24"/>
              </w:rPr>
              <w:t xml:space="preserve">Część regionów, w szczególności wiejskich i peryferyjnych, w tym przygranicznych, posiada w dalszym ciągu słabe połączenia z głównymi korytarzami i węzłami transportowymi. Konieczne jest wprowadzenie inteligentnych rozwiązań transportowych, które uzupełnią brakujące połączenia i usuną wąskie gardła celem zapewnienia dobrej dostępności w skali całej Europy Środkowej. Ponadto, zgodnie z założeniami Europejskiego Zielonego Ładu, do 2050 roku emisje z transportu muszą zostać ograniczone o 90 %. Powyższe </w:t>
            </w:r>
            <w:r w:rsidRPr="00D80606">
              <w:rPr>
                <w:rFonts w:asciiTheme="minorHAnsi" w:hAnsiTheme="minorHAnsi"/>
                <w:sz w:val="24"/>
                <w:szCs w:val="24"/>
              </w:rPr>
              <w:lastRenderedPageBreak/>
              <w:t>wymaga wypracowania inteligentnych i zrównoważonych sposobów podejścia do mobilności regionalnej, intermodalności, a także wprowadzenia wspomaganych komputerowo rozwiązań służących zarządzaniu mobilnością.</w:t>
            </w:r>
          </w:p>
          <w:p w14:paraId="526AE7EC" w14:textId="77777777" w:rsidR="004E27F2" w:rsidRPr="00D80606" w:rsidRDefault="004E27F2" w:rsidP="00AA79F9">
            <w:pPr>
              <w:ind w:left="0" w:right="25"/>
              <w:rPr>
                <w:rFonts w:asciiTheme="minorHAnsi" w:hAnsiTheme="minorHAnsi"/>
                <w:sz w:val="24"/>
                <w:szCs w:val="24"/>
              </w:rPr>
            </w:pPr>
          </w:p>
          <w:p w14:paraId="13742BE1" w14:textId="77777777" w:rsidR="0051123B" w:rsidRPr="00D80606" w:rsidRDefault="0051123B" w:rsidP="00AA79F9">
            <w:pPr>
              <w:ind w:left="0" w:right="25"/>
              <w:rPr>
                <w:rFonts w:asciiTheme="minorHAnsi" w:hAnsiTheme="minorHAnsi"/>
                <w:b/>
                <w:sz w:val="24"/>
                <w:szCs w:val="24"/>
              </w:rPr>
            </w:pPr>
            <w:r w:rsidRPr="00D80606">
              <w:rPr>
                <w:rFonts w:asciiTheme="minorHAnsi" w:hAnsiTheme="minorHAnsi"/>
                <w:b/>
                <w:sz w:val="24"/>
                <w:szCs w:val="24"/>
              </w:rPr>
              <w:t>Działania w zakresie współpracy transnarodowej</w:t>
            </w:r>
          </w:p>
          <w:p w14:paraId="4FC3D309" w14:textId="4CB67686" w:rsidR="003B459D" w:rsidRPr="00D80606" w:rsidRDefault="0051123B" w:rsidP="003F1734">
            <w:pPr>
              <w:ind w:left="0" w:right="25"/>
              <w:jc w:val="left"/>
              <w:rPr>
                <w:rFonts w:asciiTheme="minorHAnsi" w:hAnsiTheme="minorHAnsi"/>
                <w:sz w:val="24"/>
                <w:szCs w:val="24"/>
              </w:rPr>
            </w:pPr>
            <w:r w:rsidRPr="00D80606">
              <w:rPr>
                <w:rFonts w:asciiTheme="minorHAnsi" w:hAnsiTheme="minorHAnsi"/>
                <w:sz w:val="24"/>
                <w:szCs w:val="24"/>
              </w:rPr>
              <w:t xml:space="preserve">W ramach niniejszego celu szczegółowego z Programu Interreg EUROPA ŚRODKOWA wsparcie będzie przyznawane na działania z zakresu współpracy transnarodowej, które zwiększają mobilność i dostępność regionów wiejskich i peryferyjnych, w szczególności mając na uwadze ich powiązania z głównymi korytarzami i węzłami transportowymi w UE. Zrównoważone rozwiązania będą ponadto ułatwiać ograniczanie zanieczyszczenia z transportu i emisji gazów cieplarnianych, a także stymulować rozwój społeczno-gospodarczy.  Dopuszczalne działania z zakresu współpracy obejmują opracowanie i realizację strategii i planów działania, narzędzi, szkoleń i działań pilotażowych. Działania powinny przyczyniać się do doskonalenia polityk związanych z transportem i zwiększenia zdolności na rzecz skoordynowanego i zintegrowanego planowania zrównoważonego transportu, systemów mobilności i właściwych rozwiązań. </w:t>
            </w:r>
          </w:p>
          <w:p w14:paraId="7D8F343C" w14:textId="6986FBF7" w:rsidR="0051123B" w:rsidRPr="00D80606" w:rsidRDefault="00E5384C" w:rsidP="005C58DA">
            <w:pPr>
              <w:ind w:left="0" w:right="25"/>
              <w:rPr>
                <w:rFonts w:asciiTheme="minorHAnsi" w:hAnsiTheme="minorHAnsi"/>
                <w:sz w:val="24"/>
                <w:szCs w:val="24"/>
              </w:rPr>
            </w:pPr>
            <w:r>
              <w:rPr>
                <w:rFonts w:asciiTheme="minorHAnsi" w:hAnsiTheme="minorHAnsi"/>
                <w:sz w:val="24"/>
                <w:szCs w:val="24"/>
              </w:rPr>
              <w:t>Konkretyzując</w:t>
            </w:r>
            <w:r w:rsidR="0051123B" w:rsidRPr="00D80606">
              <w:rPr>
                <w:rFonts w:asciiTheme="minorHAnsi" w:hAnsiTheme="minorHAnsi"/>
                <w:sz w:val="24"/>
                <w:szCs w:val="24"/>
              </w:rPr>
              <w:t>, program będzie finansował działania w następujących dziedzinach (prezentowana lista nie jest katalogiem zamkniętym):</w:t>
            </w:r>
          </w:p>
          <w:p w14:paraId="79D3E73E" w14:textId="77777777" w:rsidR="0051123B" w:rsidRPr="00D80606" w:rsidRDefault="0051123B">
            <w:pPr>
              <w:pStyle w:val="Akapitzlist"/>
              <w:numPr>
                <w:ilvl w:val="0"/>
                <w:numId w:val="50"/>
              </w:numPr>
              <w:ind w:left="714" w:right="23" w:hanging="357"/>
              <w:contextualSpacing w:val="0"/>
              <w:rPr>
                <w:rFonts w:asciiTheme="minorHAnsi" w:hAnsiTheme="minorHAnsi"/>
                <w:sz w:val="24"/>
                <w:szCs w:val="24"/>
              </w:rPr>
            </w:pPr>
            <w:r w:rsidRPr="00D80606">
              <w:rPr>
                <w:rFonts w:asciiTheme="minorHAnsi" w:hAnsiTheme="minorHAnsi"/>
                <w:sz w:val="24"/>
                <w:szCs w:val="24"/>
              </w:rPr>
              <w:t xml:space="preserve">Elastyczny regionalny transport pasażerski odpowiadający na zapotrzebowanie </w:t>
            </w:r>
          </w:p>
          <w:p w14:paraId="515B22B1" w14:textId="77777777" w:rsidR="0051123B" w:rsidRPr="00D80606" w:rsidRDefault="0051123B">
            <w:pPr>
              <w:pStyle w:val="Akapitzlist"/>
              <w:numPr>
                <w:ilvl w:val="0"/>
                <w:numId w:val="50"/>
              </w:numPr>
              <w:ind w:left="714" w:right="23" w:hanging="357"/>
              <w:contextualSpacing w:val="0"/>
              <w:rPr>
                <w:rFonts w:asciiTheme="minorHAnsi" w:hAnsiTheme="minorHAnsi"/>
                <w:sz w:val="24"/>
                <w:szCs w:val="24"/>
              </w:rPr>
            </w:pPr>
            <w:r w:rsidRPr="00D80606">
              <w:rPr>
                <w:rFonts w:asciiTheme="minorHAnsi" w:hAnsiTheme="minorHAnsi"/>
                <w:sz w:val="24"/>
                <w:szCs w:val="24"/>
              </w:rPr>
              <w:t>Dostępność obszarów wiejskich i odległych oraz ich połączenie z głównymi korytarzami transportowymi UE</w:t>
            </w:r>
          </w:p>
          <w:p w14:paraId="304ED32B" w14:textId="638B6387" w:rsidR="0051123B" w:rsidRPr="00D80606" w:rsidRDefault="003F68C3">
            <w:pPr>
              <w:pStyle w:val="Akapitzlist"/>
              <w:numPr>
                <w:ilvl w:val="0"/>
                <w:numId w:val="50"/>
              </w:numPr>
              <w:ind w:left="714" w:right="23" w:hanging="357"/>
              <w:contextualSpacing w:val="0"/>
              <w:rPr>
                <w:rFonts w:asciiTheme="minorHAnsi" w:hAnsiTheme="minorHAnsi"/>
                <w:sz w:val="24"/>
                <w:szCs w:val="24"/>
              </w:rPr>
            </w:pPr>
            <w:r w:rsidRPr="00D80606">
              <w:rPr>
                <w:rFonts w:asciiTheme="minorHAnsi" w:hAnsiTheme="minorHAnsi"/>
                <w:sz w:val="24"/>
                <w:szCs w:val="24"/>
              </w:rPr>
              <w:t>Usuwanie barier i wąskich gardeł w transporcie transgranicznym i poza granicami kraju</w:t>
            </w:r>
          </w:p>
          <w:p w14:paraId="5B07DD8E" w14:textId="3605253D" w:rsidR="0051123B" w:rsidRPr="00D80606" w:rsidRDefault="0051123B">
            <w:pPr>
              <w:pStyle w:val="Akapitzlist"/>
              <w:numPr>
                <w:ilvl w:val="0"/>
                <w:numId w:val="50"/>
              </w:numPr>
              <w:ind w:left="714" w:right="23" w:hanging="357"/>
              <w:contextualSpacing w:val="0"/>
              <w:rPr>
                <w:rFonts w:asciiTheme="minorHAnsi" w:hAnsiTheme="minorHAnsi"/>
                <w:sz w:val="24"/>
                <w:szCs w:val="24"/>
              </w:rPr>
            </w:pPr>
            <w:r w:rsidRPr="00D80606">
              <w:rPr>
                <w:rFonts w:asciiTheme="minorHAnsi" w:hAnsiTheme="minorHAnsi"/>
                <w:sz w:val="24"/>
                <w:szCs w:val="24"/>
              </w:rPr>
              <w:t>Strategiczny transport regionalny i planowanie przestrzenne</w:t>
            </w:r>
          </w:p>
          <w:p w14:paraId="57CB6E9F" w14:textId="66DDA8A7" w:rsidR="0051123B" w:rsidRPr="00D80606" w:rsidRDefault="0051123B">
            <w:pPr>
              <w:pStyle w:val="Akapitzlist"/>
              <w:numPr>
                <w:ilvl w:val="0"/>
                <w:numId w:val="50"/>
              </w:numPr>
              <w:ind w:left="714" w:right="23" w:hanging="357"/>
              <w:contextualSpacing w:val="0"/>
              <w:rPr>
                <w:rFonts w:asciiTheme="minorHAnsi" w:hAnsiTheme="minorHAnsi"/>
                <w:sz w:val="24"/>
                <w:szCs w:val="24"/>
              </w:rPr>
            </w:pPr>
            <w:r w:rsidRPr="00D80606">
              <w:rPr>
                <w:rFonts w:asciiTheme="minorHAnsi" w:hAnsiTheme="minorHAnsi"/>
                <w:sz w:val="24"/>
                <w:szCs w:val="24"/>
              </w:rPr>
              <w:t>Multimodalny transport towarowy i łańcuchy logistyczne na obszarach wiejskich i peryferyjnych oraz połączenia z węzłami transportowymi</w:t>
            </w:r>
          </w:p>
          <w:p w14:paraId="325FA207" w14:textId="77777777" w:rsidR="0051123B" w:rsidRPr="00D80606" w:rsidRDefault="0051123B">
            <w:pPr>
              <w:ind w:left="0" w:right="25"/>
              <w:rPr>
                <w:rFonts w:asciiTheme="minorHAnsi" w:hAnsiTheme="minorHAnsi"/>
                <w:sz w:val="24"/>
                <w:szCs w:val="24"/>
              </w:rPr>
            </w:pPr>
          </w:p>
          <w:p w14:paraId="19D7BF56" w14:textId="77777777" w:rsidR="0051123B" w:rsidRPr="00D80606" w:rsidRDefault="0051123B" w:rsidP="00D80606">
            <w:pPr>
              <w:spacing w:before="80" w:after="80"/>
              <w:ind w:left="0" w:right="0"/>
              <w:rPr>
                <w:rFonts w:ascii="Trebuchet MS" w:eastAsiaTheme="minorHAnsi" w:hAnsi="Trebuchet MS" w:cstheme="minorBidi"/>
                <w:b/>
                <w:sz w:val="24"/>
                <w:szCs w:val="24"/>
                <w:u w:val="single"/>
              </w:rPr>
            </w:pPr>
            <w:r w:rsidRPr="00D80606">
              <w:rPr>
                <w:rFonts w:ascii="Trebuchet MS" w:hAnsi="Trebuchet MS"/>
                <w:b/>
                <w:sz w:val="24"/>
                <w:szCs w:val="24"/>
                <w:u w:val="single"/>
              </w:rPr>
              <w:t>Przykłady wspieranych działań (prezentowana lista nie jest katalogiem zamkniętym):</w:t>
            </w:r>
          </w:p>
          <w:p w14:paraId="04D40317" w14:textId="77777777" w:rsidR="0051123B" w:rsidRPr="00D80606" w:rsidRDefault="0051123B" w:rsidP="00F56EF1">
            <w:pPr>
              <w:pStyle w:val="Akapitzlist"/>
              <w:numPr>
                <w:ilvl w:val="0"/>
                <w:numId w:val="51"/>
              </w:numPr>
              <w:ind w:left="357" w:right="23" w:hanging="357"/>
              <w:contextualSpacing w:val="0"/>
              <w:rPr>
                <w:rFonts w:asciiTheme="minorHAnsi" w:hAnsiTheme="minorHAnsi"/>
                <w:sz w:val="24"/>
                <w:szCs w:val="24"/>
              </w:rPr>
            </w:pPr>
            <w:r w:rsidRPr="00D80606">
              <w:rPr>
                <w:rFonts w:asciiTheme="minorHAnsi" w:hAnsiTheme="minorHAnsi"/>
                <w:sz w:val="24"/>
                <w:szCs w:val="24"/>
              </w:rPr>
              <w:t xml:space="preserve">Opracowywanie i wdrażanie zintegrowanych i multimodalnych strategii mobilności sprzyjających skutecznym i zrównoważonym połączeniom w regionach wiejskich i peryferyjnych oraz ich połączeniu z głównymi węzłami i korytarzami transportowymi </w:t>
            </w:r>
          </w:p>
          <w:p w14:paraId="54872959" w14:textId="77777777" w:rsidR="0051123B" w:rsidRPr="00D80606" w:rsidRDefault="0051123B" w:rsidP="00F97E96">
            <w:pPr>
              <w:pStyle w:val="Akapitzlist"/>
              <w:numPr>
                <w:ilvl w:val="0"/>
                <w:numId w:val="51"/>
              </w:numPr>
              <w:ind w:left="357" w:right="23" w:hanging="357"/>
              <w:contextualSpacing w:val="0"/>
              <w:rPr>
                <w:rFonts w:asciiTheme="minorHAnsi" w:hAnsiTheme="minorHAnsi"/>
                <w:sz w:val="24"/>
                <w:szCs w:val="24"/>
              </w:rPr>
            </w:pPr>
            <w:r w:rsidRPr="00D80606">
              <w:rPr>
                <w:rFonts w:asciiTheme="minorHAnsi" w:hAnsiTheme="minorHAnsi"/>
                <w:sz w:val="24"/>
                <w:szCs w:val="24"/>
              </w:rPr>
              <w:t xml:space="preserve">Projektowanie i przeprowadzenie testów zintegrowanych i zrównoważonych rozwiązań transportu odpowiadającego na zapotrzebowanie w celu stworzenia lepszych połączeń między obszarami wiejskimi i peryferyjnymi a </w:t>
            </w:r>
            <w:r w:rsidRPr="00D80606">
              <w:rPr>
                <w:rFonts w:asciiTheme="minorHAnsi" w:hAnsiTheme="minorHAnsi"/>
                <w:sz w:val="24"/>
                <w:szCs w:val="24"/>
              </w:rPr>
              <w:lastRenderedPageBreak/>
              <w:t xml:space="preserve">najważniejszymi węzłami transportowymi </w:t>
            </w:r>
          </w:p>
          <w:p w14:paraId="604A2AAC" w14:textId="77777777" w:rsidR="0051123B" w:rsidRPr="00D80606" w:rsidRDefault="0051123B" w:rsidP="00F97E96">
            <w:pPr>
              <w:pStyle w:val="Akapitzlist"/>
              <w:numPr>
                <w:ilvl w:val="0"/>
                <w:numId w:val="51"/>
              </w:numPr>
              <w:ind w:left="357" w:right="23" w:hanging="357"/>
              <w:contextualSpacing w:val="0"/>
              <w:rPr>
                <w:rFonts w:asciiTheme="minorHAnsi" w:hAnsiTheme="minorHAnsi"/>
                <w:sz w:val="24"/>
                <w:szCs w:val="24"/>
              </w:rPr>
            </w:pPr>
            <w:r w:rsidRPr="00D80606">
              <w:rPr>
                <w:rFonts w:asciiTheme="minorHAnsi" w:hAnsiTheme="minorHAnsi"/>
                <w:sz w:val="24"/>
                <w:szCs w:val="24"/>
              </w:rPr>
              <w:t xml:space="preserve">Ustalenie i zapewnienie wsparcia na potrzeby usuwania barier i wąskich gardeł w transporcie, np. przez rozszerzanie współpracy między interesariuszami i koordynację planowania inwestycji o znaczeniu strategicznym </w:t>
            </w:r>
          </w:p>
          <w:p w14:paraId="1854058B" w14:textId="5584EF30" w:rsidR="0051123B" w:rsidRPr="00D80606" w:rsidRDefault="0051123B" w:rsidP="00F97E96">
            <w:pPr>
              <w:pStyle w:val="Akapitzlist"/>
              <w:numPr>
                <w:ilvl w:val="0"/>
                <w:numId w:val="51"/>
              </w:numPr>
              <w:ind w:left="357" w:right="23" w:hanging="357"/>
              <w:contextualSpacing w:val="0"/>
              <w:rPr>
                <w:rFonts w:asciiTheme="minorHAnsi" w:hAnsiTheme="minorHAnsi"/>
                <w:sz w:val="24"/>
                <w:szCs w:val="24"/>
              </w:rPr>
            </w:pPr>
            <w:r w:rsidRPr="00D80606">
              <w:rPr>
                <w:rFonts w:asciiTheme="minorHAnsi" w:hAnsiTheme="minorHAnsi"/>
                <w:sz w:val="24"/>
                <w:szCs w:val="24"/>
              </w:rPr>
              <w:t>Doskonalenie koordynacji między regionalnymi przewoźnikami drogowymi w transporcie transnarodowym (w tym harmonizacja i integracja informacji biletowej i usług w skali transnarodowej oraz tworzenie ponadregionalnych partnerstw przewoźników drogowych)</w:t>
            </w:r>
          </w:p>
          <w:p w14:paraId="6A655F0A" w14:textId="77777777" w:rsidR="0051123B" w:rsidRPr="00D80606" w:rsidRDefault="0051123B" w:rsidP="00AA79F9">
            <w:pPr>
              <w:pStyle w:val="Akapitzlist"/>
              <w:numPr>
                <w:ilvl w:val="0"/>
                <w:numId w:val="51"/>
              </w:numPr>
              <w:ind w:left="357" w:right="23" w:hanging="357"/>
              <w:contextualSpacing w:val="0"/>
              <w:rPr>
                <w:rFonts w:asciiTheme="minorHAnsi" w:hAnsiTheme="minorHAnsi"/>
                <w:sz w:val="24"/>
                <w:szCs w:val="24"/>
              </w:rPr>
            </w:pPr>
            <w:r w:rsidRPr="00D80606">
              <w:rPr>
                <w:rFonts w:asciiTheme="minorHAnsi" w:hAnsiTheme="minorHAnsi"/>
                <w:sz w:val="24"/>
                <w:szCs w:val="24"/>
              </w:rPr>
              <w:t xml:space="preserve">Wymiana dobrych praktyk i opracowanie norm i zrównoważonych rozwiązań na rzecz poprawy usług mobilności w skali regionalnej w interesie publicznym i wzmocnienia ich odporności na wypadek sytuacji kryzysowych </w:t>
            </w:r>
          </w:p>
          <w:p w14:paraId="4DFBEFA7" w14:textId="77777777" w:rsidR="0051123B" w:rsidRPr="00D80606" w:rsidRDefault="0051123B" w:rsidP="00AA79F9">
            <w:pPr>
              <w:pStyle w:val="Akapitzlist"/>
              <w:numPr>
                <w:ilvl w:val="0"/>
                <w:numId w:val="51"/>
              </w:numPr>
              <w:ind w:left="357" w:right="23" w:hanging="357"/>
              <w:contextualSpacing w:val="0"/>
              <w:rPr>
                <w:rFonts w:asciiTheme="minorHAnsi" w:hAnsiTheme="minorHAnsi"/>
                <w:sz w:val="24"/>
                <w:szCs w:val="24"/>
              </w:rPr>
            </w:pPr>
            <w:r w:rsidRPr="00D80606">
              <w:rPr>
                <w:rFonts w:asciiTheme="minorHAnsi" w:hAnsiTheme="minorHAnsi"/>
                <w:sz w:val="24"/>
                <w:szCs w:val="24"/>
              </w:rPr>
              <w:t xml:space="preserve">Rozwijanie i przeprowadzanie tekstów inteligentnych koncepcji mobilności regionalnej (np. rozwiązań cyfrowych i systemów zarządzania ruchem drogowym) </w:t>
            </w:r>
          </w:p>
          <w:p w14:paraId="5525BE85" w14:textId="77777777" w:rsidR="0051123B" w:rsidRPr="00D80606" w:rsidRDefault="0051123B" w:rsidP="00AA79F9">
            <w:pPr>
              <w:pStyle w:val="Akapitzlist"/>
              <w:numPr>
                <w:ilvl w:val="0"/>
                <w:numId w:val="51"/>
              </w:numPr>
              <w:ind w:left="357" w:right="23" w:hanging="357"/>
              <w:contextualSpacing w:val="0"/>
              <w:rPr>
                <w:rFonts w:asciiTheme="minorHAnsi" w:hAnsiTheme="minorHAnsi"/>
                <w:sz w:val="24"/>
                <w:szCs w:val="24"/>
              </w:rPr>
            </w:pPr>
            <w:r w:rsidRPr="00D80606">
              <w:rPr>
                <w:rFonts w:asciiTheme="minorHAnsi" w:hAnsiTheme="minorHAnsi"/>
                <w:sz w:val="24"/>
                <w:szCs w:val="24"/>
              </w:rPr>
              <w:t>Doskonalenie strategicznego i zrównoważonego planowania transportu towarowego i logistyki w celu powiązania planowania na poziomie regionalnym z centralnymi łańcuchami wartości w Europie i inwestycjami w sieci TEN-T</w:t>
            </w:r>
          </w:p>
          <w:p w14:paraId="240AE0E4" w14:textId="77777777" w:rsidR="0051123B" w:rsidRPr="00D80606" w:rsidRDefault="0051123B" w:rsidP="005C58DA">
            <w:pPr>
              <w:pStyle w:val="Akapitzlist"/>
              <w:numPr>
                <w:ilvl w:val="0"/>
                <w:numId w:val="51"/>
              </w:numPr>
              <w:ind w:left="357" w:right="23" w:hanging="357"/>
              <w:contextualSpacing w:val="0"/>
              <w:rPr>
                <w:rFonts w:asciiTheme="minorHAnsi" w:hAnsiTheme="minorHAnsi"/>
                <w:sz w:val="24"/>
                <w:szCs w:val="24"/>
              </w:rPr>
            </w:pPr>
            <w:r w:rsidRPr="00D80606">
              <w:rPr>
                <w:rFonts w:asciiTheme="minorHAnsi" w:hAnsiTheme="minorHAnsi"/>
                <w:sz w:val="24"/>
                <w:szCs w:val="24"/>
              </w:rPr>
              <w:t>Doskonalenie zarządzania i nawigacji transportowej (w tym multimodalnej logistyki w celu lepszego wykorzystania istniejącej infrastruktury transportowej żeglugi śródlądowej i kolei)</w:t>
            </w:r>
          </w:p>
          <w:p w14:paraId="506245DF" w14:textId="4D5FC65C" w:rsidR="0051123B" w:rsidRPr="00D80606" w:rsidRDefault="0051123B">
            <w:pPr>
              <w:pStyle w:val="Akapitzlist"/>
              <w:numPr>
                <w:ilvl w:val="0"/>
                <w:numId w:val="51"/>
              </w:numPr>
              <w:ind w:left="357" w:right="23" w:hanging="357"/>
              <w:contextualSpacing w:val="0"/>
              <w:rPr>
                <w:rFonts w:asciiTheme="minorHAnsi" w:hAnsiTheme="minorHAnsi"/>
                <w:sz w:val="24"/>
                <w:szCs w:val="24"/>
              </w:rPr>
            </w:pPr>
            <w:r w:rsidRPr="00D80606">
              <w:rPr>
                <w:rFonts w:asciiTheme="minorHAnsi" w:hAnsiTheme="minorHAnsi"/>
                <w:sz w:val="24"/>
                <w:szCs w:val="24"/>
              </w:rPr>
              <w:t xml:space="preserve">Przeprowadzanie testów na potrzeby optymalizacji łańcuchów logistycznych na obszarach wiejskich i peryferyjnych przez realizację działań pilotażowych z wykorzystaniem innowacyjnych rozwiązań technologicznych (np. cyfryzacji) </w:t>
            </w:r>
          </w:p>
          <w:p w14:paraId="651F5AF2" w14:textId="0915F790" w:rsidR="0051123B" w:rsidRPr="00D80606" w:rsidRDefault="0051123B">
            <w:pPr>
              <w:pStyle w:val="Akapitzlist"/>
              <w:numPr>
                <w:ilvl w:val="0"/>
                <w:numId w:val="51"/>
              </w:numPr>
              <w:ind w:left="357" w:right="23" w:hanging="357"/>
              <w:contextualSpacing w:val="0"/>
              <w:rPr>
                <w:rFonts w:asciiTheme="minorHAnsi" w:hAnsiTheme="minorHAnsi"/>
                <w:sz w:val="24"/>
                <w:szCs w:val="24"/>
              </w:rPr>
            </w:pPr>
            <w:r w:rsidRPr="00D80606">
              <w:rPr>
                <w:rFonts w:asciiTheme="minorHAnsi" w:hAnsiTheme="minorHAnsi"/>
                <w:sz w:val="24"/>
                <w:szCs w:val="24"/>
              </w:rPr>
              <w:t>Rozwijanie i wdrażanie ekologicznych rozwiązań na potrzeby wydajnego transportu towarowego „ostatniej mili” na obszarach peryferyjnych, wiejskich i słabo zaludnionych</w:t>
            </w:r>
          </w:p>
          <w:p w14:paraId="35E965EC" w14:textId="12DA06B4" w:rsidR="003B459D" w:rsidRPr="00D80606" w:rsidRDefault="003B459D" w:rsidP="00474CE7">
            <w:pPr>
              <w:ind w:left="0" w:right="25"/>
              <w:jc w:val="left"/>
              <w:rPr>
                <w:rFonts w:asciiTheme="minorHAnsi" w:hAnsiTheme="minorHAnsi"/>
                <w:sz w:val="24"/>
                <w:szCs w:val="24"/>
              </w:rPr>
            </w:pPr>
            <w:r w:rsidRPr="00D80606">
              <w:rPr>
                <w:rFonts w:asciiTheme="minorHAnsi" w:hAnsiTheme="minorHAnsi"/>
                <w:sz w:val="24"/>
                <w:szCs w:val="24"/>
              </w:rPr>
              <w:t>Projektowanie działań w ramach niniejszego celu szczegółowego powinno uwzględniać w szczególności następujące kwestie: zmniejszenie zapotrzebowania na transport, zmniejszenie lub optymalizacja przepływów transportowych, promowanie przechodzenia na najmniej emisyjne systemy transportowe, zmniejszenie lub optymalizacja fragmentacji siedlisk oraz zmniejszenie wpływu systemów transportowych na zanieczyszczenie powietrza i hałas, zdrowie publiczne; różnorodność biologiczną oraz gatunki i siedliska Natura 2000, fragmentację krajobrazu, oddziaływania hydromorfologiczne, zajmowanie gruntów oraz dziedzictwo kulturowe i archeologiczne, a także odpowiednie konwencje międzynarodowe (np. Konwencja Alpejska, Konwencja Karpacka).</w:t>
            </w:r>
          </w:p>
          <w:p w14:paraId="6BCB0844" w14:textId="4BFCE9DB" w:rsidR="00814E24" w:rsidRPr="00D80606" w:rsidRDefault="0051123B">
            <w:pPr>
              <w:ind w:left="0" w:right="25"/>
              <w:rPr>
                <w:rFonts w:asciiTheme="minorHAnsi" w:hAnsiTheme="minorHAnsi"/>
                <w:sz w:val="24"/>
                <w:szCs w:val="24"/>
              </w:rPr>
            </w:pPr>
            <w:r w:rsidRPr="00D80606">
              <w:rPr>
                <w:rFonts w:asciiTheme="minorHAnsi" w:hAnsiTheme="minorHAnsi"/>
                <w:sz w:val="24"/>
                <w:szCs w:val="24"/>
              </w:rPr>
              <w:lastRenderedPageBreak/>
              <w:t>W ramach niniejszego celu szczegółowego Program Interreg EUROPA ŚRODKOWA będzie stanowić uzupełnienie i katalizator dalszych inwestycji w infrastrukturę transportową o dużej skali. Wobec powyższego działania powinny tworzyć synergie i być skoordynowane z pozostałymi instrumentami europejskimi i funduszami krajowymi, w tym głównymi programami EFRR,</w:t>
            </w:r>
            <w:r w:rsidR="00F56EF1">
              <w:rPr>
                <w:rFonts w:asciiTheme="minorHAnsi" w:hAnsiTheme="minorHAnsi"/>
                <w:sz w:val="24"/>
                <w:szCs w:val="24"/>
              </w:rPr>
              <w:t xml:space="preserve"> </w:t>
            </w:r>
            <w:r w:rsidRPr="00D80606">
              <w:rPr>
                <w:rFonts w:asciiTheme="minorHAnsi" w:hAnsiTheme="minorHAnsi"/>
                <w:sz w:val="24"/>
                <w:szCs w:val="24"/>
              </w:rPr>
              <w:t xml:space="preserve">instrumentem „Łącząc Europę”, instrumentami finansowymi EBI, a także transgranicznymi programami Interreg, a także uwzględniać odpowiednie plany działania w ramach strategii makroregionalnych. </w:t>
            </w:r>
          </w:p>
          <w:p w14:paraId="782B079A" w14:textId="77777777" w:rsidR="0051123B" w:rsidRPr="00D80606" w:rsidRDefault="0051123B">
            <w:pPr>
              <w:ind w:left="0"/>
              <w:rPr>
                <w:rFonts w:asciiTheme="minorHAnsi" w:hAnsiTheme="minorHAnsi"/>
                <w:color w:val="000000"/>
                <w:sz w:val="24"/>
                <w:szCs w:val="24"/>
              </w:rPr>
            </w:pPr>
          </w:p>
          <w:p w14:paraId="25CF86B9" w14:textId="77777777" w:rsidR="0051123B" w:rsidRPr="00D80606" w:rsidRDefault="0051123B">
            <w:pPr>
              <w:ind w:left="0" w:right="25"/>
              <w:rPr>
                <w:rFonts w:asciiTheme="minorHAnsi" w:hAnsiTheme="minorHAnsi"/>
                <w:b/>
                <w:sz w:val="24"/>
                <w:szCs w:val="24"/>
              </w:rPr>
            </w:pPr>
            <w:r w:rsidRPr="00D80606">
              <w:rPr>
                <w:rFonts w:asciiTheme="minorHAnsi" w:hAnsiTheme="minorHAnsi"/>
                <w:b/>
                <w:sz w:val="24"/>
                <w:szCs w:val="24"/>
              </w:rPr>
              <w:t xml:space="preserve">Planowane wyniki </w:t>
            </w:r>
          </w:p>
          <w:p w14:paraId="599A2FBC" w14:textId="257030B7" w:rsidR="009D6F42" w:rsidRPr="00D80606" w:rsidRDefault="0051123B">
            <w:pPr>
              <w:ind w:left="0" w:right="25"/>
              <w:rPr>
                <w:rFonts w:asciiTheme="minorHAnsi" w:hAnsiTheme="minorHAnsi"/>
                <w:i/>
                <w:color w:val="000000"/>
                <w:sz w:val="24"/>
                <w:szCs w:val="24"/>
              </w:rPr>
            </w:pPr>
            <w:r w:rsidRPr="00D80606">
              <w:rPr>
                <w:rFonts w:asciiTheme="minorHAnsi" w:hAnsiTheme="minorHAnsi"/>
                <w:sz w:val="24"/>
                <w:szCs w:val="24"/>
              </w:rPr>
              <w:t>Działania w ramach współpracy transnarodowej będą służyć budowie zdolności regionów Europy Środkowej w zakresie projektowania i realizacji lepszych usług zrównoważonego transportu i mobilności na obszarach wiejskich i peryferyjnych, w tym na obszarach przygranicznych. Przyczyni się to do poprawy koordynacji między interesariuszami transportowymi i dostępem regionów do głównych korytarzy i węzłów transportowych. Nowatorskie sposoby podejścia zostaną potwierdzone w ramach działań pilotażowych. Przewiduje się, że w procesie przygotowania inwestycji zostaną wykorzystane inwestycje finansowane z pozostałych instrumentów finansowych, co będzie ostatecznie prowadzić do stosowania rozwiązań transportowych na szerszą skalę na całym obszarze Europy Środkowej.</w:t>
            </w:r>
          </w:p>
        </w:tc>
      </w:tr>
    </w:tbl>
    <w:p w14:paraId="541CF1A8" w14:textId="77777777" w:rsidR="009D6F42" w:rsidRPr="00680741" w:rsidRDefault="009D6F42" w:rsidP="009D6F42">
      <w:pPr>
        <w:rPr>
          <w:rFonts w:asciiTheme="minorHAnsi" w:hAnsiTheme="minorHAnsi"/>
          <w:i/>
          <w:color w:val="000000"/>
        </w:rPr>
      </w:pPr>
    </w:p>
    <w:p w14:paraId="756F949E" w14:textId="77777777" w:rsidR="009D6F42" w:rsidRPr="00D80606" w:rsidRDefault="009D6F42" w:rsidP="009D6F42">
      <w:pPr>
        <w:spacing w:before="240" w:after="240" w:line="240" w:lineRule="auto"/>
        <w:ind w:left="0"/>
        <w:rPr>
          <w:rFonts w:asciiTheme="minorHAnsi" w:hAnsiTheme="minorHAnsi"/>
          <w:b/>
          <w:sz w:val="24"/>
          <w:szCs w:val="24"/>
        </w:rPr>
      </w:pPr>
      <w:r w:rsidRPr="00D80606">
        <w:rPr>
          <w:rFonts w:asciiTheme="minorHAnsi" w:hAnsiTheme="minorHAnsi"/>
          <w:b/>
          <w:sz w:val="24"/>
          <w:szCs w:val="24"/>
        </w:rPr>
        <w:t>Dla programów INTERACT i ESPON:</w:t>
      </w:r>
    </w:p>
    <w:p w14:paraId="54A56264" w14:textId="77777777" w:rsidR="009D6F42" w:rsidRPr="00D80606" w:rsidRDefault="009D6F42"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9 lit. c punkt i</w:t>
      </w:r>
    </w:p>
    <w:p w14:paraId="67BC6CDE" w14:textId="77777777" w:rsidR="009D6F42" w:rsidRPr="00D80606" w:rsidRDefault="009D6F42"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Definicja pojedynczego beneficjenta lub zamkniętej listy beneficjentów i procedura przyznawania środków finansowych.</w:t>
      </w:r>
    </w:p>
    <w:p w14:paraId="42A978FC" w14:textId="77777777" w:rsidR="004B6D04" w:rsidRPr="00D80606" w:rsidRDefault="004B6D04"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Pole tekstowe [7000]</w:t>
      </w:r>
    </w:p>
    <w:p w14:paraId="7A932A71" w14:textId="77777777" w:rsidR="009D6F42" w:rsidRPr="00D80606" w:rsidRDefault="00004898" w:rsidP="009D6F42">
      <w:pPr>
        <w:pBdr>
          <w:top w:val="single" w:sz="4" w:space="1" w:color="000000"/>
          <w:left w:val="single" w:sz="4" w:space="4" w:color="000000"/>
          <w:bottom w:val="single" w:sz="4" w:space="1" w:color="000000"/>
          <w:right w:val="single" w:sz="4" w:space="4" w:color="000000"/>
        </w:pBdr>
        <w:ind w:left="142"/>
        <w:rPr>
          <w:rFonts w:asciiTheme="minorHAnsi" w:hAnsiTheme="minorHAnsi"/>
          <w:color w:val="000000"/>
          <w:sz w:val="24"/>
          <w:szCs w:val="24"/>
        </w:rPr>
      </w:pPr>
      <w:r w:rsidRPr="00D80606">
        <w:rPr>
          <w:rFonts w:asciiTheme="minorHAnsi" w:hAnsiTheme="minorHAnsi"/>
          <w:color w:val="000000"/>
          <w:sz w:val="24"/>
          <w:szCs w:val="24"/>
        </w:rPr>
        <w:t>Nie dotyczy.</w:t>
      </w:r>
    </w:p>
    <w:p w14:paraId="7AD03B84" w14:textId="77777777" w:rsidR="004B6D04" w:rsidRPr="00680741" w:rsidRDefault="004B6D04" w:rsidP="009D6F42">
      <w:pPr>
        <w:spacing w:before="240" w:after="240" w:line="240" w:lineRule="auto"/>
        <w:ind w:left="709" w:hanging="709"/>
        <w:rPr>
          <w:rFonts w:asciiTheme="minorHAnsi" w:hAnsiTheme="minorHAnsi"/>
          <w:b/>
          <w:sz w:val="24"/>
          <w:szCs w:val="24"/>
        </w:rPr>
      </w:pPr>
    </w:p>
    <w:p w14:paraId="21882A92" w14:textId="77777777" w:rsidR="009D6F42" w:rsidRPr="008727F2" w:rsidRDefault="009D6F42" w:rsidP="009D6F42">
      <w:pPr>
        <w:spacing w:before="240" w:after="240" w:line="240" w:lineRule="auto"/>
        <w:ind w:left="709" w:hanging="709"/>
        <w:rPr>
          <w:rFonts w:asciiTheme="minorHAnsi" w:hAnsiTheme="minorHAnsi"/>
          <w:b/>
          <w:sz w:val="24"/>
          <w:szCs w:val="24"/>
        </w:rPr>
      </w:pPr>
      <w:r>
        <w:rPr>
          <w:rFonts w:asciiTheme="minorHAnsi" w:hAnsiTheme="minorHAnsi"/>
          <w:b/>
          <w:sz w:val="24"/>
        </w:rPr>
        <w:t>2.3.1.2</w:t>
      </w:r>
      <w:r>
        <w:rPr>
          <w:rFonts w:asciiTheme="minorHAnsi" w:hAnsiTheme="minorHAnsi"/>
          <w:b/>
          <w:sz w:val="24"/>
        </w:rPr>
        <w:tab/>
        <w:t>Wskaźniki</w:t>
      </w:r>
    </w:p>
    <w:p w14:paraId="7FD5E100" w14:textId="77777777" w:rsidR="009D6F42" w:rsidRPr="00D80606" w:rsidRDefault="009D6F42"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ii, art. 17 ust. 9 lit. c punkt iii</w:t>
      </w:r>
    </w:p>
    <w:p w14:paraId="4B25C585" w14:textId="77777777" w:rsidR="008E2A7A" w:rsidRPr="009A0D85" w:rsidRDefault="008E2A7A" w:rsidP="008E2A7A">
      <w:pPr>
        <w:spacing w:before="240" w:after="240" w:line="240" w:lineRule="auto"/>
        <w:ind w:left="0"/>
        <w:rPr>
          <w:rFonts w:asciiTheme="minorHAnsi" w:hAnsiTheme="minorHAnsi"/>
          <w:szCs w:val="24"/>
        </w:rPr>
      </w:pPr>
      <w:r>
        <w:rPr>
          <w:rFonts w:asciiTheme="minorHAnsi" w:hAnsiTheme="minorHAnsi"/>
        </w:rPr>
        <w:t>Tabela 2: Wskaźniki produktów</w:t>
      </w:r>
    </w:p>
    <w:tbl>
      <w:tblPr>
        <w:tblStyle w:val="18"/>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4"/>
        <w:gridCol w:w="1331"/>
        <w:gridCol w:w="1418"/>
        <w:gridCol w:w="2202"/>
        <w:gridCol w:w="1688"/>
        <w:gridCol w:w="1018"/>
        <w:gridCol w:w="1075"/>
      </w:tblGrid>
      <w:tr w:rsidR="008E2A7A" w:rsidRPr="008727F2" w14:paraId="736D8F1D" w14:textId="77777777" w:rsidTr="00474CE7">
        <w:trPr>
          <w:trHeight w:val="836"/>
        </w:trPr>
        <w:tc>
          <w:tcPr>
            <w:tcW w:w="398" w:type="pct"/>
          </w:tcPr>
          <w:p w14:paraId="0317575C"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Priorytet </w:t>
            </w:r>
          </w:p>
        </w:tc>
        <w:tc>
          <w:tcPr>
            <w:tcW w:w="467" w:type="pct"/>
          </w:tcPr>
          <w:p w14:paraId="317F284F"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szczegółowy</w:t>
            </w:r>
          </w:p>
        </w:tc>
        <w:tc>
          <w:tcPr>
            <w:tcW w:w="534" w:type="pct"/>
          </w:tcPr>
          <w:p w14:paraId="763A27E7"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IDENTYFIKATOR</w:t>
            </w:r>
          </w:p>
          <w:p w14:paraId="3019CB85"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[5]</w:t>
            </w:r>
          </w:p>
        </w:tc>
        <w:tc>
          <w:tcPr>
            <w:tcW w:w="1267" w:type="pct"/>
            <w:shd w:val="clear" w:color="auto" w:fill="auto"/>
          </w:tcPr>
          <w:p w14:paraId="68A177DE"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Wskaźnik </w:t>
            </w:r>
          </w:p>
        </w:tc>
        <w:tc>
          <w:tcPr>
            <w:tcW w:w="1000" w:type="pct"/>
          </w:tcPr>
          <w:p w14:paraId="15807597"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Jednostka miary</w:t>
            </w:r>
          </w:p>
          <w:p w14:paraId="7C2BD195"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[255]</w:t>
            </w:r>
          </w:p>
        </w:tc>
        <w:tc>
          <w:tcPr>
            <w:tcW w:w="652" w:type="pct"/>
            <w:shd w:val="clear" w:color="auto" w:fill="auto"/>
          </w:tcPr>
          <w:p w14:paraId="38143605"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Kamień milowy (2024)</w:t>
            </w:r>
          </w:p>
          <w:p w14:paraId="7A691F13"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[200]</w:t>
            </w:r>
          </w:p>
        </w:tc>
        <w:tc>
          <w:tcPr>
            <w:tcW w:w="682" w:type="pct"/>
            <w:shd w:val="clear" w:color="auto" w:fill="auto"/>
          </w:tcPr>
          <w:p w14:paraId="2DDA2420"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końcowy (2029)</w:t>
            </w:r>
          </w:p>
          <w:p w14:paraId="24A89BCB"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[200]</w:t>
            </w:r>
          </w:p>
        </w:tc>
      </w:tr>
      <w:tr w:rsidR="008E2A7A" w:rsidRPr="001B3725" w14:paraId="329DD375" w14:textId="77777777" w:rsidTr="00474CE7">
        <w:trPr>
          <w:trHeight w:val="579"/>
        </w:trPr>
        <w:tc>
          <w:tcPr>
            <w:tcW w:w="398" w:type="pct"/>
          </w:tcPr>
          <w:p w14:paraId="4D18399B" w14:textId="77777777" w:rsidR="008E2A7A" w:rsidRPr="001B3B78" w:rsidRDefault="00501333"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lastRenderedPageBreak/>
              <w:t>3</w:t>
            </w:r>
          </w:p>
        </w:tc>
        <w:tc>
          <w:tcPr>
            <w:tcW w:w="467" w:type="pct"/>
          </w:tcPr>
          <w:p w14:paraId="3566C2B4" w14:textId="77777777" w:rsidR="008E2A7A" w:rsidRPr="001B3B78" w:rsidRDefault="008E2A7A"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3.1</w:t>
            </w:r>
          </w:p>
        </w:tc>
        <w:tc>
          <w:tcPr>
            <w:tcW w:w="534" w:type="pct"/>
          </w:tcPr>
          <w:p w14:paraId="42485399" w14:textId="77777777" w:rsidR="008E2A7A" w:rsidRPr="001B3B78" w:rsidRDefault="008E2A7A"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83 RCO</w:t>
            </w:r>
          </w:p>
        </w:tc>
        <w:tc>
          <w:tcPr>
            <w:tcW w:w="1267" w:type="pct"/>
            <w:shd w:val="clear" w:color="auto" w:fill="auto"/>
          </w:tcPr>
          <w:p w14:paraId="6BBBF71C" w14:textId="77777777" w:rsidR="008E2A7A" w:rsidRPr="00867331" w:rsidRDefault="008E2A7A"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Wspólnie opracowane strategie i plany działania</w:t>
            </w:r>
          </w:p>
        </w:tc>
        <w:tc>
          <w:tcPr>
            <w:tcW w:w="1000" w:type="pct"/>
          </w:tcPr>
          <w:p w14:paraId="2503E7E8" w14:textId="77777777" w:rsidR="008E2A7A" w:rsidRPr="001B3B78" w:rsidRDefault="008E2A7A"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Strategia/plan działania</w:t>
            </w:r>
          </w:p>
        </w:tc>
        <w:tc>
          <w:tcPr>
            <w:tcW w:w="652" w:type="pct"/>
            <w:shd w:val="clear" w:color="auto" w:fill="auto"/>
          </w:tcPr>
          <w:p w14:paraId="21E47724" w14:textId="77777777" w:rsidR="008E2A7A" w:rsidRPr="001B3B78" w:rsidRDefault="008E2A7A" w:rsidP="00D22A6D">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54BB5AF9" w14:textId="77777777" w:rsidR="008E2A7A" w:rsidRPr="001B3B78" w:rsidRDefault="008E2A7A" w:rsidP="00D22A6D">
            <w:pPr>
              <w:pBdr>
                <w:top w:val="nil"/>
                <w:left w:val="nil"/>
                <w:bottom w:val="nil"/>
                <w:right w:val="nil"/>
                <w:between w:val="nil"/>
              </w:pBdr>
              <w:spacing w:after="120" w:line="240" w:lineRule="auto"/>
              <w:ind w:left="0" w:right="0"/>
              <w:rPr>
                <w:rFonts w:asciiTheme="minorHAnsi" w:hAnsiTheme="minorHAnsi"/>
                <w:color w:val="000000"/>
              </w:rPr>
            </w:pPr>
          </w:p>
        </w:tc>
      </w:tr>
      <w:tr w:rsidR="00501333" w:rsidRPr="008727F2" w14:paraId="4D32C6FC" w14:textId="77777777" w:rsidTr="00474CE7">
        <w:trPr>
          <w:trHeight w:val="579"/>
        </w:trPr>
        <w:tc>
          <w:tcPr>
            <w:tcW w:w="398" w:type="pct"/>
          </w:tcPr>
          <w:p w14:paraId="6BC5F08A" w14:textId="77777777" w:rsidR="00501333" w:rsidRPr="001B3B78"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3</w:t>
            </w:r>
          </w:p>
        </w:tc>
        <w:tc>
          <w:tcPr>
            <w:tcW w:w="467" w:type="pct"/>
          </w:tcPr>
          <w:p w14:paraId="23A9D173"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3.1</w:t>
            </w:r>
          </w:p>
        </w:tc>
        <w:tc>
          <w:tcPr>
            <w:tcW w:w="534" w:type="pct"/>
          </w:tcPr>
          <w:p w14:paraId="44D4F13C"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84 RCO</w:t>
            </w:r>
          </w:p>
        </w:tc>
        <w:tc>
          <w:tcPr>
            <w:tcW w:w="1267" w:type="pct"/>
            <w:shd w:val="clear" w:color="auto" w:fill="auto"/>
          </w:tcPr>
          <w:p w14:paraId="38375713" w14:textId="77777777" w:rsidR="00501333" w:rsidRPr="00867331"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Działania pilotażowe opracowane wspólnie i realizowane w ramach projektów</w:t>
            </w:r>
          </w:p>
        </w:tc>
        <w:tc>
          <w:tcPr>
            <w:tcW w:w="1000" w:type="pct"/>
          </w:tcPr>
          <w:p w14:paraId="3E144A4C" w14:textId="77777777" w:rsidR="00501333" w:rsidRPr="001B3B78"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Działanie pilotażowe</w:t>
            </w:r>
          </w:p>
        </w:tc>
        <w:tc>
          <w:tcPr>
            <w:tcW w:w="652" w:type="pct"/>
            <w:shd w:val="clear" w:color="auto" w:fill="auto"/>
          </w:tcPr>
          <w:p w14:paraId="2B7309A5"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7745D614"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p>
        </w:tc>
      </w:tr>
      <w:tr w:rsidR="00501333" w:rsidRPr="008727F2" w14:paraId="5DBE8710" w14:textId="77777777" w:rsidTr="00474CE7">
        <w:trPr>
          <w:trHeight w:val="579"/>
        </w:trPr>
        <w:tc>
          <w:tcPr>
            <w:tcW w:w="398" w:type="pct"/>
          </w:tcPr>
          <w:p w14:paraId="300885FE" w14:textId="77777777" w:rsidR="00501333" w:rsidRPr="001B3B78"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3</w:t>
            </w:r>
          </w:p>
        </w:tc>
        <w:tc>
          <w:tcPr>
            <w:tcW w:w="467" w:type="pct"/>
          </w:tcPr>
          <w:p w14:paraId="52092FF3"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3.1</w:t>
            </w:r>
          </w:p>
        </w:tc>
        <w:tc>
          <w:tcPr>
            <w:tcW w:w="534" w:type="pct"/>
          </w:tcPr>
          <w:p w14:paraId="45814C7A" w14:textId="77777777" w:rsidR="00501333"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87 RCO</w:t>
            </w:r>
          </w:p>
        </w:tc>
        <w:tc>
          <w:tcPr>
            <w:tcW w:w="1267" w:type="pct"/>
            <w:shd w:val="clear" w:color="auto" w:fill="auto"/>
          </w:tcPr>
          <w:p w14:paraId="0C5FBDF0" w14:textId="77777777" w:rsidR="00501333" w:rsidRPr="001B3B78"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Organizacje współpracujące ponad granicami</w:t>
            </w:r>
          </w:p>
        </w:tc>
        <w:tc>
          <w:tcPr>
            <w:tcW w:w="1000" w:type="pct"/>
          </w:tcPr>
          <w:p w14:paraId="50065CF4" w14:textId="77777777" w:rsidR="00501333" w:rsidRPr="001B3B78"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Organizacja</w:t>
            </w:r>
          </w:p>
        </w:tc>
        <w:tc>
          <w:tcPr>
            <w:tcW w:w="652" w:type="pct"/>
            <w:shd w:val="clear" w:color="auto" w:fill="auto"/>
          </w:tcPr>
          <w:p w14:paraId="1F28E265"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7E8209CA"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p>
        </w:tc>
      </w:tr>
      <w:tr w:rsidR="00501333" w:rsidRPr="008727F2" w14:paraId="17B2D214" w14:textId="77777777" w:rsidTr="00474CE7">
        <w:trPr>
          <w:trHeight w:val="579"/>
        </w:trPr>
        <w:tc>
          <w:tcPr>
            <w:tcW w:w="398" w:type="pct"/>
          </w:tcPr>
          <w:p w14:paraId="7150543D" w14:textId="77777777" w:rsidR="00501333" w:rsidRPr="001B3B78"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3</w:t>
            </w:r>
          </w:p>
        </w:tc>
        <w:tc>
          <w:tcPr>
            <w:tcW w:w="467" w:type="pct"/>
          </w:tcPr>
          <w:p w14:paraId="31BCA9CA"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3.1</w:t>
            </w:r>
          </w:p>
        </w:tc>
        <w:tc>
          <w:tcPr>
            <w:tcW w:w="534" w:type="pct"/>
          </w:tcPr>
          <w:p w14:paraId="2DCA6727" w14:textId="77777777" w:rsidR="00501333" w:rsidRPr="00501333"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116 RCO</w:t>
            </w:r>
          </w:p>
        </w:tc>
        <w:tc>
          <w:tcPr>
            <w:tcW w:w="1267" w:type="pct"/>
            <w:shd w:val="clear" w:color="auto" w:fill="auto"/>
          </w:tcPr>
          <w:p w14:paraId="48E4028F" w14:textId="77777777" w:rsidR="00501333" w:rsidRPr="00501333"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Wspólnie opracowane rozwiązania</w:t>
            </w:r>
          </w:p>
        </w:tc>
        <w:tc>
          <w:tcPr>
            <w:tcW w:w="1000" w:type="pct"/>
          </w:tcPr>
          <w:p w14:paraId="6E42F50C" w14:textId="77777777" w:rsidR="00501333" w:rsidRPr="00501333"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Rozwiązanie</w:t>
            </w:r>
          </w:p>
        </w:tc>
        <w:tc>
          <w:tcPr>
            <w:tcW w:w="652" w:type="pct"/>
            <w:shd w:val="clear" w:color="auto" w:fill="auto"/>
          </w:tcPr>
          <w:p w14:paraId="19BFCA0B"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6DB6C50F"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p>
        </w:tc>
      </w:tr>
      <w:tr w:rsidR="00501333" w:rsidRPr="008727F2" w14:paraId="5FC834B3" w14:textId="77777777" w:rsidTr="00474CE7">
        <w:trPr>
          <w:trHeight w:val="579"/>
        </w:trPr>
        <w:tc>
          <w:tcPr>
            <w:tcW w:w="398" w:type="pct"/>
          </w:tcPr>
          <w:p w14:paraId="42320608" w14:textId="77777777" w:rsidR="00501333" w:rsidRPr="004854D7"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highlight w:val="yellow"/>
              </w:rPr>
            </w:pPr>
            <w:r>
              <w:rPr>
                <w:rFonts w:asciiTheme="minorHAnsi" w:hAnsiTheme="minorHAnsi"/>
                <w:color w:val="000000"/>
              </w:rPr>
              <w:t>3</w:t>
            </w:r>
          </w:p>
        </w:tc>
        <w:tc>
          <w:tcPr>
            <w:tcW w:w="467" w:type="pct"/>
          </w:tcPr>
          <w:p w14:paraId="141E46A9" w14:textId="77777777" w:rsidR="00501333" w:rsidRPr="004854D7" w:rsidRDefault="00501333" w:rsidP="00501333">
            <w:pPr>
              <w:pBdr>
                <w:top w:val="nil"/>
                <w:left w:val="nil"/>
                <w:bottom w:val="nil"/>
                <w:right w:val="nil"/>
                <w:between w:val="nil"/>
              </w:pBdr>
              <w:spacing w:after="120" w:line="240" w:lineRule="auto"/>
              <w:ind w:left="0" w:right="0"/>
              <w:rPr>
                <w:rFonts w:asciiTheme="minorHAnsi" w:hAnsiTheme="minorHAnsi"/>
                <w:color w:val="000000"/>
                <w:highlight w:val="yellow"/>
              </w:rPr>
            </w:pPr>
            <w:r>
              <w:rPr>
                <w:rFonts w:asciiTheme="minorHAnsi" w:hAnsiTheme="minorHAnsi"/>
                <w:color w:val="000000"/>
              </w:rPr>
              <w:t>Cel szczegółowy 3.1</w:t>
            </w:r>
          </w:p>
        </w:tc>
        <w:tc>
          <w:tcPr>
            <w:tcW w:w="534" w:type="pct"/>
          </w:tcPr>
          <w:p w14:paraId="68898E7E" w14:textId="77777777" w:rsidR="00501333" w:rsidRPr="00501333"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119 RCO</w:t>
            </w:r>
          </w:p>
        </w:tc>
        <w:tc>
          <w:tcPr>
            <w:tcW w:w="1267" w:type="pct"/>
            <w:shd w:val="clear" w:color="auto" w:fill="auto"/>
          </w:tcPr>
          <w:p w14:paraId="002C7475" w14:textId="77777777" w:rsidR="00501333" w:rsidRPr="00867331"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Projekty wspierające współpracę transgraniczną w celu rozwijania powiązań między obszarami miejskimi i wiejskimi</w:t>
            </w:r>
          </w:p>
        </w:tc>
        <w:tc>
          <w:tcPr>
            <w:tcW w:w="1000" w:type="pct"/>
          </w:tcPr>
          <w:p w14:paraId="447C6992" w14:textId="77777777" w:rsidR="00501333" w:rsidRPr="00501333"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Projekt</w:t>
            </w:r>
          </w:p>
        </w:tc>
        <w:tc>
          <w:tcPr>
            <w:tcW w:w="652" w:type="pct"/>
            <w:shd w:val="clear" w:color="auto" w:fill="auto"/>
          </w:tcPr>
          <w:p w14:paraId="73EAE14D"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14D23858"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p>
        </w:tc>
      </w:tr>
    </w:tbl>
    <w:p w14:paraId="51A94294" w14:textId="77777777" w:rsidR="008E2A7A" w:rsidRPr="009A0D85" w:rsidRDefault="008E2A7A" w:rsidP="008E2A7A">
      <w:pPr>
        <w:spacing w:before="240" w:after="240" w:line="240" w:lineRule="auto"/>
        <w:ind w:left="0"/>
        <w:rPr>
          <w:rFonts w:asciiTheme="minorHAnsi" w:hAnsiTheme="minorHAnsi"/>
          <w:szCs w:val="24"/>
        </w:rPr>
      </w:pPr>
      <w:r>
        <w:rPr>
          <w:rFonts w:asciiTheme="minorHAnsi" w:hAnsiTheme="minorHAnsi"/>
        </w:rPr>
        <w:t>Tabela 3: Wskaźniki wyników</w:t>
      </w:r>
    </w:p>
    <w:tbl>
      <w:tblPr>
        <w:tblStyle w:val="1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53"/>
        <w:gridCol w:w="1083"/>
        <w:gridCol w:w="1151"/>
        <w:gridCol w:w="1313"/>
        <w:gridCol w:w="1086"/>
        <w:gridCol w:w="777"/>
        <w:gridCol w:w="892"/>
        <w:gridCol w:w="738"/>
        <w:gridCol w:w="1266"/>
        <w:gridCol w:w="577"/>
      </w:tblGrid>
      <w:tr w:rsidR="008E2A7A" w:rsidRPr="008727F2" w14:paraId="42B8FB01" w14:textId="77777777" w:rsidTr="00474CE7">
        <w:trPr>
          <w:trHeight w:val="947"/>
        </w:trPr>
        <w:tc>
          <w:tcPr>
            <w:tcW w:w="400" w:type="pct"/>
          </w:tcPr>
          <w:p w14:paraId="656BFD8E"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Priorytet </w:t>
            </w:r>
          </w:p>
        </w:tc>
        <w:tc>
          <w:tcPr>
            <w:tcW w:w="431" w:type="pct"/>
          </w:tcPr>
          <w:p w14:paraId="7AEB2FF6"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szczegółowy</w:t>
            </w:r>
          </w:p>
        </w:tc>
        <w:tc>
          <w:tcPr>
            <w:tcW w:w="461" w:type="pct"/>
          </w:tcPr>
          <w:p w14:paraId="2B9BE87B"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IDENTYFIKATOR</w:t>
            </w:r>
          </w:p>
        </w:tc>
        <w:tc>
          <w:tcPr>
            <w:tcW w:w="821" w:type="pct"/>
            <w:shd w:val="clear" w:color="auto" w:fill="auto"/>
          </w:tcPr>
          <w:p w14:paraId="173270C1"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Wskaźnik </w:t>
            </w:r>
          </w:p>
        </w:tc>
        <w:tc>
          <w:tcPr>
            <w:tcW w:w="641" w:type="pct"/>
          </w:tcPr>
          <w:p w14:paraId="051C6D31"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Jednostka miary</w:t>
            </w:r>
          </w:p>
        </w:tc>
        <w:tc>
          <w:tcPr>
            <w:tcW w:w="387" w:type="pct"/>
          </w:tcPr>
          <w:p w14:paraId="2E959272"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Podstawa</w:t>
            </w:r>
          </w:p>
        </w:tc>
        <w:tc>
          <w:tcPr>
            <w:tcW w:w="384" w:type="pct"/>
          </w:tcPr>
          <w:p w14:paraId="3B1FE83F"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Rok odniesienia</w:t>
            </w:r>
          </w:p>
        </w:tc>
        <w:tc>
          <w:tcPr>
            <w:tcW w:w="416" w:type="pct"/>
            <w:shd w:val="clear" w:color="auto" w:fill="auto"/>
          </w:tcPr>
          <w:p w14:paraId="521D81A4"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końcowy (2029)</w:t>
            </w:r>
          </w:p>
        </w:tc>
        <w:tc>
          <w:tcPr>
            <w:tcW w:w="572" w:type="pct"/>
            <w:shd w:val="clear" w:color="auto" w:fill="auto"/>
          </w:tcPr>
          <w:p w14:paraId="510358BA" w14:textId="77777777" w:rsidR="008E2A7A" w:rsidRPr="008503E7" w:rsidRDefault="008E2A7A" w:rsidP="00D22A6D">
            <w:pPr>
              <w:pBdr>
                <w:top w:val="nil"/>
                <w:left w:val="nil"/>
                <w:bottom w:val="nil"/>
                <w:right w:val="nil"/>
                <w:between w:val="nil"/>
              </w:pBdr>
              <w:spacing w:after="120" w:line="240" w:lineRule="auto"/>
              <w:ind w:left="0" w:right="0"/>
              <w:jc w:val="center"/>
              <w:rPr>
                <w:rFonts w:asciiTheme="minorHAnsi" w:hAnsiTheme="minorHAnsi"/>
                <w:b/>
                <w:color w:val="000000"/>
                <w:sz w:val="16"/>
                <w:szCs w:val="16"/>
              </w:rPr>
            </w:pPr>
            <w:r>
              <w:rPr>
                <w:rFonts w:asciiTheme="minorHAnsi" w:hAnsiTheme="minorHAnsi"/>
                <w:b/>
                <w:color w:val="000000"/>
                <w:sz w:val="16"/>
              </w:rPr>
              <w:t>Źródło danych</w:t>
            </w:r>
          </w:p>
        </w:tc>
        <w:tc>
          <w:tcPr>
            <w:tcW w:w="486" w:type="pct"/>
          </w:tcPr>
          <w:p w14:paraId="086FC3D8" w14:textId="77777777" w:rsidR="008E2A7A" w:rsidRPr="00570B26" w:rsidRDefault="008E2A7A" w:rsidP="00D22A6D">
            <w:pPr>
              <w:pBdr>
                <w:top w:val="nil"/>
                <w:left w:val="nil"/>
                <w:bottom w:val="nil"/>
                <w:right w:val="nil"/>
                <w:between w:val="nil"/>
              </w:pBdr>
              <w:spacing w:after="120" w:line="480" w:lineRule="auto"/>
              <w:ind w:left="0" w:right="0"/>
              <w:rPr>
                <w:rFonts w:asciiTheme="minorHAnsi" w:hAnsiTheme="minorHAnsi"/>
                <w:b/>
                <w:color w:val="000000"/>
                <w:sz w:val="16"/>
                <w:szCs w:val="16"/>
              </w:rPr>
            </w:pPr>
            <w:r>
              <w:rPr>
                <w:rFonts w:asciiTheme="minorHAnsi" w:hAnsiTheme="minorHAnsi"/>
                <w:b/>
                <w:color w:val="000000"/>
                <w:sz w:val="16"/>
              </w:rPr>
              <w:t>Uwagi</w:t>
            </w:r>
          </w:p>
        </w:tc>
      </w:tr>
      <w:tr w:rsidR="00501333" w:rsidRPr="004854D7" w14:paraId="1FC921CB" w14:textId="77777777" w:rsidTr="00474CE7">
        <w:trPr>
          <w:trHeight w:val="629"/>
        </w:trPr>
        <w:tc>
          <w:tcPr>
            <w:tcW w:w="400" w:type="pct"/>
          </w:tcPr>
          <w:p w14:paraId="4D821E6B" w14:textId="77777777" w:rsidR="00501333" w:rsidRPr="004854D7"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3</w:t>
            </w:r>
          </w:p>
        </w:tc>
        <w:tc>
          <w:tcPr>
            <w:tcW w:w="431" w:type="pct"/>
          </w:tcPr>
          <w:p w14:paraId="13D5CC89" w14:textId="77777777" w:rsidR="00501333" w:rsidRPr="004854D7"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3.1</w:t>
            </w:r>
          </w:p>
        </w:tc>
        <w:tc>
          <w:tcPr>
            <w:tcW w:w="461" w:type="pct"/>
          </w:tcPr>
          <w:p w14:paraId="0C145932" w14:textId="77777777" w:rsidR="00501333" w:rsidRPr="004854D7"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79 RCR</w:t>
            </w:r>
          </w:p>
        </w:tc>
        <w:tc>
          <w:tcPr>
            <w:tcW w:w="821" w:type="pct"/>
            <w:shd w:val="clear" w:color="auto" w:fill="auto"/>
          </w:tcPr>
          <w:p w14:paraId="03AE9A33" w14:textId="77777777" w:rsidR="00501333" w:rsidRPr="00867331"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Wspólne strategie i plany działania podejmowane przez organizacje</w:t>
            </w:r>
          </w:p>
        </w:tc>
        <w:tc>
          <w:tcPr>
            <w:tcW w:w="641" w:type="pct"/>
          </w:tcPr>
          <w:p w14:paraId="5C5E517F" w14:textId="77777777" w:rsidR="00501333" w:rsidRPr="004854D7"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Wspólna strategia / plan działania</w:t>
            </w:r>
          </w:p>
        </w:tc>
        <w:tc>
          <w:tcPr>
            <w:tcW w:w="387" w:type="pct"/>
          </w:tcPr>
          <w:p w14:paraId="29694D1B" w14:textId="77777777" w:rsidR="00501333" w:rsidRPr="004854D7"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384" w:type="pct"/>
          </w:tcPr>
          <w:p w14:paraId="47BFC1BA" w14:textId="77777777" w:rsidR="00501333" w:rsidRPr="004854D7"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416" w:type="pct"/>
            <w:shd w:val="clear" w:color="auto" w:fill="auto"/>
          </w:tcPr>
          <w:p w14:paraId="2277C9E6" w14:textId="77777777" w:rsidR="00501333" w:rsidRPr="004854D7"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p>
        </w:tc>
        <w:tc>
          <w:tcPr>
            <w:tcW w:w="572" w:type="pct"/>
            <w:shd w:val="clear" w:color="auto" w:fill="auto"/>
          </w:tcPr>
          <w:p w14:paraId="68894169" w14:textId="77777777" w:rsidR="00501333" w:rsidRPr="004854D7"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System monitorowania programu</w:t>
            </w:r>
          </w:p>
        </w:tc>
        <w:tc>
          <w:tcPr>
            <w:tcW w:w="486" w:type="pct"/>
          </w:tcPr>
          <w:p w14:paraId="749F5692" w14:textId="77777777" w:rsidR="00501333" w:rsidRPr="004854D7" w:rsidRDefault="00501333" w:rsidP="00501333">
            <w:pPr>
              <w:ind w:left="0" w:right="0"/>
              <w:rPr>
                <w:rFonts w:asciiTheme="minorHAnsi" w:hAnsiTheme="minorHAnsi"/>
                <w:color w:val="000000"/>
              </w:rPr>
            </w:pPr>
          </w:p>
        </w:tc>
      </w:tr>
      <w:tr w:rsidR="00501333" w:rsidRPr="00D465BC" w14:paraId="4EBC6042" w14:textId="77777777" w:rsidTr="00474CE7">
        <w:trPr>
          <w:trHeight w:val="629"/>
        </w:trPr>
        <w:tc>
          <w:tcPr>
            <w:tcW w:w="400" w:type="pct"/>
          </w:tcPr>
          <w:p w14:paraId="02221AE1"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3</w:t>
            </w:r>
          </w:p>
        </w:tc>
        <w:tc>
          <w:tcPr>
            <w:tcW w:w="431" w:type="pct"/>
          </w:tcPr>
          <w:p w14:paraId="716DCAB4"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3.1</w:t>
            </w:r>
          </w:p>
        </w:tc>
        <w:tc>
          <w:tcPr>
            <w:tcW w:w="461" w:type="pct"/>
          </w:tcPr>
          <w:p w14:paraId="1C06589A"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84 RCR</w:t>
            </w:r>
          </w:p>
        </w:tc>
        <w:tc>
          <w:tcPr>
            <w:tcW w:w="821" w:type="pct"/>
            <w:shd w:val="clear" w:color="auto" w:fill="auto"/>
          </w:tcPr>
          <w:p w14:paraId="3A81C411" w14:textId="77777777" w:rsidR="00501333" w:rsidRPr="00867331"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Organizacje współpracujące ponad granicami po zakończeniu projektu</w:t>
            </w:r>
          </w:p>
        </w:tc>
        <w:tc>
          <w:tcPr>
            <w:tcW w:w="641" w:type="pct"/>
          </w:tcPr>
          <w:p w14:paraId="1F4B9BE4"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Organizacja</w:t>
            </w:r>
          </w:p>
        </w:tc>
        <w:tc>
          <w:tcPr>
            <w:tcW w:w="387" w:type="pct"/>
          </w:tcPr>
          <w:p w14:paraId="32A839E5"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384" w:type="pct"/>
          </w:tcPr>
          <w:p w14:paraId="7AC1C547"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416" w:type="pct"/>
            <w:shd w:val="clear" w:color="auto" w:fill="auto"/>
          </w:tcPr>
          <w:p w14:paraId="76BA32BF"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p>
        </w:tc>
        <w:tc>
          <w:tcPr>
            <w:tcW w:w="572" w:type="pct"/>
            <w:shd w:val="clear" w:color="auto" w:fill="auto"/>
          </w:tcPr>
          <w:p w14:paraId="6039B043"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System monitorowania programu</w:t>
            </w:r>
          </w:p>
        </w:tc>
        <w:tc>
          <w:tcPr>
            <w:tcW w:w="486" w:type="pct"/>
          </w:tcPr>
          <w:p w14:paraId="202BE351" w14:textId="77777777" w:rsidR="00501333" w:rsidRPr="00D465BC" w:rsidRDefault="00501333" w:rsidP="00501333">
            <w:pPr>
              <w:ind w:left="0" w:right="0"/>
              <w:rPr>
                <w:rFonts w:asciiTheme="minorHAnsi" w:hAnsiTheme="minorHAnsi"/>
                <w:color w:val="000000"/>
              </w:rPr>
            </w:pPr>
          </w:p>
        </w:tc>
      </w:tr>
      <w:tr w:rsidR="00501333" w:rsidRPr="00D465BC" w14:paraId="37878C35" w14:textId="77777777" w:rsidTr="00474CE7">
        <w:trPr>
          <w:trHeight w:val="629"/>
        </w:trPr>
        <w:tc>
          <w:tcPr>
            <w:tcW w:w="400" w:type="pct"/>
          </w:tcPr>
          <w:p w14:paraId="2BC5A8E8"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3</w:t>
            </w:r>
          </w:p>
        </w:tc>
        <w:tc>
          <w:tcPr>
            <w:tcW w:w="431" w:type="pct"/>
          </w:tcPr>
          <w:p w14:paraId="58ED9975"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3.1</w:t>
            </w:r>
          </w:p>
        </w:tc>
        <w:tc>
          <w:tcPr>
            <w:tcW w:w="461" w:type="pct"/>
          </w:tcPr>
          <w:p w14:paraId="2E24FACB"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104 RCR</w:t>
            </w:r>
          </w:p>
        </w:tc>
        <w:tc>
          <w:tcPr>
            <w:tcW w:w="821" w:type="pct"/>
            <w:shd w:val="clear" w:color="auto" w:fill="auto"/>
          </w:tcPr>
          <w:p w14:paraId="5BB5F6B1" w14:textId="77777777" w:rsidR="00501333" w:rsidRPr="00867331"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Rozwiązania przyjmowane lub doskonalone przez organizacje</w:t>
            </w:r>
          </w:p>
        </w:tc>
        <w:tc>
          <w:tcPr>
            <w:tcW w:w="641" w:type="pct"/>
          </w:tcPr>
          <w:p w14:paraId="6EC5BFF0"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Rozwiązanie</w:t>
            </w:r>
          </w:p>
        </w:tc>
        <w:tc>
          <w:tcPr>
            <w:tcW w:w="387" w:type="pct"/>
          </w:tcPr>
          <w:p w14:paraId="336139A6"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384" w:type="pct"/>
          </w:tcPr>
          <w:p w14:paraId="33ED58AB"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416" w:type="pct"/>
            <w:shd w:val="clear" w:color="auto" w:fill="auto"/>
          </w:tcPr>
          <w:p w14:paraId="336F56E9"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p>
        </w:tc>
        <w:tc>
          <w:tcPr>
            <w:tcW w:w="572" w:type="pct"/>
            <w:shd w:val="clear" w:color="auto" w:fill="auto"/>
          </w:tcPr>
          <w:p w14:paraId="51660ABA"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System monitorowania programu</w:t>
            </w:r>
          </w:p>
        </w:tc>
        <w:tc>
          <w:tcPr>
            <w:tcW w:w="486" w:type="pct"/>
          </w:tcPr>
          <w:p w14:paraId="52B6527E" w14:textId="77777777" w:rsidR="00501333" w:rsidRPr="00D465BC" w:rsidRDefault="00501333" w:rsidP="00501333">
            <w:pPr>
              <w:ind w:left="0" w:right="0"/>
              <w:rPr>
                <w:rFonts w:asciiTheme="minorHAnsi" w:hAnsiTheme="minorHAnsi"/>
                <w:color w:val="000000"/>
              </w:rPr>
            </w:pPr>
          </w:p>
        </w:tc>
      </w:tr>
    </w:tbl>
    <w:p w14:paraId="661A9E53" w14:textId="77777777" w:rsidR="008E2A7A" w:rsidRDefault="008E2A7A" w:rsidP="009D6F42">
      <w:pPr>
        <w:spacing w:before="240" w:after="240" w:line="240" w:lineRule="auto"/>
        <w:ind w:left="709" w:hanging="709"/>
        <w:rPr>
          <w:rFonts w:asciiTheme="minorHAnsi" w:hAnsiTheme="minorHAnsi"/>
          <w:b/>
          <w:sz w:val="24"/>
          <w:szCs w:val="24"/>
          <w:lang w:val="en-GB"/>
        </w:rPr>
      </w:pPr>
    </w:p>
    <w:p w14:paraId="2638C486" w14:textId="77777777" w:rsidR="009D6F42" w:rsidRPr="00570B26" w:rsidRDefault="009D6F42" w:rsidP="009D6F42">
      <w:pPr>
        <w:spacing w:before="240" w:after="240" w:line="240" w:lineRule="auto"/>
        <w:ind w:left="709" w:hanging="709"/>
        <w:rPr>
          <w:rFonts w:asciiTheme="minorHAnsi" w:hAnsiTheme="minorHAnsi"/>
          <w:b/>
          <w:sz w:val="24"/>
          <w:szCs w:val="24"/>
        </w:rPr>
      </w:pPr>
      <w:r>
        <w:rPr>
          <w:rFonts w:asciiTheme="minorHAnsi" w:hAnsiTheme="minorHAnsi"/>
          <w:b/>
          <w:sz w:val="24"/>
        </w:rPr>
        <w:lastRenderedPageBreak/>
        <w:t>2.3.1.3</w:t>
      </w:r>
      <w:r>
        <w:rPr>
          <w:rFonts w:asciiTheme="minorHAnsi" w:hAnsiTheme="minorHAnsi"/>
          <w:b/>
          <w:sz w:val="24"/>
        </w:rPr>
        <w:tab/>
        <w:t>Główne grupy docelowe</w:t>
      </w:r>
    </w:p>
    <w:p w14:paraId="6AD81182" w14:textId="77777777" w:rsidR="004B6D04" w:rsidRPr="00F56EF1" w:rsidRDefault="009D6F42" w:rsidP="009D6F42">
      <w:pPr>
        <w:spacing w:before="240" w:after="240" w:line="240" w:lineRule="auto"/>
        <w:ind w:left="0"/>
      </w:pPr>
      <w:r w:rsidRPr="00D80606">
        <w:rPr>
          <w:rFonts w:asciiTheme="minorHAnsi" w:hAnsiTheme="minorHAnsi"/>
          <w:color w:val="000000"/>
        </w:rPr>
        <w:t>Podstawa: art. 17 ust. 4 lit. e punkt iii, art. 17 ust. 9 lit. c punkt iv</w:t>
      </w:r>
      <w:r w:rsidRPr="00F56EF1">
        <w:t xml:space="preserve"> </w:t>
      </w:r>
    </w:p>
    <w:p w14:paraId="7E249757" w14:textId="77777777" w:rsidR="009D6F42" w:rsidRPr="00D80606" w:rsidRDefault="004B6D04"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Pole tekstowe [7000]</w:t>
      </w:r>
    </w:p>
    <w:p w14:paraId="5CCEF331" w14:textId="48AC6090" w:rsidR="00705C2C" w:rsidRPr="00D80606" w:rsidRDefault="00705C2C" w:rsidP="00D80606">
      <w:pPr>
        <w:pBdr>
          <w:top w:val="single" w:sz="4" w:space="1" w:color="000000"/>
          <w:left w:val="single" w:sz="4" w:space="4" w:color="000000"/>
          <w:bottom w:val="single" w:sz="4" w:space="1" w:color="000000"/>
          <w:right w:val="single" w:sz="4" w:space="4" w:color="000000"/>
        </w:pBdr>
        <w:ind w:left="142"/>
        <w:jc w:val="left"/>
        <w:rPr>
          <w:rFonts w:asciiTheme="minorHAnsi" w:hAnsiTheme="minorHAnsi"/>
          <w:sz w:val="24"/>
          <w:szCs w:val="24"/>
        </w:rPr>
      </w:pPr>
      <w:r w:rsidRPr="00D80606">
        <w:rPr>
          <w:rFonts w:asciiTheme="minorHAnsi" w:hAnsiTheme="minorHAnsi"/>
          <w:sz w:val="24"/>
          <w:szCs w:val="24"/>
        </w:rPr>
        <w:t>Grupami docelowymi działań objętych wsparciem mogą być zarówno osoby prywatne, jak i organizacje, które są zaangażowane w ich realizację lub są ich beneficjentami. W konsekwencji będą one zmotywowane do podejmowania rozwiązań sprzyjających poprawie transportu i zwiększaniu mobilności i dostępności regionów peryferyjnych. Grupy docelowe składają się w szczególności zarówno z podmiotów publicznych, jak i prywatnych, obejmując bardzo dużą liczbę różnych sektorów i poziomów zarządzania, w tym lokalne, regionalne i krajowe władze publiczne i inne instytucje zajmujące się planowaniem usług i sieci transportowych oraz zarządzaniem nimi, agencje rozwoju regionalnego, przedsiębiorstwa, stowarzyszenia regionalne i agencje innowacji, organizacje pozarządowe, instytucje finansowe, organizacje edukacyjne i szkoleniowe, uniwersytety i instytuty badawcze. W skład grup docelowych wchodzą ponadto przedstawiciele wszystkich grup społecznych, które będą potencjalnie korzystać na poprawie usług transportu pasażerskiego na poziomie regionalnym (np. osoby dojeżdżające lub turyści)</w:t>
      </w:r>
      <w:r w:rsidR="00F56EF1">
        <w:rPr>
          <w:rFonts w:asciiTheme="minorHAnsi" w:hAnsiTheme="minorHAnsi"/>
          <w:sz w:val="24"/>
          <w:szCs w:val="24"/>
        </w:rPr>
        <w:t>.</w:t>
      </w:r>
      <w:r w:rsidRPr="00D80606">
        <w:rPr>
          <w:rFonts w:asciiTheme="minorHAnsi" w:hAnsiTheme="minorHAnsi"/>
          <w:sz w:val="24"/>
          <w:szCs w:val="24"/>
        </w:rPr>
        <w:t xml:space="preserve"> </w:t>
      </w:r>
    </w:p>
    <w:p w14:paraId="69765147" w14:textId="77777777" w:rsidR="004B6D04" w:rsidRPr="00680741" w:rsidRDefault="004B6D04" w:rsidP="009D6F42">
      <w:pPr>
        <w:spacing w:before="240" w:after="240" w:line="240" w:lineRule="auto"/>
        <w:ind w:left="709" w:hanging="709"/>
        <w:rPr>
          <w:rFonts w:asciiTheme="minorHAnsi" w:hAnsiTheme="minorHAnsi"/>
          <w:b/>
          <w:sz w:val="24"/>
          <w:szCs w:val="24"/>
        </w:rPr>
      </w:pPr>
    </w:p>
    <w:p w14:paraId="7B18FC76" w14:textId="77777777" w:rsidR="009D6F42" w:rsidRPr="008727F2" w:rsidRDefault="009D6F42" w:rsidP="009D6F42">
      <w:pPr>
        <w:spacing w:before="240" w:after="240" w:line="240" w:lineRule="auto"/>
        <w:ind w:left="709" w:hanging="709"/>
        <w:rPr>
          <w:rFonts w:asciiTheme="minorHAnsi" w:hAnsiTheme="minorHAnsi"/>
          <w:b/>
          <w:sz w:val="24"/>
          <w:szCs w:val="24"/>
        </w:rPr>
      </w:pPr>
      <w:r>
        <w:rPr>
          <w:rFonts w:asciiTheme="minorHAnsi" w:hAnsiTheme="minorHAnsi"/>
          <w:b/>
          <w:sz w:val="24"/>
        </w:rPr>
        <w:t>2.3.1.4</w:t>
      </w:r>
      <w:r>
        <w:rPr>
          <w:rFonts w:asciiTheme="minorHAnsi" w:hAnsiTheme="minorHAnsi"/>
          <w:b/>
          <w:sz w:val="24"/>
        </w:rPr>
        <w:tab/>
        <w:t>Określenie szczególnych terytoriów docelowych, w tym planowego wykorzystania ZIT, RKSL i pozostałych narzędzi terytorialnych</w:t>
      </w:r>
    </w:p>
    <w:p w14:paraId="089A3BBF" w14:textId="77777777" w:rsidR="009D6F42" w:rsidRPr="00D80606" w:rsidRDefault="009D6F42"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iv</w:t>
      </w:r>
    </w:p>
    <w:p w14:paraId="1FF2D20D" w14:textId="77777777" w:rsidR="00705C2C" w:rsidRPr="00D80606" w:rsidRDefault="00705C2C"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Pole tekstowe [7000]</w:t>
      </w:r>
    </w:p>
    <w:p w14:paraId="4170F106" w14:textId="77777777" w:rsidR="008819EA" w:rsidRPr="00D80606" w:rsidRDefault="00705C2C" w:rsidP="00D80606">
      <w:pPr>
        <w:pBdr>
          <w:top w:val="single" w:sz="4" w:space="1" w:color="000000"/>
          <w:left w:val="single" w:sz="4" w:space="4" w:color="000000"/>
          <w:bottom w:val="single" w:sz="4" w:space="1" w:color="000000"/>
          <w:right w:val="single" w:sz="4" w:space="4" w:color="000000"/>
        </w:pBdr>
        <w:ind w:left="142"/>
        <w:jc w:val="left"/>
        <w:rPr>
          <w:rFonts w:asciiTheme="minorHAnsi" w:hAnsiTheme="minorHAnsi"/>
          <w:sz w:val="24"/>
          <w:szCs w:val="24"/>
        </w:rPr>
      </w:pPr>
      <w:r w:rsidRPr="00D80606">
        <w:rPr>
          <w:rFonts w:asciiTheme="minorHAnsi" w:hAnsiTheme="minorHAnsi"/>
          <w:sz w:val="24"/>
          <w:szCs w:val="24"/>
        </w:rPr>
        <w:t xml:space="preserve">Działania mogą być realizowane na całym obszarze objętym programem. Powinny one odnosić się jednak w pierwszej kolejności do regionów wiejskich i peryferyjnych, w tym słabo dostępnych regionów przygranicznych. Największe korzyści będą one czerpać z wymiany wiedzy z regionami, które posiadają już dobre połączenia, a które z kolei będą w stanie wzmocnić zrównoważony wymiar swoich usług mobilności w skali regionalnej. </w:t>
      </w:r>
    </w:p>
    <w:p w14:paraId="24DB44C7" w14:textId="223BD598" w:rsidR="009D6F42" w:rsidRPr="00D80606" w:rsidRDefault="008819EA" w:rsidP="00F56EF1">
      <w:pPr>
        <w:pBdr>
          <w:top w:val="single" w:sz="4" w:space="1" w:color="000000"/>
          <w:left w:val="single" w:sz="4" w:space="4" w:color="000000"/>
          <w:bottom w:val="single" w:sz="4" w:space="1" w:color="000000"/>
          <w:right w:val="single" w:sz="4" w:space="4" w:color="000000"/>
        </w:pBdr>
        <w:ind w:left="142"/>
        <w:jc w:val="left"/>
        <w:rPr>
          <w:rFonts w:asciiTheme="minorHAnsi" w:hAnsiTheme="minorHAnsi"/>
          <w:sz w:val="24"/>
          <w:szCs w:val="24"/>
        </w:rPr>
      </w:pPr>
      <w:r w:rsidRPr="00D80606">
        <w:rPr>
          <w:rFonts w:asciiTheme="minorHAnsi" w:hAnsiTheme="minorHAnsi"/>
          <w:sz w:val="24"/>
          <w:szCs w:val="24"/>
        </w:rPr>
        <w:t>Wszelkie możliwa działania muszą być dostosowane do specyficznych wyzwań terytorialnych i warunków na docelowych obszarach i być dostosowane do odpowiednich strategii terytorialnych na odpowiednim poziomie zarządzania (lokalnym, regionalnym, krajowym).</w:t>
      </w:r>
    </w:p>
    <w:p w14:paraId="0AEA58B8" w14:textId="77777777" w:rsidR="00705C2C" w:rsidRPr="00680741" w:rsidRDefault="00705C2C" w:rsidP="009D6F42">
      <w:pPr>
        <w:spacing w:before="240" w:after="240" w:line="240" w:lineRule="auto"/>
        <w:ind w:left="709" w:hanging="709"/>
        <w:rPr>
          <w:rFonts w:asciiTheme="minorHAnsi" w:hAnsiTheme="minorHAnsi"/>
          <w:b/>
          <w:sz w:val="24"/>
          <w:szCs w:val="24"/>
        </w:rPr>
      </w:pPr>
    </w:p>
    <w:p w14:paraId="5B5A36D3" w14:textId="77777777" w:rsidR="009D6F42" w:rsidRPr="008727F2" w:rsidRDefault="009D6F42" w:rsidP="009D6F42">
      <w:pPr>
        <w:spacing w:before="240" w:after="240" w:line="240" w:lineRule="auto"/>
        <w:ind w:left="709" w:hanging="709"/>
        <w:rPr>
          <w:rFonts w:asciiTheme="minorHAnsi" w:hAnsiTheme="minorHAnsi"/>
          <w:b/>
          <w:sz w:val="24"/>
          <w:szCs w:val="24"/>
        </w:rPr>
      </w:pPr>
      <w:r>
        <w:rPr>
          <w:rFonts w:asciiTheme="minorHAnsi" w:hAnsiTheme="minorHAnsi"/>
          <w:b/>
          <w:sz w:val="24"/>
        </w:rPr>
        <w:t>2.3.1.5</w:t>
      </w:r>
      <w:r>
        <w:rPr>
          <w:rFonts w:asciiTheme="minorHAnsi" w:hAnsiTheme="minorHAnsi"/>
          <w:b/>
          <w:sz w:val="24"/>
        </w:rPr>
        <w:tab/>
        <w:t>Planowane wykorzystanie instrumentów finansowych</w:t>
      </w:r>
    </w:p>
    <w:p w14:paraId="2EF62E65" w14:textId="77777777" w:rsidR="009D6F42" w:rsidRPr="00D80606" w:rsidRDefault="009D6F42"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v</w:t>
      </w:r>
    </w:p>
    <w:p w14:paraId="355EA831" w14:textId="77777777" w:rsidR="00705C2C" w:rsidRPr="00D80606" w:rsidRDefault="00705C2C"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lastRenderedPageBreak/>
        <w:t>Pole tekstowe [7000]</w:t>
      </w:r>
    </w:p>
    <w:p w14:paraId="0B672EEE" w14:textId="77777777" w:rsidR="009D6F42" w:rsidRPr="00D80606" w:rsidRDefault="00004898" w:rsidP="00D80606">
      <w:pPr>
        <w:pBdr>
          <w:top w:val="single" w:sz="4" w:space="1" w:color="000000"/>
          <w:left w:val="single" w:sz="4" w:space="4" w:color="000000"/>
          <w:bottom w:val="single" w:sz="4" w:space="1" w:color="000000"/>
          <w:right w:val="single" w:sz="4" w:space="4" w:color="000000"/>
        </w:pBdr>
        <w:ind w:left="142"/>
        <w:jc w:val="left"/>
        <w:rPr>
          <w:rFonts w:asciiTheme="minorHAnsi" w:hAnsiTheme="minorHAnsi"/>
          <w:sz w:val="24"/>
          <w:szCs w:val="24"/>
        </w:rPr>
      </w:pPr>
      <w:r w:rsidRPr="00D80606">
        <w:rPr>
          <w:rFonts w:asciiTheme="minorHAnsi" w:hAnsiTheme="minorHAnsi"/>
          <w:sz w:val="24"/>
          <w:szCs w:val="24"/>
        </w:rPr>
        <w:t>Nie dotyczy.</w:t>
      </w:r>
    </w:p>
    <w:p w14:paraId="10800CBF" w14:textId="77777777" w:rsidR="009D6F42" w:rsidRPr="00680741" w:rsidRDefault="009D6F42" w:rsidP="009D6F42">
      <w:pPr>
        <w:spacing w:before="240" w:after="240" w:line="240" w:lineRule="auto"/>
        <w:ind w:left="709" w:hanging="709"/>
        <w:rPr>
          <w:rFonts w:asciiTheme="minorHAnsi" w:hAnsiTheme="minorHAnsi"/>
          <w:b/>
          <w:sz w:val="24"/>
          <w:szCs w:val="24"/>
        </w:rPr>
      </w:pPr>
    </w:p>
    <w:p w14:paraId="1B75BC47" w14:textId="77777777" w:rsidR="009D6F42" w:rsidRPr="008727F2" w:rsidRDefault="009D6F42" w:rsidP="009D6F42">
      <w:pPr>
        <w:spacing w:before="240" w:after="240" w:line="240" w:lineRule="auto"/>
        <w:ind w:left="709" w:hanging="709"/>
        <w:rPr>
          <w:rFonts w:asciiTheme="minorHAnsi" w:hAnsiTheme="minorHAnsi"/>
          <w:b/>
          <w:sz w:val="24"/>
          <w:szCs w:val="24"/>
        </w:rPr>
      </w:pPr>
      <w:r>
        <w:rPr>
          <w:rFonts w:asciiTheme="minorHAnsi" w:hAnsiTheme="minorHAnsi"/>
          <w:b/>
          <w:sz w:val="24"/>
        </w:rPr>
        <w:t>2.3.1.6</w:t>
      </w:r>
      <w:r>
        <w:rPr>
          <w:rFonts w:asciiTheme="minorHAnsi" w:hAnsiTheme="minorHAnsi"/>
          <w:b/>
          <w:sz w:val="24"/>
        </w:rPr>
        <w:tab/>
        <w:t>Orientacyjny podział zasobów programu UE według rodzaju interwencji</w:t>
      </w:r>
    </w:p>
    <w:p w14:paraId="0EC4AED0" w14:textId="77777777" w:rsidR="009D6F42" w:rsidRPr="00D80606" w:rsidRDefault="009D6F42"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vi, art. 17 ust. 9 lit. c punkt v</w:t>
      </w:r>
    </w:p>
    <w:p w14:paraId="2A730BD3" w14:textId="77777777" w:rsidR="009D6F42" w:rsidRPr="009A0D85" w:rsidRDefault="009D6F42" w:rsidP="009D6F42">
      <w:pPr>
        <w:spacing w:before="240" w:after="240" w:line="240" w:lineRule="auto"/>
        <w:ind w:left="0"/>
        <w:rPr>
          <w:rFonts w:asciiTheme="minorHAnsi" w:hAnsiTheme="minorHAnsi"/>
          <w:szCs w:val="24"/>
        </w:rPr>
      </w:pPr>
      <w:r>
        <w:rPr>
          <w:rFonts w:asciiTheme="minorHAnsi" w:hAnsiTheme="minorHAnsi"/>
        </w:rPr>
        <w:t>Tabela 4: Wymiar 1 – obszar interwencji</w:t>
      </w:r>
    </w:p>
    <w:tbl>
      <w:tblPr>
        <w:tblStyle w:val="16"/>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D6F42" w:rsidRPr="008727F2" w14:paraId="1561E34D" w14:textId="77777777" w:rsidTr="00816A75">
        <w:tc>
          <w:tcPr>
            <w:tcW w:w="1869" w:type="dxa"/>
          </w:tcPr>
          <w:p w14:paraId="1A996237"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Priorytet nr</w:t>
            </w:r>
          </w:p>
        </w:tc>
        <w:tc>
          <w:tcPr>
            <w:tcW w:w="1657" w:type="dxa"/>
          </w:tcPr>
          <w:p w14:paraId="0959932D"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w:t>
            </w:r>
          </w:p>
        </w:tc>
        <w:tc>
          <w:tcPr>
            <w:tcW w:w="1898" w:type="dxa"/>
          </w:tcPr>
          <w:p w14:paraId="4C6FEBDB"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Cel szczegółowy</w:t>
            </w:r>
          </w:p>
        </w:tc>
        <w:tc>
          <w:tcPr>
            <w:tcW w:w="1204" w:type="dxa"/>
          </w:tcPr>
          <w:p w14:paraId="7CB80779"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Kod </w:t>
            </w:r>
          </w:p>
        </w:tc>
        <w:tc>
          <w:tcPr>
            <w:tcW w:w="2658" w:type="dxa"/>
          </w:tcPr>
          <w:p w14:paraId="3B03A1C5"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Kwota (EUR)</w:t>
            </w:r>
          </w:p>
        </w:tc>
      </w:tr>
      <w:tr w:rsidR="009D6F42" w:rsidRPr="008727F2" w14:paraId="62F5FC7B" w14:textId="77777777" w:rsidTr="00816A75">
        <w:tc>
          <w:tcPr>
            <w:tcW w:w="1869" w:type="dxa"/>
          </w:tcPr>
          <w:p w14:paraId="6759C78E" w14:textId="77777777" w:rsidR="009D6F42" w:rsidRPr="00705C2C" w:rsidRDefault="00705C2C" w:rsidP="00705C2C">
            <w:pPr>
              <w:spacing w:after="120" w:line="240" w:lineRule="auto"/>
              <w:ind w:left="0" w:right="0"/>
              <w:jc w:val="center"/>
              <w:rPr>
                <w:rFonts w:asciiTheme="minorHAnsi" w:eastAsia="Times New Roman" w:hAnsiTheme="minorHAnsi" w:cs="Times New Roman"/>
                <w:color w:val="000000"/>
                <w:sz w:val="20"/>
                <w:szCs w:val="16"/>
              </w:rPr>
            </w:pPr>
            <w:r>
              <w:rPr>
                <w:rFonts w:asciiTheme="minorHAnsi" w:hAnsiTheme="minorHAnsi"/>
                <w:color w:val="000000"/>
                <w:sz w:val="20"/>
              </w:rPr>
              <w:t>3</w:t>
            </w:r>
          </w:p>
        </w:tc>
        <w:tc>
          <w:tcPr>
            <w:tcW w:w="1657" w:type="dxa"/>
          </w:tcPr>
          <w:p w14:paraId="7A497078" w14:textId="77777777" w:rsidR="009D6F42" w:rsidRPr="00705C2C" w:rsidRDefault="00705C2C" w:rsidP="00816A75">
            <w:pPr>
              <w:spacing w:after="120" w:line="240" w:lineRule="auto"/>
              <w:ind w:left="0" w:right="0"/>
              <w:rPr>
                <w:rFonts w:asciiTheme="minorHAnsi" w:eastAsia="Times New Roman" w:hAnsiTheme="minorHAnsi" w:cs="Times New Roman"/>
                <w:color w:val="000000"/>
                <w:sz w:val="20"/>
                <w:szCs w:val="16"/>
              </w:rPr>
            </w:pPr>
            <w:r>
              <w:rPr>
                <w:rFonts w:asciiTheme="minorHAnsi" w:hAnsiTheme="minorHAnsi"/>
                <w:color w:val="000000"/>
                <w:sz w:val="20"/>
              </w:rPr>
              <w:t>EFRR</w:t>
            </w:r>
          </w:p>
        </w:tc>
        <w:tc>
          <w:tcPr>
            <w:tcW w:w="1898" w:type="dxa"/>
          </w:tcPr>
          <w:p w14:paraId="6E6C9C49" w14:textId="77777777" w:rsidR="009D6F42" w:rsidRPr="00705C2C" w:rsidRDefault="00705C2C" w:rsidP="00816A75">
            <w:pPr>
              <w:spacing w:after="120" w:line="240" w:lineRule="auto"/>
              <w:ind w:left="0" w:right="0"/>
              <w:rPr>
                <w:rFonts w:asciiTheme="minorHAnsi" w:eastAsia="Times New Roman" w:hAnsiTheme="minorHAnsi" w:cs="Times New Roman"/>
                <w:color w:val="000000"/>
                <w:sz w:val="20"/>
                <w:szCs w:val="16"/>
              </w:rPr>
            </w:pPr>
            <w:r>
              <w:rPr>
                <w:rFonts w:asciiTheme="minorHAnsi" w:hAnsiTheme="minorHAnsi"/>
                <w:color w:val="000000"/>
                <w:sz w:val="20"/>
              </w:rPr>
              <w:t>Cel szczegółowy 3.1</w:t>
            </w:r>
          </w:p>
        </w:tc>
        <w:tc>
          <w:tcPr>
            <w:tcW w:w="1204" w:type="dxa"/>
          </w:tcPr>
          <w:p w14:paraId="57B47D8D" w14:textId="08366E24" w:rsidR="009D6F42" w:rsidRPr="00BD0938" w:rsidRDefault="0047510A" w:rsidP="00BD0938">
            <w:pPr>
              <w:spacing w:after="120" w:line="240" w:lineRule="auto"/>
              <w:ind w:left="0" w:right="0"/>
              <w:jc w:val="center"/>
              <w:rPr>
                <w:rFonts w:ascii="Trebuchet MS" w:eastAsia="Times New Roman" w:hAnsi="Trebuchet MS" w:cs="Times New Roman"/>
                <w:color w:val="000000"/>
                <w:sz w:val="20"/>
                <w:szCs w:val="20"/>
              </w:rPr>
            </w:pPr>
            <w:r>
              <w:rPr>
                <w:rFonts w:ascii="Trebuchet MS" w:hAnsi="Trebuchet MS"/>
                <w:color w:val="000000"/>
                <w:sz w:val="20"/>
              </w:rPr>
              <w:t>63</w:t>
            </w:r>
          </w:p>
        </w:tc>
        <w:tc>
          <w:tcPr>
            <w:tcW w:w="2658" w:type="dxa"/>
          </w:tcPr>
          <w:p w14:paraId="42416CC1"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p>
        </w:tc>
      </w:tr>
      <w:tr w:rsidR="00D63774" w:rsidRPr="008727F2" w14:paraId="509E1544" w14:textId="77777777" w:rsidTr="00816A75">
        <w:tc>
          <w:tcPr>
            <w:tcW w:w="1869" w:type="dxa"/>
          </w:tcPr>
          <w:p w14:paraId="2DB48914" w14:textId="69DAD424" w:rsidR="00D63774" w:rsidRPr="00705C2C" w:rsidRDefault="00D63774" w:rsidP="00D63774">
            <w:pPr>
              <w:spacing w:after="120" w:line="240" w:lineRule="auto"/>
              <w:ind w:left="0" w:right="0"/>
              <w:jc w:val="center"/>
              <w:rPr>
                <w:rFonts w:asciiTheme="minorHAnsi" w:hAnsiTheme="minorHAnsi"/>
                <w:color w:val="000000"/>
                <w:szCs w:val="16"/>
              </w:rPr>
            </w:pPr>
            <w:r>
              <w:rPr>
                <w:rFonts w:asciiTheme="minorHAnsi" w:hAnsiTheme="minorHAnsi"/>
                <w:color w:val="000000"/>
                <w:sz w:val="20"/>
              </w:rPr>
              <w:t>3</w:t>
            </w:r>
          </w:p>
        </w:tc>
        <w:tc>
          <w:tcPr>
            <w:tcW w:w="1657" w:type="dxa"/>
          </w:tcPr>
          <w:p w14:paraId="01FB99B0" w14:textId="0B095581" w:rsidR="00D63774" w:rsidRPr="00705C2C" w:rsidRDefault="00D63774" w:rsidP="00D63774">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2C43AB1D" w14:textId="0021E2F9" w:rsidR="00D63774" w:rsidRPr="00705C2C" w:rsidRDefault="00D63774" w:rsidP="00D63774">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3.1</w:t>
            </w:r>
          </w:p>
        </w:tc>
        <w:tc>
          <w:tcPr>
            <w:tcW w:w="1204" w:type="dxa"/>
          </w:tcPr>
          <w:p w14:paraId="3B083787" w14:textId="235FF1AA" w:rsidR="00D63774" w:rsidRPr="00BD0938" w:rsidRDefault="00D63774" w:rsidP="00BD0938">
            <w:pPr>
              <w:spacing w:after="120" w:line="240" w:lineRule="auto"/>
              <w:ind w:left="0" w:right="0"/>
              <w:jc w:val="center"/>
              <w:rPr>
                <w:rFonts w:ascii="Trebuchet MS" w:hAnsi="Trebuchet MS"/>
                <w:color w:val="000000"/>
                <w:sz w:val="20"/>
                <w:szCs w:val="20"/>
              </w:rPr>
            </w:pPr>
            <w:r>
              <w:rPr>
                <w:rFonts w:ascii="Trebuchet MS" w:hAnsi="Trebuchet MS"/>
                <w:color w:val="000000"/>
                <w:sz w:val="20"/>
              </w:rPr>
              <w:t>67</w:t>
            </w:r>
          </w:p>
        </w:tc>
        <w:tc>
          <w:tcPr>
            <w:tcW w:w="2658" w:type="dxa"/>
          </w:tcPr>
          <w:p w14:paraId="4547052B" w14:textId="77777777" w:rsidR="00D63774" w:rsidRPr="00570B26" w:rsidRDefault="00D63774" w:rsidP="00D63774">
            <w:pPr>
              <w:spacing w:after="120" w:line="240" w:lineRule="auto"/>
              <w:ind w:left="0" w:right="0"/>
              <w:rPr>
                <w:rFonts w:asciiTheme="minorHAnsi" w:hAnsiTheme="minorHAnsi"/>
                <w:b/>
                <w:color w:val="000000"/>
                <w:sz w:val="16"/>
                <w:szCs w:val="16"/>
              </w:rPr>
            </w:pPr>
          </w:p>
        </w:tc>
      </w:tr>
      <w:tr w:rsidR="00D63774" w:rsidRPr="008727F2" w14:paraId="568E81F7" w14:textId="77777777" w:rsidTr="00816A75">
        <w:tc>
          <w:tcPr>
            <w:tcW w:w="1869" w:type="dxa"/>
          </w:tcPr>
          <w:p w14:paraId="31262A88" w14:textId="2F0D2B45" w:rsidR="00D63774" w:rsidRPr="00705C2C" w:rsidRDefault="00D63774" w:rsidP="00D63774">
            <w:pPr>
              <w:spacing w:after="120" w:line="240" w:lineRule="auto"/>
              <w:ind w:left="0" w:right="0"/>
              <w:jc w:val="center"/>
              <w:rPr>
                <w:rFonts w:asciiTheme="minorHAnsi" w:hAnsiTheme="minorHAnsi"/>
                <w:color w:val="000000"/>
                <w:szCs w:val="16"/>
              </w:rPr>
            </w:pPr>
            <w:r>
              <w:rPr>
                <w:rFonts w:asciiTheme="minorHAnsi" w:hAnsiTheme="minorHAnsi"/>
                <w:color w:val="000000"/>
                <w:sz w:val="20"/>
              </w:rPr>
              <w:t>3</w:t>
            </w:r>
          </w:p>
        </w:tc>
        <w:tc>
          <w:tcPr>
            <w:tcW w:w="1657" w:type="dxa"/>
          </w:tcPr>
          <w:p w14:paraId="203A6AF7" w14:textId="2741D47B" w:rsidR="00D63774" w:rsidRPr="00705C2C" w:rsidRDefault="00D63774" w:rsidP="00D63774">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7C264B1C" w14:textId="23812F74" w:rsidR="00D63774" w:rsidRPr="00705C2C" w:rsidRDefault="00D63774" w:rsidP="00D63774">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3.1</w:t>
            </w:r>
          </w:p>
        </w:tc>
        <w:tc>
          <w:tcPr>
            <w:tcW w:w="1204" w:type="dxa"/>
          </w:tcPr>
          <w:p w14:paraId="641C7904" w14:textId="21F5F85E" w:rsidR="00D63774" w:rsidRPr="00BD0938" w:rsidRDefault="00D63774" w:rsidP="00BD0938">
            <w:pPr>
              <w:spacing w:after="120" w:line="240" w:lineRule="auto"/>
              <w:ind w:left="0" w:right="0"/>
              <w:jc w:val="center"/>
              <w:rPr>
                <w:rFonts w:ascii="Trebuchet MS" w:hAnsi="Trebuchet MS"/>
                <w:color w:val="000000"/>
                <w:sz w:val="20"/>
                <w:szCs w:val="20"/>
              </w:rPr>
            </w:pPr>
            <w:r>
              <w:rPr>
                <w:rFonts w:ascii="Trebuchet MS" w:hAnsi="Trebuchet MS"/>
                <w:color w:val="000000"/>
                <w:sz w:val="20"/>
              </w:rPr>
              <w:t>68</w:t>
            </w:r>
          </w:p>
        </w:tc>
        <w:tc>
          <w:tcPr>
            <w:tcW w:w="2658" w:type="dxa"/>
          </w:tcPr>
          <w:p w14:paraId="335B746E" w14:textId="77777777" w:rsidR="00D63774" w:rsidRPr="00570B26" w:rsidRDefault="00D63774" w:rsidP="00D63774">
            <w:pPr>
              <w:spacing w:after="120" w:line="240" w:lineRule="auto"/>
              <w:ind w:left="0" w:right="0"/>
              <w:rPr>
                <w:rFonts w:asciiTheme="minorHAnsi" w:hAnsiTheme="minorHAnsi"/>
                <w:b/>
                <w:color w:val="000000"/>
                <w:sz w:val="16"/>
                <w:szCs w:val="16"/>
              </w:rPr>
            </w:pPr>
          </w:p>
        </w:tc>
      </w:tr>
      <w:tr w:rsidR="00D63774" w:rsidRPr="008727F2" w14:paraId="1F7C409D" w14:textId="77777777" w:rsidTr="00816A75">
        <w:tc>
          <w:tcPr>
            <w:tcW w:w="1869" w:type="dxa"/>
          </w:tcPr>
          <w:p w14:paraId="5AF31C29" w14:textId="2E063488" w:rsidR="00D63774" w:rsidRPr="00705C2C" w:rsidRDefault="00D63774" w:rsidP="00D63774">
            <w:pPr>
              <w:spacing w:after="120" w:line="240" w:lineRule="auto"/>
              <w:ind w:left="0" w:right="0"/>
              <w:jc w:val="center"/>
              <w:rPr>
                <w:rFonts w:asciiTheme="minorHAnsi" w:hAnsiTheme="minorHAnsi"/>
                <w:color w:val="000000"/>
                <w:szCs w:val="16"/>
              </w:rPr>
            </w:pPr>
            <w:r>
              <w:rPr>
                <w:rFonts w:asciiTheme="minorHAnsi" w:hAnsiTheme="minorHAnsi"/>
                <w:color w:val="000000"/>
                <w:sz w:val="20"/>
              </w:rPr>
              <w:t>3</w:t>
            </w:r>
          </w:p>
        </w:tc>
        <w:tc>
          <w:tcPr>
            <w:tcW w:w="1657" w:type="dxa"/>
          </w:tcPr>
          <w:p w14:paraId="3B8C39A5" w14:textId="3F1A1282" w:rsidR="00D63774" w:rsidRPr="00705C2C" w:rsidRDefault="00D63774" w:rsidP="00D63774">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0D8C463C" w14:textId="6644DB8B" w:rsidR="00D63774" w:rsidRPr="00705C2C" w:rsidRDefault="00D63774" w:rsidP="00D63774">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3.1</w:t>
            </w:r>
          </w:p>
        </w:tc>
        <w:tc>
          <w:tcPr>
            <w:tcW w:w="1204" w:type="dxa"/>
          </w:tcPr>
          <w:p w14:paraId="596F36B9" w14:textId="71CB4AB7" w:rsidR="00D63774" w:rsidRPr="00BD0938" w:rsidRDefault="00D63774" w:rsidP="00BD0938">
            <w:pPr>
              <w:spacing w:after="120" w:line="240" w:lineRule="auto"/>
              <w:ind w:left="0" w:right="0"/>
              <w:jc w:val="center"/>
              <w:rPr>
                <w:rFonts w:ascii="Trebuchet MS" w:hAnsi="Trebuchet MS"/>
                <w:color w:val="000000"/>
                <w:sz w:val="20"/>
                <w:szCs w:val="20"/>
              </w:rPr>
            </w:pPr>
            <w:r>
              <w:rPr>
                <w:rFonts w:ascii="Trebuchet MS" w:hAnsi="Trebuchet MS"/>
                <w:color w:val="000000"/>
                <w:sz w:val="20"/>
              </w:rPr>
              <w:t>70</w:t>
            </w:r>
          </w:p>
        </w:tc>
        <w:tc>
          <w:tcPr>
            <w:tcW w:w="2658" w:type="dxa"/>
          </w:tcPr>
          <w:p w14:paraId="1A9349A0" w14:textId="77777777" w:rsidR="00D63774" w:rsidRPr="00570B26" w:rsidRDefault="00D63774" w:rsidP="00D63774">
            <w:pPr>
              <w:spacing w:after="120" w:line="240" w:lineRule="auto"/>
              <w:ind w:left="0" w:right="0"/>
              <w:rPr>
                <w:rFonts w:asciiTheme="minorHAnsi" w:hAnsiTheme="minorHAnsi"/>
                <w:b/>
                <w:color w:val="000000"/>
                <w:sz w:val="16"/>
                <w:szCs w:val="16"/>
              </w:rPr>
            </w:pPr>
          </w:p>
        </w:tc>
      </w:tr>
      <w:tr w:rsidR="00D63774" w:rsidRPr="008727F2" w14:paraId="30C22781" w14:textId="77777777" w:rsidTr="00816A75">
        <w:tc>
          <w:tcPr>
            <w:tcW w:w="1869" w:type="dxa"/>
          </w:tcPr>
          <w:p w14:paraId="37AD4245" w14:textId="7AA746EC" w:rsidR="00D63774" w:rsidRPr="00705C2C" w:rsidRDefault="00D63774" w:rsidP="00D63774">
            <w:pPr>
              <w:spacing w:after="120" w:line="240" w:lineRule="auto"/>
              <w:ind w:left="0" w:right="0"/>
              <w:jc w:val="center"/>
              <w:rPr>
                <w:rFonts w:asciiTheme="minorHAnsi" w:hAnsiTheme="minorHAnsi"/>
                <w:color w:val="000000"/>
                <w:szCs w:val="16"/>
              </w:rPr>
            </w:pPr>
            <w:r>
              <w:rPr>
                <w:rFonts w:asciiTheme="minorHAnsi" w:hAnsiTheme="minorHAnsi"/>
                <w:color w:val="000000"/>
                <w:sz w:val="20"/>
              </w:rPr>
              <w:t>3</w:t>
            </w:r>
          </w:p>
        </w:tc>
        <w:tc>
          <w:tcPr>
            <w:tcW w:w="1657" w:type="dxa"/>
          </w:tcPr>
          <w:p w14:paraId="0CD4213E" w14:textId="7E58CD5B" w:rsidR="00D63774" w:rsidRPr="00705C2C" w:rsidRDefault="00D63774" w:rsidP="00D63774">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410C08A3" w14:textId="2FCB258E" w:rsidR="00D63774" w:rsidRPr="00705C2C" w:rsidRDefault="00D63774" w:rsidP="00D63774">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3.1</w:t>
            </w:r>
          </w:p>
        </w:tc>
        <w:tc>
          <w:tcPr>
            <w:tcW w:w="1204" w:type="dxa"/>
          </w:tcPr>
          <w:p w14:paraId="05B42923" w14:textId="150381BC" w:rsidR="00D63774" w:rsidRPr="00BD0938" w:rsidRDefault="00D63774" w:rsidP="00BD0938">
            <w:pPr>
              <w:spacing w:after="120" w:line="240" w:lineRule="auto"/>
              <w:ind w:left="0" w:right="0"/>
              <w:jc w:val="center"/>
              <w:rPr>
                <w:rFonts w:ascii="Trebuchet MS" w:hAnsi="Trebuchet MS"/>
                <w:color w:val="000000"/>
                <w:sz w:val="20"/>
                <w:szCs w:val="20"/>
              </w:rPr>
            </w:pPr>
            <w:r>
              <w:rPr>
                <w:rFonts w:ascii="Trebuchet MS" w:hAnsi="Trebuchet MS"/>
                <w:sz w:val="20"/>
              </w:rPr>
              <w:t>78</w:t>
            </w:r>
          </w:p>
        </w:tc>
        <w:tc>
          <w:tcPr>
            <w:tcW w:w="2658" w:type="dxa"/>
          </w:tcPr>
          <w:p w14:paraId="6B9AE7F9" w14:textId="77777777" w:rsidR="00D63774" w:rsidRPr="00570B26" w:rsidRDefault="00D63774" w:rsidP="00D63774">
            <w:pPr>
              <w:spacing w:after="120" w:line="240" w:lineRule="auto"/>
              <w:ind w:left="0" w:right="0"/>
              <w:rPr>
                <w:rFonts w:asciiTheme="minorHAnsi" w:hAnsiTheme="minorHAnsi"/>
                <w:b/>
                <w:color w:val="000000"/>
                <w:sz w:val="16"/>
                <w:szCs w:val="16"/>
              </w:rPr>
            </w:pPr>
          </w:p>
        </w:tc>
      </w:tr>
      <w:tr w:rsidR="00D63774" w:rsidRPr="008727F2" w14:paraId="08639AC7" w14:textId="77777777" w:rsidTr="00816A75">
        <w:tc>
          <w:tcPr>
            <w:tcW w:w="1869" w:type="dxa"/>
          </w:tcPr>
          <w:p w14:paraId="4DA50705" w14:textId="1F6C780D" w:rsidR="00D63774" w:rsidRPr="00705C2C" w:rsidRDefault="00D63774" w:rsidP="00D63774">
            <w:pPr>
              <w:spacing w:after="120" w:line="240" w:lineRule="auto"/>
              <w:ind w:left="0" w:right="0"/>
              <w:jc w:val="center"/>
              <w:rPr>
                <w:rFonts w:asciiTheme="minorHAnsi" w:hAnsiTheme="minorHAnsi"/>
                <w:color w:val="000000"/>
                <w:szCs w:val="16"/>
              </w:rPr>
            </w:pPr>
            <w:r>
              <w:rPr>
                <w:rFonts w:asciiTheme="minorHAnsi" w:hAnsiTheme="minorHAnsi"/>
                <w:color w:val="000000"/>
                <w:sz w:val="20"/>
              </w:rPr>
              <w:t>3</w:t>
            </w:r>
          </w:p>
        </w:tc>
        <w:tc>
          <w:tcPr>
            <w:tcW w:w="1657" w:type="dxa"/>
          </w:tcPr>
          <w:p w14:paraId="4F0B20FC" w14:textId="1F465ECB" w:rsidR="00D63774" w:rsidRPr="00705C2C" w:rsidRDefault="00D63774" w:rsidP="00D63774">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78FD3909" w14:textId="69AF63F1" w:rsidR="00D63774" w:rsidRPr="00705C2C" w:rsidRDefault="00D63774" w:rsidP="00D63774">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3.1</w:t>
            </w:r>
          </w:p>
        </w:tc>
        <w:tc>
          <w:tcPr>
            <w:tcW w:w="1204" w:type="dxa"/>
          </w:tcPr>
          <w:p w14:paraId="25821824" w14:textId="4294BDBF" w:rsidR="00D63774" w:rsidRPr="00BD0938" w:rsidRDefault="00D63774" w:rsidP="00BD0938">
            <w:pPr>
              <w:spacing w:after="120" w:line="240" w:lineRule="auto"/>
              <w:ind w:left="0" w:right="0"/>
              <w:jc w:val="center"/>
              <w:rPr>
                <w:rFonts w:ascii="Trebuchet MS" w:hAnsi="Trebuchet MS"/>
                <w:color w:val="000000"/>
                <w:sz w:val="20"/>
                <w:szCs w:val="20"/>
              </w:rPr>
            </w:pPr>
            <w:r>
              <w:rPr>
                <w:rFonts w:ascii="Trebuchet MS" w:hAnsi="Trebuchet MS"/>
                <w:sz w:val="20"/>
              </w:rPr>
              <w:t>79</w:t>
            </w:r>
          </w:p>
        </w:tc>
        <w:tc>
          <w:tcPr>
            <w:tcW w:w="2658" w:type="dxa"/>
          </w:tcPr>
          <w:p w14:paraId="0AE4D8F3" w14:textId="77777777" w:rsidR="00D63774" w:rsidRPr="00570B26" w:rsidRDefault="00D63774" w:rsidP="00D63774">
            <w:pPr>
              <w:spacing w:after="120" w:line="240" w:lineRule="auto"/>
              <w:ind w:left="0" w:right="0"/>
              <w:rPr>
                <w:rFonts w:asciiTheme="minorHAnsi" w:hAnsiTheme="minorHAnsi"/>
                <w:b/>
                <w:color w:val="000000"/>
                <w:sz w:val="16"/>
                <w:szCs w:val="16"/>
              </w:rPr>
            </w:pPr>
          </w:p>
        </w:tc>
      </w:tr>
      <w:tr w:rsidR="00D63774" w:rsidRPr="008727F2" w14:paraId="670640E6" w14:textId="77777777" w:rsidTr="00816A75">
        <w:tc>
          <w:tcPr>
            <w:tcW w:w="1869" w:type="dxa"/>
          </w:tcPr>
          <w:p w14:paraId="14CB4E7A" w14:textId="0899F85C" w:rsidR="00D63774" w:rsidRPr="00705C2C" w:rsidRDefault="00D63774" w:rsidP="00D63774">
            <w:pPr>
              <w:spacing w:after="120" w:line="240" w:lineRule="auto"/>
              <w:ind w:left="0" w:right="0"/>
              <w:jc w:val="center"/>
              <w:rPr>
                <w:rFonts w:asciiTheme="minorHAnsi" w:hAnsiTheme="minorHAnsi"/>
                <w:color w:val="000000"/>
                <w:szCs w:val="16"/>
              </w:rPr>
            </w:pPr>
            <w:r>
              <w:rPr>
                <w:rFonts w:asciiTheme="minorHAnsi" w:hAnsiTheme="minorHAnsi"/>
                <w:color w:val="000000"/>
                <w:sz w:val="20"/>
              </w:rPr>
              <w:t>3</w:t>
            </w:r>
          </w:p>
        </w:tc>
        <w:tc>
          <w:tcPr>
            <w:tcW w:w="1657" w:type="dxa"/>
          </w:tcPr>
          <w:p w14:paraId="568E5880" w14:textId="15D992CD" w:rsidR="00D63774" w:rsidRPr="00705C2C" w:rsidRDefault="00D63774" w:rsidP="00D63774">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2DE61535" w14:textId="56E190D9" w:rsidR="00D63774" w:rsidRPr="00705C2C" w:rsidRDefault="00D63774" w:rsidP="00D63774">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3.1</w:t>
            </w:r>
          </w:p>
        </w:tc>
        <w:tc>
          <w:tcPr>
            <w:tcW w:w="1204" w:type="dxa"/>
          </w:tcPr>
          <w:p w14:paraId="6EC86738" w14:textId="5F4027EB" w:rsidR="00D63774" w:rsidRPr="00BD0938" w:rsidRDefault="00D63774" w:rsidP="00BD0938">
            <w:pPr>
              <w:spacing w:after="120" w:line="240" w:lineRule="auto"/>
              <w:ind w:left="0" w:right="0"/>
              <w:jc w:val="center"/>
              <w:rPr>
                <w:rFonts w:ascii="Trebuchet MS" w:hAnsi="Trebuchet MS"/>
                <w:color w:val="000000"/>
                <w:sz w:val="20"/>
                <w:szCs w:val="20"/>
              </w:rPr>
            </w:pPr>
            <w:r>
              <w:rPr>
                <w:rFonts w:ascii="Trebuchet MS" w:hAnsi="Trebuchet MS"/>
                <w:sz w:val="20"/>
              </w:rPr>
              <w:t>80</w:t>
            </w:r>
          </w:p>
        </w:tc>
        <w:tc>
          <w:tcPr>
            <w:tcW w:w="2658" w:type="dxa"/>
          </w:tcPr>
          <w:p w14:paraId="192CCECD" w14:textId="77777777" w:rsidR="00D63774" w:rsidRPr="00570B26" w:rsidRDefault="00D63774" w:rsidP="00D63774">
            <w:pPr>
              <w:spacing w:after="120" w:line="240" w:lineRule="auto"/>
              <w:ind w:left="0" w:right="0"/>
              <w:rPr>
                <w:rFonts w:asciiTheme="minorHAnsi" w:hAnsiTheme="minorHAnsi"/>
                <w:b/>
                <w:color w:val="000000"/>
                <w:sz w:val="16"/>
                <w:szCs w:val="16"/>
              </w:rPr>
            </w:pPr>
          </w:p>
        </w:tc>
      </w:tr>
      <w:tr w:rsidR="00D63774" w:rsidRPr="008727F2" w14:paraId="467BE1EF" w14:textId="77777777" w:rsidTr="00816A75">
        <w:tc>
          <w:tcPr>
            <w:tcW w:w="1869" w:type="dxa"/>
          </w:tcPr>
          <w:p w14:paraId="0D90C861" w14:textId="267EAE86" w:rsidR="00D63774" w:rsidRPr="00705C2C" w:rsidRDefault="00D63774" w:rsidP="00D63774">
            <w:pPr>
              <w:spacing w:after="120" w:line="240" w:lineRule="auto"/>
              <w:ind w:left="0" w:right="0"/>
              <w:jc w:val="center"/>
              <w:rPr>
                <w:rFonts w:asciiTheme="minorHAnsi" w:hAnsiTheme="minorHAnsi"/>
                <w:color w:val="000000"/>
                <w:szCs w:val="16"/>
              </w:rPr>
            </w:pPr>
            <w:r>
              <w:rPr>
                <w:rFonts w:asciiTheme="minorHAnsi" w:hAnsiTheme="minorHAnsi"/>
                <w:color w:val="000000"/>
                <w:sz w:val="20"/>
              </w:rPr>
              <w:t>3</w:t>
            </w:r>
          </w:p>
        </w:tc>
        <w:tc>
          <w:tcPr>
            <w:tcW w:w="1657" w:type="dxa"/>
          </w:tcPr>
          <w:p w14:paraId="0663E3AB" w14:textId="64FA0E6A" w:rsidR="00D63774" w:rsidRPr="00705C2C" w:rsidRDefault="00D63774" w:rsidP="00D63774">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4121D3F7" w14:textId="6807DA23" w:rsidR="00D63774" w:rsidRPr="00705C2C" w:rsidRDefault="00D63774" w:rsidP="00D63774">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3.1</w:t>
            </w:r>
          </w:p>
        </w:tc>
        <w:tc>
          <w:tcPr>
            <w:tcW w:w="1204" w:type="dxa"/>
          </w:tcPr>
          <w:p w14:paraId="49CD7116" w14:textId="3B4852EA" w:rsidR="00D63774" w:rsidRPr="00BD0938" w:rsidRDefault="00D63774" w:rsidP="00BD0938">
            <w:pPr>
              <w:spacing w:after="120" w:line="240" w:lineRule="auto"/>
              <w:ind w:left="0" w:right="0"/>
              <w:jc w:val="center"/>
              <w:rPr>
                <w:rFonts w:ascii="Trebuchet MS" w:hAnsi="Trebuchet MS"/>
                <w:color w:val="000000"/>
                <w:sz w:val="20"/>
                <w:szCs w:val="20"/>
              </w:rPr>
            </w:pPr>
            <w:r>
              <w:rPr>
                <w:rFonts w:ascii="Trebuchet MS" w:hAnsi="Trebuchet MS"/>
                <w:sz w:val="20"/>
              </w:rPr>
              <w:t>81</w:t>
            </w:r>
          </w:p>
        </w:tc>
        <w:tc>
          <w:tcPr>
            <w:tcW w:w="2658" w:type="dxa"/>
          </w:tcPr>
          <w:p w14:paraId="69784855" w14:textId="77777777" w:rsidR="00D63774" w:rsidRPr="00570B26" w:rsidRDefault="00D63774" w:rsidP="00D63774">
            <w:pPr>
              <w:spacing w:after="120" w:line="240" w:lineRule="auto"/>
              <w:ind w:left="0" w:right="0"/>
              <w:rPr>
                <w:rFonts w:asciiTheme="minorHAnsi" w:hAnsiTheme="minorHAnsi"/>
                <w:b/>
                <w:color w:val="000000"/>
                <w:sz w:val="16"/>
                <w:szCs w:val="16"/>
              </w:rPr>
            </w:pPr>
          </w:p>
        </w:tc>
      </w:tr>
      <w:tr w:rsidR="00D63774" w:rsidRPr="008727F2" w14:paraId="3F1ED925" w14:textId="77777777" w:rsidTr="00816A75">
        <w:tc>
          <w:tcPr>
            <w:tcW w:w="1869" w:type="dxa"/>
          </w:tcPr>
          <w:p w14:paraId="48256EEA" w14:textId="1048648F" w:rsidR="00D63774" w:rsidRPr="00705C2C" w:rsidRDefault="00D63774" w:rsidP="00D63774">
            <w:pPr>
              <w:spacing w:after="120" w:line="240" w:lineRule="auto"/>
              <w:ind w:left="0" w:right="0"/>
              <w:jc w:val="center"/>
              <w:rPr>
                <w:rFonts w:asciiTheme="minorHAnsi" w:hAnsiTheme="minorHAnsi"/>
                <w:color w:val="000000"/>
                <w:szCs w:val="16"/>
              </w:rPr>
            </w:pPr>
            <w:r>
              <w:rPr>
                <w:rFonts w:asciiTheme="minorHAnsi" w:hAnsiTheme="minorHAnsi"/>
                <w:color w:val="000000"/>
                <w:sz w:val="20"/>
              </w:rPr>
              <w:t>3</w:t>
            </w:r>
          </w:p>
        </w:tc>
        <w:tc>
          <w:tcPr>
            <w:tcW w:w="1657" w:type="dxa"/>
          </w:tcPr>
          <w:p w14:paraId="5F1CD24F" w14:textId="44466E62" w:rsidR="00D63774" w:rsidRPr="00705C2C" w:rsidRDefault="00D63774" w:rsidP="00D63774">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6FBD0F97" w14:textId="5D05746D" w:rsidR="00D63774" w:rsidRPr="00705C2C" w:rsidRDefault="00D63774" w:rsidP="00D63774">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3.1</w:t>
            </w:r>
          </w:p>
        </w:tc>
        <w:tc>
          <w:tcPr>
            <w:tcW w:w="1204" w:type="dxa"/>
          </w:tcPr>
          <w:p w14:paraId="430C0D77" w14:textId="60A1AE1A" w:rsidR="00D63774" w:rsidRPr="00BD0938" w:rsidRDefault="00D63774" w:rsidP="00BD0938">
            <w:pPr>
              <w:spacing w:after="120" w:line="240" w:lineRule="auto"/>
              <w:ind w:left="0" w:right="0"/>
              <w:jc w:val="center"/>
              <w:rPr>
                <w:rFonts w:ascii="Trebuchet MS" w:hAnsi="Trebuchet MS"/>
                <w:color w:val="000000"/>
                <w:sz w:val="20"/>
                <w:szCs w:val="20"/>
              </w:rPr>
            </w:pPr>
            <w:r>
              <w:rPr>
                <w:rFonts w:ascii="Trebuchet MS" w:hAnsi="Trebuchet MS"/>
                <w:sz w:val="20"/>
              </w:rPr>
              <w:t>82</w:t>
            </w:r>
          </w:p>
        </w:tc>
        <w:tc>
          <w:tcPr>
            <w:tcW w:w="2658" w:type="dxa"/>
          </w:tcPr>
          <w:p w14:paraId="406D6094" w14:textId="77777777" w:rsidR="00D63774" w:rsidRPr="00570B26" w:rsidRDefault="00D63774" w:rsidP="00D63774">
            <w:pPr>
              <w:spacing w:after="120" w:line="240" w:lineRule="auto"/>
              <w:ind w:left="0" w:right="0"/>
              <w:rPr>
                <w:rFonts w:asciiTheme="minorHAnsi" w:hAnsiTheme="minorHAnsi"/>
                <w:b/>
                <w:color w:val="000000"/>
                <w:sz w:val="16"/>
                <w:szCs w:val="16"/>
              </w:rPr>
            </w:pPr>
          </w:p>
        </w:tc>
      </w:tr>
      <w:tr w:rsidR="00D63774" w:rsidRPr="008727F2" w14:paraId="00DEFBB5" w14:textId="77777777" w:rsidTr="00816A75">
        <w:tc>
          <w:tcPr>
            <w:tcW w:w="1869" w:type="dxa"/>
          </w:tcPr>
          <w:p w14:paraId="66D6D5A5" w14:textId="355056BC" w:rsidR="00D63774" w:rsidRPr="00705C2C" w:rsidRDefault="00D63774" w:rsidP="00D63774">
            <w:pPr>
              <w:spacing w:after="120" w:line="240" w:lineRule="auto"/>
              <w:ind w:left="0" w:right="0"/>
              <w:jc w:val="center"/>
              <w:rPr>
                <w:rFonts w:asciiTheme="minorHAnsi" w:hAnsiTheme="minorHAnsi"/>
                <w:color w:val="000000"/>
                <w:szCs w:val="16"/>
              </w:rPr>
            </w:pPr>
            <w:r>
              <w:rPr>
                <w:rFonts w:asciiTheme="minorHAnsi" w:hAnsiTheme="minorHAnsi"/>
                <w:color w:val="000000"/>
                <w:sz w:val="20"/>
              </w:rPr>
              <w:t>3</w:t>
            </w:r>
          </w:p>
        </w:tc>
        <w:tc>
          <w:tcPr>
            <w:tcW w:w="1657" w:type="dxa"/>
          </w:tcPr>
          <w:p w14:paraId="5ACEF9CD" w14:textId="661C3BAB" w:rsidR="00D63774" w:rsidRPr="00705C2C" w:rsidRDefault="00D63774" w:rsidP="00D63774">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515205AA" w14:textId="6429F300" w:rsidR="00D63774" w:rsidRPr="00705C2C" w:rsidRDefault="00D63774" w:rsidP="00D63774">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3.1</w:t>
            </w:r>
          </w:p>
        </w:tc>
        <w:tc>
          <w:tcPr>
            <w:tcW w:w="1204" w:type="dxa"/>
          </w:tcPr>
          <w:p w14:paraId="52B01C94" w14:textId="35A10625" w:rsidR="00D63774" w:rsidRPr="00BD0938" w:rsidRDefault="00D63774" w:rsidP="00BD0938">
            <w:pPr>
              <w:spacing w:after="120" w:line="240" w:lineRule="auto"/>
              <w:ind w:left="0" w:right="0"/>
              <w:jc w:val="center"/>
              <w:rPr>
                <w:rFonts w:ascii="Trebuchet MS" w:hAnsi="Trebuchet MS"/>
                <w:color w:val="000000"/>
                <w:sz w:val="20"/>
                <w:szCs w:val="20"/>
              </w:rPr>
            </w:pPr>
            <w:r>
              <w:rPr>
                <w:rFonts w:ascii="Trebuchet MS" w:hAnsi="Trebuchet MS"/>
                <w:sz w:val="20"/>
              </w:rPr>
              <w:t>83</w:t>
            </w:r>
          </w:p>
        </w:tc>
        <w:tc>
          <w:tcPr>
            <w:tcW w:w="2658" w:type="dxa"/>
          </w:tcPr>
          <w:p w14:paraId="49454117" w14:textId="77777777" w:rsidR="00D63774" w:rsidRPr="00570B26" w:rsidRDefault="00D63774" w:rsidP="00D63774">
            <w:pPr>
              <w:spacing w:after="120" w:line="240" w:lineRule="auto"/>
              <w:ind w:left="0" w:right="0"/>
              <w:rPr>
                <w:rFonts w:asciiTheme="minorHAnsi" w:hAnsiTheme="minorHAnsi"/>
                <w:b/>
                <w:color w:val="000000"/>
                <w:sz w:val="16"/>
                <w:szCs w:val="16"/>
              </w:rPr>
            </w:pPr>
          </w:p>
        </w:tc>
      </w:tr>
      <w:tr w:rsidR="00D63774" w:rsidRPr="008727F2" w14:paraId="5B474B49" w14:textId="77777777" w:rsidTr="00816A75">
        <w:tc>
          <w:tcPr>
            <w:tcW w:w="1869" w:type="dxa"/>
          </w:tcPr>
          <w:p w14:paraId="0807709D" w14:textId="385C25B6" w:rsidR="00D63774" w:rsidRPr="00705C2C" w:rsidRDefault="00D63774" w:rsidP="00D63774">
            <w:pPr>
              <w:spacing w:after="120" w:line="240" w:lineRule="auto"/>
              <w:ind w:left="0" w:right="0"/>
              <w:jc w:val="center"/>
              <w:rPr>
                <w:rFonts w:asciiTheme="minorHAnsi" w:hAnsiTheme="minorHAnsi"/>
                <w:color w:val="000000"/>
                <w:szCs w:val="16"/>
              </w:rPr>
            </w:pPr>
            <w:r>
              <w:rPr>
                <w:rFonts w:asciiTheme="minorHAnsi" w:hAnsiTheme="minorHAnsi"/>
                <w:color w:val="000000"/>
                <w:sz w:val="20"/>
              </w:rPr>
              <w:t>3</w:t>
            </w:r>
          </w:p>
        </w:tc>
        <w:tc>
          <w:tcPr>
            <w:tcW w:w="1657" w:type="dxa"/>
          </w:tcPr>
          <w:p w14:paraId="2077DDDA" w14:textId="421F815F" w:rsidR="00D63774" w:rsidRPr="00705C2C" w:rsidRDefault="00D63774" w:rsidP="00D63774">
            <w:pPr>
              <w:spacing w:after="120" w:line="240" w:lineRule="auto"/>
              <w:ind w:left="0" w:right="0"/>
              <w:rPr>
                <w:rFonts w:asciiTheme="minorHAnsi" w:hAnsiTheme="minorHAnsi"/>
                <w:color w:val="000000"/>
                <w:szCs w:val="16"/>
              </w:rPr>
            </w:pPr>
            <w:r>
              <w:rPr>
                <w:rFonts w:asciiTheme="minorHAnsi" w:hAnsiTheme="minorHAnsi"/>
                <w:color w:val="000000"/>
                <w:sz w:val="20"/>
              </w:rPr>
              <w:t>EFRR</w:t>
            </w:r>
          </w:p>
        </w:tc>
        <w:tc>
          <w:tcPr>
            <w:tcW w:w="1898" w:type="dxa"/>
          </w:tcPr>
          <w:p w14:paraId="3186AB1E" w14:textId="4DB2F393" w:rsidR="00D63774" w:rsidRPr="00705C2C" w:rsidRDefault="00D63774" w:rsidP="00D63774">
            <w:pPr>
              <w:spacing w:after="120" w:line="240" w:lineRule="auto"/>
              <w:ind w:left="0" w:right="0"/>
              <w:rPr>
                <w:rFonts w:asciiTheme="minorHAnsi" w:hAnsiTheme="minorHAnsi"/>
                <w:color w:val="000000"/>
                <w:szCs w:val="16"/>
              </w:rPr>
            </w:pPr>
            <w:r>
              <w:rPr>
                <w:rFonts w:asciiTheme="minorHAnsi" w:hAnsiTheme="minorHAnsi"/>
                <w:color w:val="000000"/>
                <w:sz w:val="20"/>
              </w:rPr>
              <w:t>Cel szczegółowy 3.1</w:t>
            </w:r>
          </w:p>
        </w:tc>
        <w:tc>
          <w:tcPr>
            <w:tcW w:w="1204" w:type="dxa"/>
          </w:tcPr>
          <w:p w14:paraId="165F7D36" w14:textId="7D758617" w:rsidR="00D63774" w:rsidRPr="00BD0938" w:rsidRDefault="00D63774" w:rsidP="00BD0938">
            <w:pPr>
              <w:spacing w:after="120" w:line="240" w:lineRule="auto"/>
              <w:ind w:left="0" w:right="0"/>
              <w:jc w:val="center"/>
              <w:rPr>
                <w:rFonts w:ascii="Trebuchet MS" w:hAnsi="Trebuchet MS"/>
                <w:color w:val="000000"/>
                <w:sz w:val="20"/>
                <w:szCs w:val="20"/>
              </w:rPr>
            </w:pPr>
            <w:r>
              <w:rPr>
                <w:rFonts w:ascii="Trebuchet MS" w:hAnsi="Trebuchet MS"/>
                <w:sz w:val="20"/>
              </w:rPr>
              <w:t>84</w:t>
            </w:r>
          </w:p>
        </w:tc>
        <w:tc>
          <w:tcPr>
            <w:tcW w:w="2658" w:type="dxa"/>
          </w:tcPr>
          <w:p w14:paraId="685335E4" w14:textId="77777777" w:rsidR="00D63774" w:rsidRPr="00570B26" w:rsidRDefault="00D63774" w:rsidP="00D63774">
            <w:pPr>
              <w:spacing w:after="120" w:line="240" w:lineRule="auto"/>
              <w:ind w:left="0" w:right="0"/>
              <w:rPr>
                <w:rFonts w:asciiTheme="minorHAnsi" w:hAnsiTheme="minorHAnsi"/>
                <w:b/>
                <w:color w:val="000000"/>
                <w:sz w:val="16"/>
                <w:szCs w:val="16"/>
              </w:rPr>
            </w:pPr>
          </w:p>
        </w:tc>
      </w:tr>
    </w:tbl>
    <w:p w14:paraId="206B8247" w14:textId="77777777" w:rsidR="007C7E49" w:rsidRDefault="007C7E49" w:rsidP="009D6F42">
      <w:pPr>
        <w:spacing w:before="240" w:after="240" w:line="240" w:lineRule="auto"/>
        <w:ind w:left="0"/>
        <w:rPr>
          <w:rFonts w:asciiTheme="minorHAnsi" w:hAnsiTheme="minorHAnsi"/>
          <w:szCs w:val="24"/>
          <w:lang w:val="en-GB"/>
        </w:rPr>
      </w:pPr>
    </w:p>
    <w:p w14:paraId="11E3E8C2" w14:textId="2344C5F8" w:rsidR="009D6F42" w:rsidRPr="009A0D85" w:rsidRDefault="009D6F42" w:rsidP="009D6F42">
      <w:pPr>
        <w:spacing w:before="240" w:after="240" w:line="240" w:lineRule="auto"/>
        <w:ind w:left="0"/>
        <w:rPr>
          <w:rFonts w:asciiTheme="minorHAnsi" w:hAnsiTheme="minorHAnsi"/>
          <w:szCs w:val="24"/>
        </w:rPr>
      </w:pPr>
      <w:r>
        <w:rPr>
          <w:rFonts w:asciiTheme="minorHAnsi" w:hAnsiTheme="minorHAnsi"/>
        </w:rPr>
        <w:t>Tabela 5: Wymiar 2 – forma finansowania</w:t>
      </w:r>
    </w:p>
    <w:tbl>
      <w:tblPr>
        <w:tblStyle w:val="15"/>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D6F42" w:rsidRPr="008727F2" w14:paraId="0C8CA33E" w14:textId="77777777" w:rsidTr="00816A75">
        <w:tc>
          <w:tcPr>
            <w:tcW w:w="1869" w:type="dxa"/>
          </w:tcPr>
          <w:p w14:paraId="6F65076E"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Priorytet nr</w:t>
            </w:r>
          </w:p>
        </w:tc>
        <w:tc>
          <w:tcPr>
            <w:tcW w:w="1657" w:type="dxa"/>
          </w:tcPr>
          <w:p w14:paraId="11DB0691"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w:t>
            </w:r>
          </w:p>
        </w:tc>
        <w:tc>
          <w:tcPr>
            <w:tcW w:w="1898" w:type="dxa"/>
          </w:tcPr>
          <w:p w14:paraId="1A97A90B"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Cel szczegółowy</w:t>
            </w:r>
          </w:p>
        </w:tc>
        <w:tc>
          <w:tcPr>
            <w:tcW w:w="1204" w:type="dxa"/>
          </w:tcPr>
          <w:p w14:paraId="473CBF98"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Kod </w:t>
            </w:r>
          </w:p>
        </w:tc>
        <w:tc>
          <w:tcPr>
            <w:tcW w:w="2658" w:type="dxa"/>
          </w:tcPr>
          <w:p w14:paraId="008F17B1"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Kwota (EUR)</w:t>
            </w:r>
          </w:p>
        </w:tc>
      </w:tr>
      <w:tr w:rsidR="00705C2C" w:rsidRPr="008727F2" w14:paraId="43A17CC7" w14:textId="77777777" w:rsidTr="00816A75">
        <w:tc>
          <w:tcPr>
            <w:tcW w:w="1869" w:type="dxa"/>
          </w:tcPr>
          <w:p w14:paraId="0A5F2F02" w14:textId="77777777" w:rsidR="00705C2C" w:rsidRPr="00570B26" w:rsidRDefault="00705C2C" w:rsidP="00705C2C">
            <w:pPr>
              <w:spacing w:after="120" w:line="240" w:lineRule="auto"/>
              <w:ind w:left="0" w:right="0"/>
              <w:jc w:val="center"/>
              <w:rPr>
                <w:rFonts w:asciiTheme="minorHAnsi" w:eastAsia="Times New Roman" w:hAnsiTheme="minorHAnsi" w:cs="Times New Roman"/>
                <w:b/>
                <w:color w:val="000000"/>
                <w:sz w:val="16"/>
                <w:szCs w:val="16"/>
              </w:rPr>
            </w:pPr>
            <w:r>
              <w:rPr>
                <w:rFonts w:asciiTheme="minorHAnsi" w:hAnsiTheme="minorHAnsi"/>
                <w:color w:val="000000"/>
                <w:sz w:val="20"/>
              </w:rPr>
              <w:t>3</w:t>
            </w:r>
          </w:p>
        </w:tc>
        <w:tc>
          <w:tcPr>
            <w:tcW w:w="1657" w:type="dxa"/>
          </w:tcPr>
          <w:p w14:paraId="009B2886" w14:textId="77777777" w:rsidR="00705C2C" w:rsidRPr="00570B26" w:rsidRDefault="00705C2C" w:rsidP="00705C2C">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color w:val="000000"/>
                <w:sz w:val="20"/>
              </w:rPr>
              <w:t>EFRR</w:t>
            </w:r>
          </w:p>
        </w:tc>
        <w:tc>
          <w:tcPr>
            <w:tcW w:w="1898" w:type="dxa"/>
          </w:tcPr>
          <w:p w14:paraId="5B6E4EC5" w14:textId="77777777" w:rsidR="00705C2C" w:rsidRPr="00570B26" w:rsidRDefault="00705C2C" w:rsidP="00705C2C">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color w:val="000000"/>
                <w:sz w:val="20"/>
              </w:rPr>
              <w:t xml:space="preserve">Cel szczegółowy </w:t>
            </w:r>
            <w:r>
              <w:rPr>
                <w:rFonts w:asciiTheme="minorHAnsi" w:hAnsiTheme="minorHAnsi"/>
                <w:color w:val="000000"/>
                <w:sz w:val="20"/>
              </w:rPr>
              <w:lastRenderedPageBreak/>
              <w:t>3.1</w:t>
            </w:r>
          </w:p>
        </w:tc>
        <w:tc>
          <w:tcPr>
            <w:tcW w:w="1204" w:type="dxa"/>
          </w:tcPr>
          <w:p w14:paraId="31D0B299" w14:textId="6186382A" w:rsidR="00705C2C" w:rsidRPr="00BD0938" w:rsidRDefault="00320A2B" w:rsidP="00BD0938">
            <w:pPr>
              <w:spacing w:after="120" w:line="240" w:lineRule="auto"/>
              <w:ind w:left="0" w:right="0"/>
              <w:jc w:val="center"/>
              <w:rPr>
                <w:rFonts w:ascii="Trebuchet MS" w:eastAsia="Times New Roman" w:hAnsi="Trebuchet MS" w:cs="Times New Roman"/>
                <w:color w:val="000000"/>
                <w:sz w:val="20"/>
                <w:szCs w:val="20"/>
              </w:rPr>
            </w:pPr>
            <w:r>
              <w:rPr>
                <w:rFonts w:ascii="Trebuchet MS" w:hAnsi="Trebuchet MS"/>
                <w:color w:val="000000"/>
                <w:sz w:val="20"/>
              </w:rPr>
              <w:lastRenderedPageBreak/>
              <w:t>01</w:t>
            </w:r>
          </w:p>
        </w:tc>
        <w:tc>
          <w:tcPr>
            <w:tcW w:w="2658" w:type="dxa"/>
          </w:tcPr>
          <w:p w14:paraId="2E6068CE" w14:textId="77777777" w:rsidR="00705C2C" w:rsidRPr="00570B26" w:rsidRDefault="00705C2C" w:rsidP="00705C2C">
            <w:pPr>
              <w:spacing w:after="120" w:line="240" w:lineRule="auto"/>
              <w:ind w:left="0" w:right="0"/>
              <w:rPr>
                <w:rFonts w:asciiTheme="minorHAnsi" w:eastAsia="Times New Roman" w:hAnsiTheme="minorHAnsi" w:cs="Times New Roman"/>
                <w:b/>
                <w:color w:val="000000"/>
                <w:sz w:val="16"/>
                <w:szCs w:val="16"/>
              </w:rPr>
            </w:pPr>
          </w:p>
        </w:tc>
      </w:tr>
    </w:tbl>
    <w:p w14:paraId="253CC53F" w14:textId="77777777" w:rsidR="009D6F42" w:rsidRPr="009A0D85" w:rsidRDefault="009D6F42" w:rsidP="009D6F42">
      <w:pPr>
        <w:spacing w:before="240" w:after="240" w:line="240" w:lineRule="auto"/>
        <w:ind w:left="0"/>
        <w:rPr>
          <w:rFonts w:asciiTheme="minorHAnsi" w:hAnsiTheme="minorHAnsi"/>
          <w:szCs w:val="24"/>
        </w:rPr>
      </w:pPr>
      <w:r>
        <w:rPr>
          <w:rFonts w:asciiTheme="minorHAnsi" w:hAnsiTheme="minorHAnsi"/>
        </w:rPr>
        <w:lastRenderedPageBreak/>
        <w:t>Tabela 6: Wymiar 3 – mechanizm realizacji terytorialnej i koncentracja na terytorium</w:t>
      </w:r>
    </w:p>
    <w:tbl>
      <w:tblPr>
        <w:tblStyle w:val="14"/>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D6F42" w:rsidRPr="008727F2" w14:paraId="0935FE99" w14:textId="77777777" w:rsidTr="00816A75">
        <w:tc>
          <w:tcPr>
            <w:tcW w:w="1869" w:type="dxa"/>
          </w:tcPr>
          <w:p w14:paraId="2767CB65"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Priorytet nr</w:t>
            </w:r>
          </w:p>
        </w:tc>
        <w:tc>
          <w:tcPr>
            <w:tcW w:w="1657" w:type="dxa"/>
          </w:tcPr>
          <w:p w14:paraId="53F29C6F"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w:t>
            </w:r>
          </w:p>
        </w:tc>
        <w:tc>
          <w:tcPr>
            <w:tcW w:w="1898" w:type="dxa"/>
          </w:tcPr>
          <w:p w14:paraId="1D6837C0"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Cel szczegółowy</w:t>
            </w:r>
          </w:p>
        </w:tc>
        <w:tc>
          <w:tcPr>
            <w:tcW w:w="1204" w:type="dxa"/>
          </w:tcPr>
          <w:p w14:paraId="422F8A08"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Kod </w:t>
            </w:r>
          </w:p>
        </w:tc>
        <w:tc>
          <w:tcPr>
            <w:tcW w:w="2658" w:type="dxa"/>
          </w:tcPr>
          <w:p w14:paraId="34CF211C"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Kwota (EUR)</w:t>
            </w:r>
          </w:p>
        </w:tc>
      </w:tr>
      <w:tr w:rsidR="00705C2C" w:rsidRPr="008727F2" w14:paraId="3E4FBB7A" w14:textId="77777777" w:rsidTr="00816A75">
        <w:tc>
          <w:tcPr>
            <w:tcW w:w="1869" w:type="dxa"/>
          </w:tcPr>
          <w:p w14:paraId="7774FBBC" w14:textId="77777777" w:rsidR="00705C2C" w:rsidRPr="00570B26" w:rsidRDefault="00705C2C" w:rsidP="00705C2C">
            <w:pPr>
              <w:spacing w:after="120" w:line="240" w:lineRule="auto"/>
              <w:ind w:left="0" w:right="0"/>
              <w:jc w:val="center"/>
              <w:rPr>
                <w:rFonts w:asciiTheme="minorHAnsi" w:eastAsia="Times New Roman" w:hAnsiTheme="minorHAnsi" w:cs="Times New Roman"/>
                <w:b/>
                <w:color w:val="000000"/>
                <w:sz w:val="16"/>
                <w:szCs w:val="16"/>
              </w:rPr>
            </w:pPr>
            <w:r>
              <w:rPr>
                <w:rFonts w:asciiTheme="minorHAnsi" w:hAnsiTheme="minorHAnsi"/>
                <w:color w:val="000000"/>
                <w:sz w:val="20"/>
              </w:rPr>
              <w:t>3</w:t>
            </w:r>
          </w:p>
        </w:tc>
        <w:tc>
          <w:tcPr>
            <w:tcW w:w="1657" w:type="dxa"/>
          </w:tcPr>
          <w:p w14:paraId="5DEA586D" w14:textId="77777777" w:rsidR="00705C2C" w:rsidRPr="00570B26" w:rsidRDefault="00705C2C" w:rsidP="00705C2C">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color w:val="000000"/>
                <w:sz w:val="20"/>
              </w:rPr>
              <w:t>EFRR</w:t>
            </w:r>
          </w:p>
        </w:tc>
        <w:tc>
          <w:tcPr>
            <w:tcW w:w="1898" w:type="dxa"/>
          </w:tcPr>
          <w:p w14:paraId="024F34A1" w14:textId="77777777" w:rsidR="00705C2C" w:rsidRPr="00570B26" w:rsidRDefault="00705C2C" w:rsidP="00705C2C">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color w:val="000000"/>
                <w:sz w:val="20"/>
              </w:rPr>
              <w:t>Cel szczegółowy 3.1</w:t>
            </w:r>
          </w:p>
        </w:tc>
        <w:tc>
          <w:tcPr>
            <w:tcW w:w="1204" w:type="dxa"/>
          </w:tcPr>
          <w:p w14:paraId="33A2AE99" w14:textId="1CD3BDD0" w:rsidR="00705C2C" w:rsidRPr="00BD0938" w:rsidRDefault="008C02EE" w:rsidP="00BD0938">
            <w:pPr>
              <w:spacing w:after="120" w:line="240" w:lineRule="auto"/>
              <w:ind w:left="0" w:right="0"/>
              <w:jc w:val="center"/>
              <w:rPr>
                <w:rFonts w:ascii="Trebuchet MS" w:eastAsia="Times New Roman" w:hAnsi="Trebuchet MS" w:cs="Times New Roman"/>
                <w:color w:val="000000"/>
                <w:sz w:val="20"/>
                <w:szCs w:val="20"/>
              </w:rPr>
            </w:pPr>
            <w:r>
              <w:rPr>
                <w:rFonts w:ascii="Trebuchet MS" w:hAnsi="Trebuchet MS"/>
                <w:color w:val="000000"/>
                <w:sz w:val="20"/>
              </w:rPr>
              <w:t>48</w:t>
            </w:r>
          </w:p>
        </w:tc>
        <w:tc>
          <w:tcPr>
            <w:tcW w:w="2658" w:type="dxa"/>
          </w:tcPr>
          <w:p w14:paraId="03110093" w14:textId="77777777" w:rsidR="00705C2C" w:rsidRPr="00570B26" w:rsidRDefault="00705C2C" w:rsidP="00705C2C">
            <w:pPr>
              <w:spacing w:after="120" w:line="240" w:lineRule="auto"/>
              <w:ind w:left="0" w:right="0"/>
              <w:rPr>
                <w:rFonts w:asciiTheme="minorHAnsi" w:eastAsia="Times New Roman" w:hAnsiTheme="minorHAnsi" w:cs="Times New Roman"/>
                <w:b/>
                <w:color w:val="000000"/>
                <w:sz w:val="16"/>
                <w:szCs w:val="16"/>
              </w:rPr>
            </w:pPr>
          </w:p>
        </w:tc>
      </w:tr>
    </w:tbl>
    <w:p w14:paraId="6478CAA9" w14:textId="6E1E29D6" w:rsidR="009D6F42" w:rsidRDefault="009D6F42">
      <w:pPr>
        <w:spacing w:before="0" w:line="240" w:lineRule="auto"/>
        <w:ind w:left="0" w:right="0"/>
        <w:jc w:val="left"/>
        <w:rPr>
          <w:rFonts w:asciiTheme="minorHAnsi" w:hAnsiTheme="minorHAnsi"/>
        </w:rPr>
      </w:pPr>
    </w:p>
    <w:p w14:paraId="4CAD01AB" w14:textId="62E07238" w:rsidR="009D6F42" w:rsidRPr="009D6F42" w:rsidRDefault="008819EA" w:rsidP="005F59B1">
      <w:pPr>
        <w:spacing w:before="0" w:line="240" w:lineRule="auto"/>
        <w:ind w:left="0" w:right="0"/>
        <w:jc w:val="left"/>
        <w:rPr>
          <w:rFonts w:asciiTheme="minorHAnsi" w:hAnsiTheme="minorHAnsi"/>
          <w:b/>
          <w:sz w:val="24"/>
          <w:szCs w:val="24"/>
        </w:rPr>
      </w:pPr>
      <w:r>
        <w:br w:type="page"/>
      </w:r>
      <w:r>
        <w:rPr>
          <w:rFonts w:asciiTheme="minorHAnsi" w:hAnsiTheme="minorHAnsi"/>
          <w:b/>
          <w:sz w:val="24"/>
        </w:rPr>
        <w:lastRenderedPageBreak/>
        <w:t>2.4 Tytuł priorytetu (dla każdego priorytetu)</w:t>
      </w:r>
    </w:p>
    <w:p w14:paraId="2425DDA1" w14:textId="77777777" w:rsidR="009D6F42" w:rsidRPr="00D80606" w:rsidRDefault="009D6F42" w:rsidP="009D6F42">
      <w:pPr>
        <w:ind w:left="0"/>
        <w:rPr>
          <w:rFonts w:asciiTheme="minorHAnsi" w:hAnsiTheme="minorHAnsi"/>
          <w:color w:val="000000"/>
          <w:szCs w:val="24"/>
        </w:rPr>
      </w:pPr>
      <w:r w:rsidRPr="00D80606">
        <w:rPr>
          <w:rFonts w:asciiTheme="minorHAnsi" w:hAnsiTheme="minorHAnsi"/>
          <w:color w:val="000000"/>
        </w:rPr>
        <w:t>Podstawa: art. 17 ust. 4 lit. d</w:t>
      </w:r>
    </w:p>
    <w:p w14:paraId="5BB44187" w14:textId="77777777" w:rsidR="009D6F42" w:rsidRPr="008727F2" w:rsidRDefault="009D6F42" w:rsidP="009D6F42">
      <w:pPr>
        <w:ind w:left="0"/>
        <w:rPr>
          <w:rFonts w:asciiTheme="minorHAnsi" w:hAnsiTheme="minorHAnsi"/>
          <w:i/>
        </w:rPr>
      </w:pPr>
      <w:r w:rsidRPr="00D80606">
        <w:rPr>
          <w:rFonts w:asciiTheme="minorHAnsi" w:hAnsiTheme="minorHAnsi"/>
        </w:rPr>
        <w:t>Pole tekstowe: [300]</w:t>
      </w:r>
    </w:p>
    <w:tbl>
      <w:tblPr>
        <w:tblStyle w:val="Tabela-Siatka"/>
        <w:tblW w:w="0" w:type="auto"/>
        <w:tblLook w:val="04A0" w:firstRow="1" w:lastRow="0" w:firstColumn="1" w:lastColumn="0" w:noHBand="0" w:noVBand="1"/>
      </w:tblPr>
      <w:tblGrid>
        <w:gridCol w:w="9060"/>
      </w:tblGrid>
      <w:tr w:rsidR="009D6F42" w:rsidRPr="00A557D8" w14:paraId="75248073" w14:textId="77777777" w:rsidTr="00816A75">
        <w:tc>
          <w:tcPr>
            <w:tcW w:w="9060" w:type="dxa"/>
          </w:tcPr>
          <w:p w14:paraId="2D42C24B" w14:textId="3732F36E" w:rsidR="00DD5D09" w:rsidRPr="00EB444C" w:rsidRDefault="00DD5D09" w:rsidP="00173920">
            <w:pPr>
              <w:pStyle w:val="CE-Headline3"/>
            </w:pPr>
            <w:bookmarkStart w:id="111" w:name="_Toc71036612"/>
            <w:r>
              <w:t xml:space="preserve">Priorytet 4: </w:t>
            </w:r>
            <w:r w:rsidR="005157D1" w:rsidRPr="005157D1">
              <w:t>Poprawa systemu zarządzania współpracą w Europie Środkowej</w:t>
            </w:r>
            <w:bookmarkEnd w:id="111"/>
          </w:p>
        </w:tc>
      </w:tr>
    </w:tbl>
    <w:p w14:paraId="1460A761" w14:textId="77777777" w:rsidR="009D6F42" w:rsidRPr="00680741" w:rsidRDefault="009D6F42" w:rsidP="009D6F42">
      <w:pPr>
        <w:ind w:left="0"/>
        <w:rPr>
          <w:rFonts w:asciiTheme="minorHAnsi" w:hAnsiTheme="minorHAnsi"/>
          <w:i/>
        </w:rPr>
      </w:pPr>
    </w:p>
    <w:p w14:paraId="15086938" w14:textId="77777777" w:rsidR="009D6F42" w:rsidRPr="008727F2" w:rsidRDefault="009D6F42" w:rsidP="009D6F42">
      <w:pPr>
        <w:spacing w:before="240" w:after="240" w:line="240" w:lineRule="auto"/>
        <w:ind w:left="709" w:hanging="709"/>
        <w:rPr>
          <w:rFonts w:asciiTheme="minorHAnsi" w:hAnsiTheme="minorHAnsi"/>
          <w:sz w:val="24"/>
          <w:szCs w:val="24"/>
        </w:rPr>
      </w:pPr>
      <w:r>
        <w:rPr>
          <w:rFonts w:asciiTheme="minorHAnsi" w:hAnsiTheme="minorHAnsi"/>
          <w:b/>
          <w:sz w:val="24"/>
        </w:rPr>
        <w:t>2.4.1.</w:t>
      </w:r>
      <w:r>
        <w:rPr>
          <w:rFonts w:asciiTheme="minorHAnsi" w:hAnsiTheme="minorHAnsi"/>
          <w:b/>
          <w:sz w:val="24"/>
        </w:rPr>
        <w:tab/>
        <w:t xml:space="preserve">Cel szczegółowy </w:t>
      </w:r>
      <w:r>
        <w:rPr>
          <w:rFonts w:asciiTheme="minorHAnsi" w:hAnsiTheme="minorHAnsi"/>
          <w:sz w:val="24"/>
        </w:rPr>
        <w:t xml:space="preserve"> (dla każdego wybranego celu szczegółowego, priorytetów, z wyłączeniem pomocy technicznej)</w:t>
      </w:r>
    </w:p>
    <w:p w14:paraId="7EB9510C" w14:textId="77777777" w:rsidR="009D6F42" w:rsidRPr="00D80606" w:rsidRDefault="009D6F42" w:rsidP="009D6F42">
      <w:pPr>
        <w:ind w:left="0"/>
        <w:rPr>
          <w:rFonts w:asciiTheme="minorHAnsi" w:hAnsiTheme="minorHAnsi"/>
          <w:color w:val="000000"/>
        </w:rPr>
      </w:pPr>
      <w:r w:rsidRPr="00D80606">
        <w:rPr>
          <w:rFonts w:asciiTheme="minorHAnsi" w:hAnsiTheme="minorHAnsi"/>
          <w:color w:val="000000"/>
        </w:rPr>
        <w:t>Podstawa: art. 17 ust. 4 lit. e</w:t>
      </w:r>
    </w:p>
    <w:p w14:paraId="2667330B" w14:textId="253038F1" w:rsidR="00FC5CB7" w:rsidRPr="00EB444C" w:rsidRDefault="00FC5CB7" w:rsidP="00173920">
      <w:pPr>
        <w:pStyle w:val="CE-Headline4"/>
      </w:pPr>
      <w:bookmarkStart w:id="112" w:name="_Toc61245880"/>
      <w:bookmarkStart w:id="113" w:name="_Toc63770050"/>
      <w:bookmarkStart w:id="114" w:name="_Toc71036613"/>
      <w:r>
        <w:t>ISO 1 - Lepsze zarządzanie współpracą</w:t>
      </w:r>
      <w:bookmarkEnd w:id="112"/>
      <w:bookmarkEnd w:id="113"/>
      <w:bookmarkEnd w:id="114"/>
    </w:p>
    <w:p w14:paraId="601E063C" w14:textId="5134EAFF" w:rsidR="009D6F42" w:rsidRDefault="009D6F42" w:rsidP="00474CE7">
      <w:pPr>
        <w:spacing w:before="240" w:after="240" w:line="240" w:lineRule="auto"/>
        <w:ind w:left="709" w:hanging="709"/>
        <w:jc w:val="left"/>
        <w:rPr>
          <w:rFonts w:asciiTheme="minorHAnsi" w:hAnsiTheme="minorHAnsi"/>
          <w:b/>
          <w:sz w:val="24"/>
          <w:szCs w:val="24"/>
        </w:rPr>
      </w:pPr>
      <w:r>
        <w:rPr>
          <w:rFonts w:asciiTheme="minorHAnsi" w:hAnsiTheme="minorHAnsi"/>
          <w:b/>
          <w:sz w:val="24"/>
        </w:rPr>
        <w:t>2.4.1.1 Powiązane rodzaje działań i ich planowany wkład w osiągnięcie odpowiednio celów szczegółowych i strategii makroregionalnych i strategii dotyczących basenów morskich</w:t>
      </w:r>
    </w:p>
    <w:p w14:paraId="7AE21272" w14:textId="77777777" w:rsidR="009D6F42" w:rsidRPr="00D80606" w:rsidRDefault="009D6F42" w:rsidP="009D6F42">
      <w:pPr>
        <w:ind w:left="0"/>
        <w:rPr>
          <w:rFonts w:asciiTheme="minorHAnsi" w:hAnsiTheme="minorHAnsi"/>
          <w:color w:val="000000"/>
        </w:rPr>
      </w:pPr>
      <w:r w:rsidRPr="00D80606">
        <w:rPr>
          <w:rFonts w:asciiTheme="minorHAnsi" w:hAnsiTheme="minorHAnsi"/>
          <w:color w:val="000000"/>
        </w:rPr>
        <w:t>Podstawa: art. 17 ust. 4 lit. e pkt i, artykuł 17 ust. 9 lit. c pkt ii</w:t>
      </w:r>
    </w:p>
    <w:p w14:paraId="4DEA99C5" w14:textId="77777777" w:rsidR="009D6F42" w:rsidRPr="00D80606" w:rsidRDefault="009D6F42" w:rsidP="009D6F42">
      <w:pPr>
        <w:ind w:left="0"/>
        <w:rPr>
          <w:rFonts w:asciiTheme="minorHAnsi" w:hAnsiTheme="minorHAnsi"/>
        </w:rPr>
      </w:pPr>
      <w:r w:rsidRPr="00D80606">
        <w:rPr>
          <w:rFonts w:asciiTheme="minorHAnsi" w:hAnsiTheme="minorHAnsi"/>
        </w:rPr>
        <w:t>Pole tekstowe [7000]</w:t>
      </w:r>
    </w:p>
    <w:tbl>
      <w:tblPr>
        <w:tblStyle w:val="Tabela-Siatka"/>
        <w:tblW w:w="0" w:type="auto"/>
        <w:tblLook w:val="04A0" w:firstRow="1" w:lastRow="0" w:firstColumn="1" w:lastColumn="0" w:noHBand="0" w:noVBand="1"/>
      </w:tblPr>
      <w:tblGrid>
        <w:gridCol w:w="9060"/>
      </w:tblGrid>
      <w:tr w:rsidR="009D6F42" w:rsidRPr="00F56EF1" w14:paraId="5CA54EB3" w14:textId="77777777" w:rsidTr="00D80606">
        <w:tc>
          <w:tcPr>
            <w:tcW w:w="9060" w:type="dxa"/>
          </w:tcPr>
          <w:p w14:paraId="3C1A0C3C" w14:textId="77777777" w:rsidR="009D6F42" w:rsidRPr="00D80606" w:rsidRDefault="00DD5D09" w:rsidP="00474CE7">
            <w:pPr>
              <w:ind w:left="0"/>
              <w:jc w:val="left"/>
              <w:rPr>
                <w:rFonts w:asciiTheme="minorHAnsi" w:hAnsiTheme="minorHAnsi"/>
                <w:b/>
                <w:color w:val="000000"/>
                <w:sz w:val="26"/>
                <w:szCs w:val="26"/>
              </w:rPr>
            </w:pPr>
            <w:r w:rsidRPr="00D80606">
              <w:rPr>
                <w:rFonts w:asciiTheme="minorHAnsi" w:hAnsiTheme="minorHAnsi"/>
                <w:b/>
                <w:color w:val="000000"/>
                <w:sz w:val="26"/>
                <w:szCs w:val="26"/>
              </w:rPr>
              <w:t>Cel szczegółowy 4.1: Wzmocnienie systemu zarządzania na rzecz zintegrowanego rozwoju terytorialnego w Europie Środkowej</w:t>
            </w:r>
          </w:p>
          <w:p w14:paraId="4E542254" w14:textId="77777777" w:rsidR="00DD5D09" w:rsidRPr="00D80606" w:rsidRDefault="00DD5D09" w:rsidP="00F97E96">
            <w:pPr>
              <w:ind w:left="0" w:right="25"/>
              <w:rPr>
                <w:rFonts w:asciiTheme="minorHAnsi" w:hAnsiTheme="minorHAnsi"/>
                <w:sz w:val="24"/>
                <w:szCs w:val="24"/>
              </w:rPr>
            </w:pPr>
            <w:r w:rsidRPr="00D80606">
              <w:rPr>
                <w:rFonts w:asciiTheme="minorHAnsi" w:hAnsiTheme="minorHAnsi"/>
                <w:b/>
                <w:sz w:val="24"/>
                <w:szCs w:val="24"/>
              </w:rPr>
              <w:t>Potrzeby terytorialne Europy Środkowej</w:t>
            </w:r>
            <w:r w:rsidRPr="00D80606">
              <w:rPr>
                <w:rFonts w:asciiTheme="minorHAnsi" w:hAnsiTheme="minorHAnsi"/>
                <w:sz w:val="24"/>
                <w:szCs w:val="24"/>
              </w:rPr>
              <w:t xml:space="preserve"> </w:t>
            </w:r>
          </w:p>
          <w:p w14:paraId="0CB5C3C4" w14:textId="48DB1331" w:rsidR="00F043FC" w:rsidRPr="00D80606" w:rsidRDefault="00F043FC" w:rsidP="00474CE7">
            <w:pPr>
              <w:ind w:left="0" w:right="25"/>
              <w:jc w:val="left"/>
              <w:rPr>
                <w:rFonts w:asciiTheme="minorHAnsi" w:hAnsiTheme="minorHAnsi"/>
                <w:sz w:val="24"/>
                <w:szCs w:val="24"/>
              </w:rPr>
            </w:pPr>
            <w:r w:rsidRPr="00D80606">
              <w:rPr>
                <w:rFonts w:asciiTheme="minorHAnsi" w:hAnsiTheme="minorHAnsi"/>
                <w:sz w:val="24"/>
                <w:szCs w:val="24"/>
              </w:rPr>
              <w:t xml:space="preserve">Europa Środkowa jest niezwykle zróżnicowana zarówno pod względem terytorialnym, jak i pod względem rozwoju społeczno-gospodarczego. Dawna żelazna kurtyna w dalszym ciągu wyznacza podział między Wschodem i Zachodem, a Europa Środkowa stoi obecnie przed wieloma wyzwaniami i boryka się z wieloma barierami, które nie kończą się na granicach państwowych ani granicach obszarów jednostek terytorialnych, spowalniając rozwój gospodarczy, społeczny i terytorialny. Regiony Europy Środkowej łączy jednak silna wspólna tożsamość, która jest głęboko zakorzeniona w mocnych więziach kulturowo-historycznych. Ta niematerialna „tożsamość Europy Środkowej” stanowi punkt wyjścia dla podejmowania wspólnych działań w celu rozwiązywania wspólnych problemów. Zgodnie z Agendą Terytorialną 2030 i Nową Kartą Lipską, zintegrowane polityki i procesy wielopoziomowego sprawowania rządów mają kluczowe znaczenie dla wzmocnienia rozwoju regionalnego i spójności ponad granicami. Słaba jakość zarządzania powoduje jednak często zaniechanie takich zintegrowanych sposobów podejścia dostosowanych do warunków w danym miejscu. W konsekwencji w dalszym ciągu utrzymują się rozbieżności i podziały między dynamicznie rozwijającymi się regionami i tymi pozostającymi w tyle. Można to zmienić dzięki lepszemu zarządzaniu. Istnieje szczególna potrzeba wymiany dobrych praktyk między podmiotami będącymi uczestnikami systemu </w:t>
            </w:r>
            <w:r w:rsidRPr="00D80606">
              <w:rPr>
                <w:rFonts w:asciiTheme="minorHAnsi" w:hAnsiTheme="minorHAnsi"/>
                <w:sz w:val="24"/>
                <w:szCs w:val="24"/>
              </w:rPr>
              <w:lastRenderedPageBreak/>
              <w:t xml:space="preserve">zarządzania na różnych poziomach. W ten sposób można zapewnić, że usługi społeczne będą równiej rozłożone pod względem przestrzennym, jak i społecznym, co przyczyni się z kolei do wzmocnienia spójności terytorialnej i społecznej, a także wzmocnienia zasady równości szans w skali całego obszaru objętego programem. </w:t>
            </w:r>
          </w:p>
          <w:p w14:paraId="3423E21D" w14:textId="77777777" w:rsidR="00DD5D09" w:rsidRPr="00D80606" w:rsidRDefault="00DD5D09" w:rsidP="00F97E96">
            <w:pPr>
              <w:ind w:left="0" w:right="25"/>
              <w:rPr>
                <w:rFonts w:asciiTheme="minorHAnsi" w:hAnsiTheme="minorHAnsi"/>
                <w:sz w:val="24"/>
                <w:szCs w:val="24"/>
                <w:highlight w:val="yellow"/>
              </w:rPr>
            </w:pPr>
          </w:p>
          <w:p w14:paraId="373FF4A6" w14:textId="77777777" w:rsidR="0051123B" w:rsidRPr="00D80606" w:rsidRDefault="0051123B" w:rsidP="00AA79F9">
            <w:pPr>
              <w:ind w:left="0" w:right="25"/>
              <w:rPr>
                <w:rFonts w:asciiTheme="minorHAnsi" w:hAnsiTheme="minorHAnsi"/>
                <w:b/>
                <w:sz w:val="24"/>
                <w:szCs w:val="24"/>
              </w:rPr>
            </w:pPr>
            <w:r w:rsidRPr="00D80606">
              <w:rPr>
                <w:rFonts w:asciiTheme="minorHAnsi" w:hAnsiTheme="minorHAnsi"/>
                <w:b/>
                <w:sz w:val="24"/>
                <w:szCs w:val="24"/>
              </w:rPr>
              <w:t xml:space="preserve">Działania w zakresie współpracy transnarodowej </w:t>
            </w:r>
          </w:p>
          <w:p w14:paraId="60D192D6" w14:textId="4EA0A330" w:rsidR="004B68F5" w:rsidRPr="00D80606" w:rsidRDefault="0051123B" w:rsidP="00474CE7">
            <w:pPr>
              <w:ind w:left="0" w:right="25"/>
              <w:jc w:val="left"/>
              <w:rPr>
                <w:rFonts w:asciiTheme="minorHAnsi" w:hAnsiTheme="minorHAnsi"/>
                <w:sz w:val="24"/>
                <w:szCs w:val="24"/>
              </w:rPr>
            </w:pPr>
            <w:r w:rsidRPr="00D80606">
              <w:rPr>
                <w:rFonts w:asciiTheme="minorHAnsi" w:hAnsiTheme="minorHAnsi"/>
                <w:sz w:val="24"/>
                <w:szCs w:val="24"/>
              </w:rPr>
              <w:t xml:space="preserve">W ramach niniejszego celu szczegółowego wsparcie z programu Interreg EUROPA ŚRODKOWA będzie przyznawane na działania transnarodowe, których celem jest doskonalenie wielosektorowych procesów zarządzania na wszystkich poziomach terytorialnych, w szczególności w obliczu złożonych wyzwań związanych z cyfryzacją, zmianami demograficznymi, usługami publicznymi interesu ogólnego (np. opieki zdrowotnej, edukacji, usług społecznych), turystyką, w tym kulturą. Działania powinny opierać się na podejściu międzysektorowym i sprzyjać poziomej i pionowej współpracy odpowiednich podmiotów sektora publicznego oraz, w stosownych przypadkach, sektora prywatnego. Działania powinny także wzmacniać zdolności władz publicznych do opracowania zintegrowanych strategii rozwoju terytorialnego. </w:t>
            </w:r>
          </w:p>
          <w:p w14:paraId="2B9962B7" w14:textId="74B1B3B5" w:rsidR="0051123B" w:rsidRPr="00D80606" w:rsidRDefault="0051123B" w:rsidP="00474CE7">
            <w:pPr>
              <w:ind w:left="0" w:right="25"/>
              <w:jc w:val="left"/>
              <w:rPr>
                <w:rFonts w:asciiTheme="minorHAnsi" w:hAnsiTheme="minorHAnsi"/>
                <w:sz w:val="24"/>
                <w:szCs w:val="24"/>
              </w:rPr>
            </w:pPr>
            <w:r w:rsidRPr="00D80606">
              <w:rPr>
                <w:rFonts w:asciiTheme="minorHAnsi" w:hAnsiTheme="minorHAnsi"/>
                <w:sz w:val="24"/>
                <w:szCs w:val="24"/>
              </w:rPr>
              <w:t xml:space="preserve">Dopuszczalne działania z zakresu współpracy obejmują opracowanie i realizację strategii i planów działania, narzędzi, szkoleń i działań pilotażowych. Działania powinny koncentrować się na doskonaleniu procesów zarządzania przez mocniejsze integrowanie sektorów polityki, budowę konsensusu wokół właściwych instytucji i szersze angażowanie obywateli i pozostałych interesariuszy oraz poprzez wykorzystanie narzędzi cyfrowych. </w:t>
            </w:r>
          </w:p>
          <w:p w14:paraId="366CDB3A" w14:textId="2E6DAE51" w:rsidR="0051123B" w:rsidRPr="00D80606" w:rsidRDefault="00474CE7" w:rsidP="00474CE7">
            <w:pPr>
              <w:ind w:left="0" w:right="25"/>
              <w:jc w:val="left"/>
              <w:rPr>
                <w:rFonts w:asciiTheme="minorHAnsi" w:hAnsiTheme="minorHAnsi"/>
                <w:sz w:val="24"/>
                <w:szCs w:val="24"/>
              </w:rPr>
            </w:pPr>
            <w:r>
              <w:rPr>
                <w:rFonts w:asciiTheme="minorHAnsi" w:hAnsiTheme="minorHAnsi"/>
                <w:sz w:val="24"/>
                <w:szCs w:val="24"/>
              </w:rPr>
              <w:t>Konkretyzując</w:t>
            </w:r>
            <w:r w:rsidR="0051123B" w:rsidRPr="00D80606">
              <w:rPr>
                <w:rFonts w:asciiTheme="minorHAnsi" w:hAnsiTheme="minorHAnsi"/>
                <w:sz w:val="24"/>
                <w:szCs w:val="24"/>
              </w:rPr>
              <w:t>, program będzie finansował działania w następujących dziedzinach (prezentowana lista nie jest katalogiem zamkniętym):</w:t>
            </w:r>
          </w:p>
          <w:p w14:paraId="09230442" w14:textId="77777777" w:rsidR="0051123B" w:rsidRPr="00D80606" w:rsidRDefault="0051123B" w:rsidP="00474CE7">
            <w:pPr>
              <w:pStyle w:val="Akapitzlist"/>
              <w:numPr>
                <w:ilvl w:val="0"/>
                <w:numId w:val="52"/>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Zmniejszenie barier administracyjnych, lepsze kształtowanie polityk i współpraca ponad granicami</w:t>
            </w:r>
          </w:p>
          <w:p w14:paraId="1F6716B2" w14:textId="77777777" w:rsidR="0051123B" w:rsidRPr="00D80606" w:rsidRDefault="0051123B" w:rsidP="00474CE7">
            <w:pPr>
              <w:pStyle w:val="Akapitzlist"/>
              <w:numPr>
                <w:ilvl w:val="0"/>
                <w:numId w:val="52"/>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Partycypacyjne procesy podejmowania decyzji (np. zaangażowanie obywateli)</w:t>
            </w:r>
          </w:p>
          <w:p w14:paraId="50DE5F6A" w14:textId="77777777" w:rsidR="0051123B" w:rsidRPr="00D80606" w:rsidRDefault="0051123B" w:rsidP="00474CE7">
            <w:pPr>
              <w:pStyle w:val="Akapitzlist"/>
              <w:numPr>
                <w:ilvl w:val="0"/>
                <w:numId w:val="52"/>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Wielopoziomowe i wielosektorowe zarządzanie na obszarach o funkcjonalnych powiązaniach ponad granicami</w:t>
            </w:r>
          </w:p>
          <w:p w14:paraId="7DFF3A8C" w14:textId="219B5BC1" w:rsidR="0051123B" w:rsidRPr="00D80606" w:rsidRDefault="0051123B" w:rsidP="00474CE7">
            <w:pPr>
              <w:pStyle w:val="Akapitzlist"/>
              <w:numPr>
                <w:ilvl w:val="0"/>
                <w:numId w:val="52"/>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 xml:space="preserve">Zintegrowane strategie rozwoju terytorialnego, np. dotyczące zmian demograficznych, usług publicznych świadczonych w interesie ogólnym (takich jak zdrowie, edukacja, usługi społeczne) oraz turystyki i kultury </w:t>
            </w:r>
          </w:p>
          <w:p w14:paraId="43761348" w14:textId="77777777" w:rsidR="0051123B" w:rsidRPr="00D80606" w:rsidRDefault="0051123B" w:rsidP="00474CE7">
            <w:pPr>
              <w:pStyle w:val="Akapitzlist"/>
              <w:numPr>
                <w:ilvl w:val="0"/>
                <w:numId w:val="52"/>
              </w:numPr>
              <w:ind w:left="714" w:right="23" w:hanging="357"/>
              <w:contextualSpacing w:val="0"/>
              <w:jc w:val="left"/>
              <w:rPr>
                <w:rFonts w:asciiTheme="minorHAnsi" w:hAnsiTheme="minorHAnsi"/>
                <w:sz w:val="24"/>
                <w:szCs w:val="24"/>
              </w:rPr>
            </w:pPr>
            <w:r w:rsidRPr="00D80606">
              <w:rPr>
                <w:rFonts w:asciiTheme="minorHAnsi" w:hAnsiTheme="minorHAnsi"/>
                <w:sz w:val="24"/>
                <w:szCs w:val="24"/>
              </w:rPr>
              <w:t xml:space="preserve">Zarządzanie cyfrowe </w:t>
            </w:r>
          </w:p>
          <w:p w14:paraId="23CE85E7" w14:textId="77777777" w:rsidR="0051123B" w:rsidRPr="00D80606" w:rsidRDefault="0051123B">
            <w:pPr>
              <w:ind w:left="0" w:right="25"/>
              <w:rPr>
                <w:rFonts w:asciiTheme="minorHAnsi" w:hAnsiTheme="minorHAnsi"/>
                <w:sz w:val="24"/>
                <w:szCs w:val="24"/>
                <w:lang w:val="en-GB"/>
              </w:rPr>
            </w:pPr>
          </w:p>
          <w:p w14:paraId="44F3B31A" w14:textId="77777777" w:rsidR="0051123B" w:rsidRPr="00D80606" w:rsidRDefault="0051123B" w:rsidP="00D80606">
            <w:pPr>
              <w:spacing w:before="80" w:after="80"/>
              <w:ind w:left="0" w:right="0"/>
              <w:rPr>
                <w:rFonts w:ascii="Trebuchet MS" w:eastAsiaTheme="minorHAnsi" w:hAnsi="Trebuchet MS" w:cstheme="minorBidi"/>
                <w:b/>
                <w:sz w:val="24"/>
                <w:szCs w:val="24"/>
                <w:u w:val="single"/>
              </w:rPr>
            </w:pPr>
            <w:r w:rsidRPr="00D80606">
              <w:rPr>
                <w:rFonts w:ascii="Trebuchet MS" w:hAnsi="Trebuchet MS"/>
                <w:b/>
                <w:sz w:val="24"/>
                <w:szCs w:val="24"/>
                <w:u w:val="single"/>
              </w:rPr>
              <w:t xml:space="preserve">Przykłady wspieranych działań (prezentowana lista nie jest katalogiem </w:t>
            </w:r>
            <w:r w:rsidRPr="00D80606">
              <w:rPr>
                <w:rFonts w:ascii="Trebuchet MS" w:hAnsi="Trebuchet MS"/>
                <w:b/>
                <w:sz w:val="24"/>
                <w:szCs w:val="24"/>
                <w:u w:val="single"/>
              </w:rPr>
              <w:lastRenderedPageBreak/>
              <w:t>zamkniętym):</w:t>
            </w:r>
          </w:p>
          <w:p w14:paraId="542AD186" w14:textId="77777777" w:rsidR="0051123B" w:rsidRPr="00D80606" w:rsidRDefault="0051123B" w:rsidP="00474CE7">
            <w:pPr>
              <w:pStyle w:val="Akapitzlist"/>
              <w:numPr>
                <w:ilvl w:val="0"/>
                <w:numId w:val="53"/>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 xml:space="preserve">Ustalenie i zmniejszanie barier we współpracy na terytoriach posiadających związki funkcjonalne (np. doskonalenie współpracy między interesariuszami z różnych jednostek administracyjnych i sektorów na rzecz realizacji wspólnych rozwiązań). </w:t>
            </w:r>
          </w:p>
          <w:p w14:paraId="09B4DCCC" w14:textId="77777777" w:rsidR="0051123B" w:rsidRPr="00D80606" w:rsidRDefault="0051123B" w:rsidP="00474CE7">
            <w:pPr>
              <w:pStyle w:val="Akapitzlist"/>
              <w:numPr>
                <w:ilvl w:val="0"/>
                <w:numId w:val="53"/>
              </w:numPr>
              <w:ind w:right="23"/>
              <w:contextualSpacing w:val="0"/>
              <w:jc w:val="left"/>
              <w:rPr>
                <w:rFonts w:asciiTheme="minorHAnsi" w:hAnsiTheme="minorHAnsi"/>
                <w:sz w:val="24"/>
                <w:szCs w:val="24"/>
              </w:rPr>
            </w:pPr>
            <w:r w:rsidRPr="00D80606">
              <w:rPr>
                <w:rFonts w:asciiTheme="minorHAnsi" w:hAnsiTheme="minorHAnsi"/>
                <w:sz w:val="24"/>
                <w:szCs w:val="24"/>
              </w:rPr>
              <w:t>Wymiana doświadczeń i budowa zdolności władz do opracowania zintegrowanych pod względem terytorialnym inicjatyw, np. strategii rozwoju lokalnego kierowanego przez Wspólnotę (CLLD) i zintegrowanych inwestycji terytorialnych (ITI), przez wzmacnianie współpracy między partnerstwami miejsko-wiejskimi lub w zakresie zrównoważonego rozwoju miast (SUD).</w:t>
            </w:r>
          </w:p>
          <w:p w14:paraId="7A872CC9" w14:textId="5FC98761" w:rsidR="0051123B" w:rsidRPr="00D80606" w:rsidRDefault="00B9132C" w:rsidP="00474CE7">
            <w:pPr>
              <w:pStyle w:val="Akapitzlist"/>
              <w:numPr>
                <w:ilvl w:val="0"/>
                <w:numId w:val="53"/>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Rozwijanie i przeprowadzanie testów modeli zarządzania opartych na uczestnictwie na poziomie lokalnym i regionalnym w celu rozszerzenia udziału obywateli w procesie podejmowania decyzji i wzmocnienia zaangażowania obywateli i równości szans w zarządzaniu publicznym.</w:t>
            </w:r>
          </w:p>
          <w:p w14:paraId="2ECE2171" w14:textId="77777777" w:rsidR="0051123B" w:rsidRPr="00D80606" w:rsidRDefault="0051123B" w:rsidP="00474CE7">
            <w:pPr>
              <w:pStyle w:val="Akapitzlist"/>
              <w:numPr>
                <w:ilvl w:val="0"/>
                <w:numId w:val="53"/>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Wymiana wiedzy i dobrych praktyk dotyczących zarządzania opartego na uczestnictwie, w tym przeprowadzanie testów rozwiązań cyfrowych do dalszego wprowadzenia na poziomie terytorialnym.</w:t>
            </w:r>
          </w:p>
          <w:p w14:paraId="34E5C0CC" w14:textId="1D775E47" w:rsidR="0051123B" w:rsidRPr="00D80606" w:rsidRDefault="0051123B" w:rsidP="00474CE7">
            <w:pPr>
              <w:pStyle w:val="Akapitzlist"/>
              <w:numPr>
                <w:ilvl w:val="0"/>
                <w:numId w:val="53"/>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Rozwijanie i wdrażanie zintegrowanych strategii rozwoju dla terytoriów posiadających związki funkcjonalne, w tym wysokiej jakości usługi publicznego interesu ogólnego (np. opieki zdrowotnej, edukacji, usług społecznych).</w:t>
            </w:r>
          </w:p>
          <w:p w14:paraId="6D22164B" w14:textId="0E4C76A3" w:rsidR="0051123B" w:rsidRPr="00D80606" w:rsidRDefault="0051123B" w:rsidP="00474CE7">
            <w:pPr>
              <w:pStyle w:val="Akapitzlist"/>
              <w:numPr>
                <w:ilvl w:val="0"/>
                <w:numId w:val="53"/>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 xml:space="preserve">Rozwijanie i wdrażanie zintegrowanych strategii rozwoju turystyki ponad granicami państw w oparciu o wspólną tożsamość i wspólne dziedzictwo historyczno-kulturowe Europy Środkowej. </w:t>
            </w:r>
          </w:p>
          <w:p w14:paraId="266FF8FF" w14:textId="1D2A096C" w:rsidR="00C6711A" w:rsidRPr="00D80606" w:rsidRDefault="00802622" w:rsidP="00474CE7">
            <w:pPr>
              <w:pStyle w:val="Akapitzlist"/>
              <w:numPr>
                <w:ilvl w:val="0"/>
                <w:numId w:val="53"/>
              </w:numPr>
              <w:ind w:right="23"/>
              <w:contextualSpacing w:val="0"/>
              <w:jc w:val="left"/>
              <w:rPr>
                <w:rFonts w:asciiTheme="minorHAnsi" w:hAnsiTheme="minorHAnsi"/>
                <w:sz w:val="24"/>
                <w:szCs w:val="24"/>
              </w:rPr>
            </w:pPr>
            <w:r w:rsidRPr="00D80606">
              <w:rPr>
                <w:rFonts w:asciiTheme="minorHAnsi" w:hAnsiTheme="minorHAnsi"/>
                <w:sz w:val="24"/>
                <w:szCs w:val="24"/>
              </w:rPr>
              <w:t xml:space="preserve">Wspieranie nowych modeli zarządzania terytorialnego poprzez np. lepszą integrację nowych ram zarządzania różnorodnością biologiczną w oparciu o unijną strategię ochrony różnorodności biologicznej na rok 2030 (np. poprzez skuteczniejszy dialog interesariuszy) </w:t>
            </w:r>
          </w:p>
          <w:p w14:paraId="4FBE2053" w14:textId="515BA345" w:rsidR="0051123B" w:rsidRPr="00D80606" w:rsidRDefault="0051123B" w:rsidP="00474CE7">
            <w:pPr>
              <w:pStyle w:val="Akapitzlist"/>
              <w:numPr>
                <w:ilvl w:val="0"/>
                <w:numId w:val="53"/>
              </w:numPr>
              <w:ind w:right="23"/>
              <w:contextualSpacing w:val="0"/>
              <w:jc w:val="left"/>
              <w:rPr>
                <w:rFonts w:asciiTheme="minorHAnsi" w:hAnsiTheme="minorHAnsi"/>
                <w:sz w:val="24"/>
                <w:szCs w:val="24"/>
              </w:rPr>
            </w:pPr>
            <w:r w:rsidRPr="00D80606">
              <w:rPr>
                <w:rFonts w:asciiTheme="minorHAnsi" w:hAnsiTheme="minorHAnsi"/>
                <w:sz w:val="24"/>
                <w:szCs w:val="24"/>
              </w:rPr>
              <w:t>Wzmacnianie współpracy i integracji polityki na terytoriach przygranicznych i transnarodowych, posiadających związki funkcjonalne, w szczególności po obu stronach dawnej żelaznej kurtyny, przez tworzenie nowych lub wykorzystywanie istniejących struktur zarządzania współpracą (np. EUWT, EUROREGIONY),</w:t>
            </w:r>
            <w:r w:rsidR="00305637" w:rsidRPr="00D80606">
              <w:rPr>
                <w:rFonts w:asciiTheme="minorHAnsi" w:hAnsiTheme="minorHAnsi"/>
                <w:sz w:val="24"/>
                <w:szCs w:val="24"/>
              </w:rPr>
              <w:t xml:space="preserve"> w tym</w:t>
            </w:r>
            <w:r w:rsidRPr="00D80606">
              <w:rPr>
                <w:rFonts w:asciiTheme="minorHAnsi" w:hAnsiTheme="minorHAnsi"/>
                <w:sz w:val="24"/>
                <w:szCs w:val="24"/>
              </w:rPr>
              <w:t xml:space="preserve"> procesów wspólnego podejmowania decyzji i skoordynowanych planów działania</w:t>
            </w:r>
            <w:r w:rsidR="00305637" w:rsidRPr="00D80606">
              <w:rPr>
                <w:rFonts w:asciiTheme="minorHAnsi" w:hAnsiTheme="minorHAnsi"/>
                <w:sz w:val="24"/>
                <w:szCs w:val="24"/>
              </w:rPr>
              <w:t>, jak również przez wsparcie transgranicznych usług publicznych</w:t>
            </w:r>
            <w:r w:rsidRPr="00D80606">
              <w:rPr>
                <w:rFonts w:asciiTheme="minorHAnsi" w:hAnsiTheme="minorHAnsi"/>
                <w:sz w:val="24"/>
                <w:szCs w:val="24"/>
              </w:rPr>
              <w:t xml:space="preserve"> </w:t>
            </w:r>
          </w:p>
          <w:p w14:paraId="4BEAEB57" w14:textId="0CF133D2" w:rsidR="0051123B" w:rsidRPr="00D80606" w:rsidRDefault="0051123B" w:rsidP="00474CE7">
            <w:pPr>
              <w:pStyle w:val="Akapitzlist"/>
              <w:numPr>
                <w:ilvl w:val="0"/>
                <w:numId w:val="53"/>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Rozwijanie strategii na rzecz inteligentnego miasta i inteligentnego regionu</w:t>
            </w:r>
            <w:r w:rsidR="00EB78BE" w:rsidRPr="00D80606">
              <w:rPr>
                <w:rFonts w:asciiTheme="minorHAnsi" w:hAnsiTheme="minorHAnsi"/>
                <w:sz w:val="24"/>
                <w:szCs w:val="24"/>
              </w:rPr>
              <w:t xml:space="preserve"> oraz</w:t>
            </w:r>
            <w:r w:rsidRPr="00D80606">
              <w:rPr>
                <w:rFonts w:asciiTheme="minorHAnsi" w:hAnsiTheme="minorHAnsi"/>
                <w:sz w:val="24"/>
                <w:szCs w:val="24"/>
              </w:rPr>
              <w:t xml:space="preserve"> wsparcie ich włączenia do polityk i systemów zarządzania na poziomie lokalnym i regionalnym</w:t>
            </w:r>
          </w:p>
          <w:p w14:paraId="0E53449F" w14:textId="25D395DD" w:rsidR="0051123B" w:rsidRPr="00D80606" w:rsidRDefault="00B9132C" w:rsidP="00474CE7">
            <w:pPr>
              <w:pStyle w:val="Akapitzlist"/>
              <w:numPr>
                <w:ilvl w:val="0"/>
                <w:numId w:val="53"/>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 xml:space="preserve">Wzmacnianie cyfrowych rozwiązań zarządzania w celu stworzenia </w:t>
            </w:r>
            <w:r w:rsidRPr="00D80606">
              <w:rPr>
                <w:rFonts w:asciiTheme="minorHAnsi" w:hAnsiTheme="minorHAnsi"/>
                <w:sz w:val="24"/>
                <w:szCs w:val="24"/>
              </w:rPr>
              <w:lastRenderedPageBreak/>
              <w:t>efektywnych usług publicznych ułatwiających interakcje między jednostkami administracji, obywatelami i podmiotami gospodarczymi (np. rozwiązań z zakresu e-administracji, cyfrowych usług publicznych, e-udziału)</w:t>
            </w:r>
          </w:p>
          <w:p w14:paraId="2B7C3D56" w14:textId="77777777" w:rsidR="0051123B" w:rsidRPr="00D80606" w:rsidRDefault="0051123B" w:rsidP="00474CE7">
            <w:pPr>
              <w:pStyle w:val="Akapitzlist"/>
              <w:numPr>
                <w:ilvl w:val="0"/>
                <w:numId w:val="53"/>
              </w:numPr>
              <w:ind w:left="357" w:right="23" w:hanging="357"/>
              <w:contextualSpacing w:val="0"/>
              <w:jc w:val="left"/>
              <w:rPr>
                <w:rFonts w:asciiTheme="minorHAnsi" w:hAnsiTheme="minorHAnsi"/>
                <w:sz w:val="24"/>
                <w:szCs w:val="24"/>
              </w:rPr>
            </w:pPr>
            <w:r w:rsidRPr="00D80606">
              <w:rPr>
                <w:rFonts w:asciiTheme="minorHAnsi" w:hAnsiTheme="minorHAnsi"/>
                <w:sz w:val="24"/>
                <w:szCs w:val="24"/>
              </w:rPr>
              <w:t>Przeprowadzanie testów, dostosowanie i wdrażanie inteligentnych rozwiązań cyfrowych na rzecz doskonalenia współpracy i koordynacji ponad granicami administracyjnymi (np. w sektorze opieki zdrowotnej)</w:t>
            </w:r>
          </w:p>
          <w:p w14:paraId="5849E136" w14:textId="24CE9D37" w:rsidR="0051123B" w:rsidRPr="00D80606" w:rsidRDefault="0051123B" w:rsidP="00474CE7">
            <w:pPr>
              <w:ind w:left="0" w:right="25"/>
              <w:jc w:val="left"/>
              <w:rPr>
                <w:rFonts w:asciiTheme="minorHAnsi" w:hAnsiTheme="minorHAnsi"/>
                <w:sz w:val="24"/>
                <w:szCs w:val="24"/>
              </w:rPr>
            </w:pPr>
            <w:r w:rsidRPr="00D80606">
              <w:rPr>
                <w:rFonts w:asciiTheme="minorHAnsi" w:hAnsiTheme="minorHAnsi"/>
                <w:sz w:val="24"/>
                <w:szCs w:val="24"/>
              </w:rPr>
              <w:t>Działania powinny generować synergie z pozostałymi instrumentami i inicjatywami UE, np. głównymi programami EFRR, programami rozwoju obszarów wiejskich (w tym LEADER), programami transgranicznymi Interreg, a także istniejącymi transgranicznymi i transnarodowymi strukturami zarządzania (np. EUWT, EUROREGIONY). Działania powinny ponadto uwzględniać właściwe inicjatywy i platformy międzynarodowe, które są ukierunkowane na doskonalenie koordynacji procesów zarządzania w określonym obszarze tematycznym i w szczególności w zakresie strategii makroregionalnych UE.</w:t>
            </w:r>
          </w:p>
          <w:p w14:paraId="38801378" w14:textId="77777777" w:rsidR="00F97D73" w:rsidRPr="00D80606" w:rsidRDefault="00F97D73">
            <w:pPr>
              <w:ind w:left="0" w:right="25"/>
              <w:rPr>
                <w:rFonts w:asciiTheme="minorHAnsi" w:hAnsiTheme="minorHAnsi"/>
                <w:b/>
                <w:sz w:val="24"/>
                <w:szCs w:val="24"/>
              </w:rPr>
            </w:pPr>
          </w:p>
          <w:p w14:paraId="4981D178" w14:textId="77777777" w:rsidR="0051123B" w:rsidRPr="00D80606" w:rsidRDefault="0051123B">
            <w:pPr>
              <w:ind w:left="0" w:right="25"/>
              <w:rPr>
                <w:rFonts w:asciiTheme="minorHAnsi" w:hAnsiTheme="minorHAnsi"/>
                <w:b/>
                <w:sz w:val="24"/>
                <w:szCs w:val="24"/>
              </w:rPr>
            </w:pPr>
            <w:r w:rsidRPr="00D80606">
              <w:rPr>
                <w:rFonts w:asciiTheme="minorHAnsi" w:hAnsiTheme="minorHAnsi"/>
                <w:b/>
                <w:sz w:val="24"/>
                <w:szCs w:val="24"/>
              </w:rPr>
              <w:t xml:space="preserve">Planowane wyniki </w:t>
            </w:r>
          </w:p>
          <w:p w14:paraId="64604789" w14:textId="6FAD0840" w:rsidR="0001337B" w:rsidRPr="00D80606" w:rsidRDefault="0051123B" w:rsidP="00474CE7">
            <w:pPr>
              <w:ind w:left="0" w:right="25"/>
              <w:jc w:val="left"/>
              <w:rPr>
                <w:rFonts w:asciiTheme="minorHAnsi" w:hAnsiTheme="minorHAnsi"/>
                <w:i/>
                <w:color w:val="000000"/>
                <w:sz w:val="24"/>
                <w:szCs w:val="24"/>
              </w:rPr>
            </w:pPr>
            <w:r w:rsidRPr="00D80606">
              <w:rPr>
                <w:rFonts w:asciiTheme="minorHAnsi" w:hAnsiTheme="minorHAnsi"/>
                <w:sz w:val="24"/>
                <w:szCs w:val="24"/>
              </w:rPr>
              <w:t>Wynikiem działań w ramach współpracy transnarodowej będzie poprawa zdolności władz publicznych i innych interesariuszy do wdrażania skoordynowanych i opartych na współpracy procesów zarządzania terytorialnego, opartych na uczeniu się i zmianie polityk. Ostatecznie doprowadzi to do wzmocnienia spójności terytorialnej i społecznej i zmniejszenia barier rozwojowych. Ponadto przyczyni się to do realizacji priorytetów Agendy Terytorialnej 2030 (np. zrównoważonej Europy, regionów funkcjonalnych i integracji ponad granicami państw). Korzyścią dla obywateli będą w szczególności lepsze usługi publiczne.</w:t>
            </w:r>
          </w:p>
        </w:tc>
      </w:tr>
    </w:tbl>
    <w:p w14:paraId="4CC91380" w14:textId="77777777" w:rsidR="009D6F42" w:rsidRPr="008727F2" w:rsidRDefault="009D6F42" w:rsidP="009D6F42">
      <w:pPr>
        <w:rPr>
          <w:rFonts w:asciiTheme="minorHAnsi" w:hAnsiTheme="minorHAnsi"/>
          <w:i/>
          <w:color w:val="000000"/>
          <w:lang w:val="en-GB"/>
        </w:rPr>
      </w:pPr>
    </w:p>
    <w:p w14:paraId="58FDF39C" w14:textId="77777777" w:rsidR="009D6F42" w:rsidRPr="00D80606" w:rsidRDefault="009D6F42" w:rsidP="009D6F42">
      <w:pPr>
        <w:spacing w:before="240" w:after="240" w:line="240" w:lineRule="auto"/>
        <w:ind w:left="0"/>
        <w:rPr>
          <w:rFonts w:asciiTheme="minorHAnsi" w:hAnsiTheme="minorHAnsi"/>
          <w:b/>
          <w:sz w:val="24"/>
          <w:szCs w:val="24"/>
        </w:rPr>
      </w:pPr>
      <w:r w:rsidRPr="00D80606">
        <w:rPr>
          <w:rFonts w:asciiTheme="minorHAnsi" w:hAnsiTheme="minorHAnsi"/>
          <w:b/>
          <w:sz w:val="24"/>
          <w:szCs w:val="24"/>
        </w:rPr>
        <w:t>Dla programów INTERACT i ESPON:</w:t>
      </w:r>
    </w:p>
    <w:p w14:paraId="217786E8" w14:textId="77777777" w:rsidR="009D6F42" w:rsidRPr="00D80606" w:rsidRDefault="009D6F42"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9 lit. c punkt i</w:t>
      </w:r>
    </w:p>
    <w:p w14:paraId="017F46F4" w14:textId="77777777" w:rsidR="009D6F42" w:rsidRPr="00D80606" w:rsidRDefault="009D6F42"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Definicja pojedynczego beneficjenta lub zamkniętej listy beneficjentów i procedura przyznawania środków finansowych.</w:t>
      </w:r>
    </w:p>
    <w:p w14:paraId="0AD1BBDC" w14:textId="77777777" w:rsidR="007A25EB" w:rsidRPr="00D80606" w:rsidRDefault="007A25EB"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Pole tekstowe [7000]</w:t>
      </w:r>
    </w:p>
    <w:p w14:paraId="2B20A9C3" w14:textId="77777777" w:rsidR="009D6F42" w:rsidRPr="00D80606" w:rsidRDefault="00004898" w:rsidP="009D6F42">
      <w:pPr>
        <w:pBdr>
          <w:top w:val="single" w:sz="4" w:space="1" w:color="000000"/>
          <w:left w:val="single" w:sz="4" w:space="4" w:color="000000"/>
          <w:bottom w:val="single" w:sz="4" w:space="1" w:color="000000"/>
          <w:right w:val="single" w:sz="4" w:space="4" w:color="000000"/>
        </w:pBdr>
        <w:ind w:left="142"/>
        <w:rPr>
          <w:rFonts w:asciiTheme="minorHAnsi" w:hAnsiTheme="minorHAnsi"/>
          <w:color w:val="000000"/>
          <w:sz w:val="24"/>
          <w:szCs w:val="24"/>
        </w:rPr>
      </w:pPr>
      <w:r w:rsidRPr="00D80606">
        <w:rPr>
          <w:rFonts w:asciiTheme="minorHAnsi" w:hAnsiTheme="minorHAnsi"/>
          <w:color w:val="000000"/>
          <w:sz w:val="24"/>
          <w:szCs w:val="24"/>
        </w:rPr>
        <w:t>Nie dotyczy.</w:t>
      </w:r>
    </w:p>
    <w:p w14:paraId="1F1D5DB8" w14:textId="77777777" w:rsidR="007A25EB" w:rsidRPr="00680741" w:rsidRDefault="007A25EB" w:rsidP="009D6F42">
      <w:pPr>
        <w:spacing w:before="240" w:after="240" w:line="240" w:lineRule="auto"/>
        <w:ind w:left="709" w:hanging="709"/>
        <w:rPr>
          <w:rFonts w:asciiTheme="minorHAnsi" w:hAnsiTheme="minorHAnsi"/>
          <w:b/>
          <w:sz w:val="24"/>
          <w:szCs w:val="24"/>
        </w:rPr>
      </w:pPr>
    </w:p>
    <w:p w14:paraId="44A11CB2" w14:textId="77777777" w:rsidR="009D6F42" w:rsidRPr="008727F2" w:rsidRDefault="009D6F42" w:rsidP="009D6F42">
      <w:pPr>
        <w:spacing w:before="240" w:after="240" w:line="240" w:lineRule="auto"/>
        <w:ind w:left="709" w:hanging="709"/>
        <w:rPr>
          <w:rFonts w:asciiTheme="minorHAnsi" w:hAnsiTheme="minorHAnsi"/>
          <w:b/>
          <w:sz w:val="24"/>
          <w:szCs w:val="24"/>
        </w:rPr>
      </w:pPr>
      <w:r>
        <w:rPr>
          <w:rFonts w:asciiTheme="minorHAnsi" w:hAnsiTheme="minorHAnsi"/>
          <w:b/>
          <w:sz w:val="24"/>
        </w:rPr>
        <w:t>2.4.1.2</w:t>
      </w:r>
      <w:r>
        <w:rPr>
          <w:rFonts w:asciiTheme="minorHAnsi" w:hAnsiTheme="minorHAnsi"/>
          <w:b/>
          <w:sz w:val="24"/>
        </w:rPr>
        <w:tab/>
        <w:t>Wskaźniki</w:t>
      </w:r>
    </w:p>
    <w:p w14:paraId="73D6A760" w14:textId="77777777" w:rsidR="009D6F42" w:rsidRPr="00D80606" w:rsidRDefault="009D6F42"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ii, art. 17 ust. 9 lit. c punkt iii</w:t>
      </w:r>
    </w:p>
    <w:p w14:paraId="0CDFF3C8" w14:textId="77777777" w:rsidR="008E2A7A" w:rsidRPr="009A0D85" w:rsidRDefault="008E2A7A" w:rsidP="008E2A7A">
      <w:pPr>
        <w:spacing w:before="240" w:after="240" w:line="240" w:lineRule="auto"/>
        <w:ind w:left="0"/>
        <w:rPr>
          <w:rFonts w:asciiTheme="minorHAnsi" w:hAnsiTheme="minorHAnsi"/>
          <w:szCs w:val="24"/>
        </w:rPr>
      </w:pPr>
      <w:r>
        <w:rPr>
          <w:rFonts w:asciiTheme="minorHAnsi" w:hAnsiTheme="minorHAnsi"/>
        </w:rPr>
        <w:t>Tabela 2: Wskaźniki produktów</w:t>
      </w:r>
    </w:p>
    <w:tbl>
      <w:tblPr>
        <w:tblStyle w:val="18"/>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04"/>
        <w:gridCol w:w="1331"/>
        <w:gridCol w:w="1418"/>
        <w:gridCol w:w="2202"/>
        <w:gridCol w:w="1688"/>
        <w:gridCol w:w="1018"/>
        <w:gridCol w:w="1075"/>
      </w:tblGrid>
      <w:tr w:rsidR="008E2A7A" w:rsidRPr="008727F2" w14:paraId="296B2995" w14:textId="77777777" w:rsidTr="00474CE7">
        <w:trPr>
          <w:trHeight w:val="836"/>
        </w:trPr>
        <w:tc>
          <w:tcPr>
            <w:tcW w:w="398" w:type="pct"/>
          </w:tcPr>
          <w:p w14:paraId="0697F456"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lastRenderedPageBreak/>
              <w:t xml:space="preserve">Priorytet </w:t>
            </w:r>
          </w:p>
        </w:tc>
        <w:tc>
          <w:tcPr>
            <w:tcW w:w="467" w:type="pct"/>
          </w:tcPr>
          <w:p w14:paraId="0E852EF5"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szczegółowy</w:t>
            </w:r>
          </w:p>
        </w:tc>
        <w:tc>
          <w:tcPr>
            <w:tcW w:w="534" w:type="pct"/>
          </w:tcPr>
          <w:p w14:paraId="26672AD2"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IDENTYFIKATOR</w:t>
            </w:r>
          </w:p>
          <w:p w14:paraId="5EE28E82"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[5]</w:t>
            </w:r>
          </w:p>
        </w:tc>
        <w:tc>
          <w:tcPr>
            <w:tcW w:w="1267" w:type="pct"/>
            <w:shd w:val="clear" w:color="auto" w:fill="auto"/>
          </w:tcPr>
          <w:p w14:paraId="3481F15C"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Wskaźnik </w:t>
            </w:r>
          </w:p>
        </w:tc>
        <w:tc>
          <w:tcPr>
            <w:tcW w:w="1000" w:type="pct"/>
          </w:tcPr>
          <w:p w14:paraId="781531FB"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Jednostka miary</w:t>
            </w:r>
          </w:p>
          <w:p w14:paraId="602B6909"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[255]</w:t>
            </w:r>
          </w:p>
        </w:tc>
        <w:tc>
          <w:tcPr>
            <w:tcW w:w="652" w:type="pct"/>
            <w:shd w:val="clear" w:color="auto" w:fill="auto"/>
          </w:tcPr>
          <w:p w14:paraId="7C696C09"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Kamień milowy (2024)</w:t>
            </w:r>
          </w:p>
          <w:p w14:paraId="73629971"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[200]</w:t>
            </w:r>
          </w:p>
        </w:tc>
        <w:tc>
          <w:tcPr>
            <w:tcW w:w="682" w:type="pct"/>
            <w:shd w:val="clear" w:color="auto" w:fill="auto"/>
          </w:tcPr>
          <w:p w14:paraId="28A56DC7"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końcowy (2029)</w:t>
            </w:r>
          </w:p>
          <w:p w14:paraId="6D712A28"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[200]</w:t>
            </w:r>
          </w:p>
        </w:tc>
      </w:tr>
      <w:tr w:rsidR="008E2A7A" w:rsidRPr="001B3725" w14:paraId="6C7714F9" w14:textId="77777777" w:rsidTr="00474CE7">
        <w:trPr>
          <w:trHeight w:val="579"/>
        </w:trPr>
        <w:tc>
          <w:tcPr>
            <w:tcW w:w="398" w:type="pct"/>
          </w:tcPr>
          <w:p w14:paraId="0F270615" w14:textId="77777777" w:rsidR="008E2A7A" w:rsidRPr="001B3B78" w:rsidRDefault="00501333" w:rsidP="00D22A6D">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4</w:t>
            </w:r>
          </w:p>
        </w:tc>
        <w:tc>
          <w:tcPr>
            <w:tcW w:w="467" w:type="pct"/>
          </w:tcPr>
          <w:p w14:paraId="67211C02" w14:textId="77777777" w:rsidR="008E2A7A" w:rsidRPr="001B3B78" w:rsidRDefault="00501333"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4.1</w:t>
            </w:r>
          </w:p>
        </w:tc>
        <w:tc>
          <w:tcPr>
            <w:tcW w:w="534" w:type="pct"/>
          </w:tcPr>
          <w:p w14:paraId="7C3C6465" w14:textId="77777777" w:rsidR="008E2A7A" w:rsidRPr="001B3B78" w:rsidRDefault="008E2A7A" w:rsidP="00D22A6D">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83 RCO</w:t>
            </w:r>
          </w:p>
        </w:tc>
        <w:tc>
          <w:tcPr>
            <w:tcW w:w="1267" w:type="pct"/>
            <w:shd w:val="clear" w:color="auto" w:fill="auto"/>
          </w:tcPr>
          <w:p w14:paraId="33E47792" w14:textId="77777777" w:rsidR="008E2A7A" w:rsidRPr="00BC6469" w:rsidRDefault="008E2A7A"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Wspólnie opracowane strategie i plany działania</w:t>
            </w:r>
          </w:p>
        </w:tc>
        <w:tc>
          <w:tcPr>
            <w:tcW w:w="1000" w:type="pct"/>
          </w:tcPr>
          <w:p w14:paraId="5ECBDFB3" w14:textId="77777777" w:rsidR="008E2A7A" w:rsidRPr="001B3B78" w:rsidRDefault="008E2A7A" w:rsidP="00D22A6D">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Strategia/plan działania</w:t>
            </w:r>
          </w:p>
        </w:tc>
        <w:tc>
          <w:tcPr>
            <w:tcW w:w="652" w:type="pct"/>
            <w:shd w:val="clear" w:color="auto" w:fill="auto"/>
          </w:tcPr>
          <w:p w14:paraId="4E51B0B1" w14:textId="77777777" w:rsidR="008E2A7A" w:rsidRPr="001B3B78" w:rsidRDefault="008E2A7A" w:rsidP="00D22A6D">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2EF447E6" w14:textId="77777777" w:rsidR="008E2A7A" w:rsidRPr="001B3B78" w:rsidRDefault="008E2A7A" w:rsidP="00D22A6D">
            <w:pPr>
              <w:pBdr>
                <w:top w:val="nil"/>
                <w:left w:val="nil"/>
                <w:bottom w:val="nil"/>
                <w:right w:val="nil"/>
                <w:between w:val="nil"/>
              </w:pBdr>
              <w:spacing w:after="120" w:line="240" w:lineRule="auto"/>
              <w:ind w:left="0" w:right="0"/>
              <w:rPr>
                <w:rFonts w:asciiTheme="minorHAnsi" w:hAnsiTheme="minorHAnsi"/>
                <w:color w:val="000000"/>
              </w:rPr>
            </w:pPr>
          </w:p>
        </w:tc>
      </w:tr>
      <w:tr w:rsidR="00501333" w:rsidRPr="008727F2" w14:paraId="5B6F68DA" w14:textId="77777777" w:rsidTr="00474CE7">
        <w:trPr>
          <w:trHeight w:val="579"/>
        </w:trPr>
        <w:tc>
          <w:tcPr>
            <w:tcW w:w="398" w:type="pct"/>
          </w:tcPr>
          <w:p w14:paraId="2F6C8D2B" w14:textId="77777777" w:rsidR="00501333" w:rsidRPr="001B3B78"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4</w:t>
            </w:r>
          </w:p>
        </w:tc>
        <w:tc>
          <w:tcPr>
            <w:tcW w:w="467" w:type="pct"/>
          </w:tcPr>
          <w:p w14:paraId="72707612"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4.1</w:t>
            </w:r>
          </w:p>
        </w:tc>
        <w:tc>
          <w:tcPr>
            <w:tcW w:w="534" w:type="pct"/>
          </w:tcPr>
          <w:p w14:paraId="5F6E8D5E"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84 RCO</w:t>
            </w:r>
          </w:p>
        </w:tc>
        <w:tc>
          <w:tcPr>
            <w:tcW w:w="1267" w:type="pct"/>
            <w:shd w:val="clear" w:color="auto" w:fill="auto"/>
          </w:tcPr>
          <w:p w14:paraId="2F3240AB" w14:textId="77777777" w:rsidR="00501333" w:rsidRPr="00BC6469"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Działania pilotażowe opracowane wspólnie i realizowane w ramach projektów</w:t>
            </w:r>
          </w:p>
        </w:tc>
        <w:tc>
          <w:tcPr>
            <w:tcW w:w="1000" w:type="pct"/>
          </w:tcPr>
          <w:p w14:paraId="35E79AB7" w14:textId="77777777" w:rsidR="00501333" w:rsidRPr="001B3B78"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Działanie pilotażowe</w:t>
            </w:r>
          </w:p>
        </w:tc>
        <w:tc>
          <w:tcPr>
            <w:tcW w:w="652" w:type="pct"/>
            <w:shd w:val="clear" w:color="auto" w:fill="auto"/>
          </w:tcPr>
          <w:p w14:paraId="112739F9"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28E7B09E"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p>
        </w:tc>
      </w:tr>
      <w:tr w:rsidR="00501333" w:rsidRPr="008727F2" w14:paraId="0D48E09C" w14:textId="77777777" w:rsidTr="00474CE7">
        <w:trPr>
          <w:trHeight w:val="579"/>
        </w:trPr>
        <w:tc>
          <w:tcPr>
            <w:tcW w:w="398" w:type="pct"/>
          </w:tcPr>
          <w:p w14:paraId="5C1649A9" w14:textId="77777777" w:rsidR="00501333" w:rsidRPr="001B3B78"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4</w:t>
            </w:r>
          </w:p>
        </w:tc>
        <w:tc>
          <w:tcPr>
            <w:tcW w:w="467" w:type="pct"/>
          </w:tcPr>
          <w:p w14:paraId="5E14C9C2"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4.1</w:t>
            </w:r>
          </w:p>
        </w:tc>
        <w:tc>
          <w:tcPr>
            <w:tcW w:w="534" w:type="pct"/>
          </w:tcPr>
          <w:p w14:paraId="5E8D10DC" w14:textId="77777777" w:rsidR="00501333"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87 RCO</w:t>
            </w:r>
          </w:p>
        </w:tc>
        <w:tc>
          <w:tcPr>
            <w:tcW w:w="1267" w:type="pct"/>
            <w:shd w:val="clear" w:color="auto" w:fill="auto"/>
          </w:tcPr>
          <w:p w14:paraId="64CCABA6" w14:textId="77777777" w:rsidR="00501333" w:rsidRPr="001B3B78"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Organizacje współpracujące ponad granicami</w:t>
            </w:r>
          </w:p>
        </w:tc>
        <w:tc>
          <w:tcPr>
            <w:tcW w:w="1000" w:type="pct"/>
          </w:tcPr>
          <w:p w14:paraId="1AE1F671" w14:textId="77777777" w:rsidR="00501333" w:rsidRPr="001B3B78"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Organizacja</w:t>
            </w:r>
          </w:p>
        </w:tc>
        <w:tc>
          <w:tcPr>
            <w:tcW w:w="652" w:type="pct"/>
            <w:shd w:val="clear" w:color="auto" w:fill="auto"/>
          </w:tcPr>
          <w:p w14:paraId="69B81F8B"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579F172C"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p>
        </w:tc>
      </w:tr>
      <w:tr w:rsidR="00501333" w:rsidRPr="008727F2" w14:paraId="17CD97C1" w14:textId="77777777" w:rsidTr="00474CE7">
        <w:trPr>
          <w:trHeight w:val="579"/>
        </w:trPr>
        <w:tc>
          <w:tcPr>
            <w:tcW w:w="398" w:type="pct"/>
          </w:tcPr>
          <w:p w14:paraId="3FDD6A2F" w14:textId="77777777" w:rsidR="00501333" w:rsidRPr="001B3B78"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4</w:t>
            </w:r>
          </w:p>
        </w:tc>
        <w:tc>
          <w:tcPr>
            <w:tcW w:w="467" w:type="pct"/>
          </w:tcPr>
          <w:p w14:paraId="2C3F58AE"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4.1</w:t>
            </w:r>
          </w:p>
        </w:tc>
        <w:tc>
          <w:tcPr>
            <w:tcW w:w="534" w:type="pct"/>
          </w:tcPr>
          <w:p w14:paraId="1539C941" w14:textId="77777777" w:rsidR="00501333"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116 RCO</w:t>
            </w:r>
          </w:p>
        </w:tc>
        <w:tc>
          <w:tcPr>
            <w:tcW w:w="1267" w:type="pct"/>
            <w:shd w:val="clear" w:color="auto" w:fill="auto"/>
          </w:tcPr>
          <w:p w14:paraId="64EA855F" w14:textId="77777777" w:rsidR="00501333" w:rsidRPr="001B3B78"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Wspólnie opracowane rozwiązania</w:t>
            </w:r>
          </w:p>
        </w:tc>
        <w:tc>
          <w:tcPr>
            <w:tcW w:w="1000" w:type="pct"/>
          </w:tcPr>
          <w:p w14:paraId="140B87A6" w14:textId="77777777" w:rsidR="00501333" w:rsidRPr="001B3B78"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Rozwiązanie</w:t>
            </w:r>
          </w:p>
        </w:tc>
        <w:tc>
          <w:tcPr>
            <w:tcW w:w="652" w:type="pct"/>
            <w:shd w:val="clear" w:color="auto" w:fill="auto"/>
          </w:tcPr>
          <w:p w14:paraId="195FA1A1"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p>
        </w:tc>
        <w:tc>
          <w:tcPr>
            <w:tcW w:w="682" w:type="pct"/>
            <w:shd w:val="clear" w:color="auto" w:fill="auto"/>
          </w:tcPr>
          <w:p w14:paraId="04C86B6B" w14:textId="77777777" w:rsidR="00501333" w:rsidRPr="001B3B78" w:rsidRDefault="00501333" w:rsidP="00501333">
            <w:pPr>
              <w:pBdr>
                <w:top w:val="nil"/>
                <w:left w:val="nil"/>
                <w:bottom w:val="nil"/>
                <w:right w:val="nil"/>
                <w:between w:val="nil"/>
              </w:pBdr>
              <w:spacing w:after="120" w:line="240" w:lineRule="auto"/>
              <w:ind w:left="0" w:right="0"/>
              <w:rPr>
                <w:rFonts w:asciiTheme="minorHAnsi" w:hAnsiTheme="minorHAnsi"/>
                <w:color w:val="000000"/>
              </w:rPr>
            </w:pPr>
          </w:p>
        </w:tc>
      </w:tr>
    </w:tbl>
    <w:p w14:paraId="7A288FA5" w14:textId="77777777" w:rsidR="008E2A7A" w:rsidRPr="009A0D85" w:rsidRDefault="008E2A7A" w:rsidP="008E2A7A">
      <w:pPr>
        <w:spacing w:before="240" w:after="240" w:line="240" w:lineRule="auto"/>
        <w:ind w:left="0"/>
        <w:rPr>
          <w:rFonts w:asciiTheme="minorHAnsi" w:hAnsiTheme="minorHAnsi"/>
          <w:szCs w:val="24"/>
        </w:rPr>
      </w:pPr>
      <w:r>
        <w:rPr>
          <w:rFonts w:asciiTheme="minorHAnsi" w:hAnsiTheme="minorHAnsi"/>
        </w:rPr>
        <w:t>Tabela 3: Wskaźniki wyników</w:t>
      </w:r>
    </w:p>
    <w:tbl>
      <w:tblPr>
        <w:tblStyle w:val="17"/>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53"/>
        <w:gridCol w:w="1083"/>
        <w:gridCol w:w="1151"/>
        <w:gridCol w:w="1313"/>
        <w:gridCol w:w="1086"/>
        <w:gridCol w:w="777"/>
        <w:gridCol w:w="892"/>
        <w:gridCol w:w="738"/>
        <w:gridCol w:w="1266"/>
        <w:gridCol w:w="577"/>
      </w:tblGrid>
      <w:tr w:rsidR="008E2A7A" w:rsidRPr="008727F2" w14:paraId="0A8E154B" w14:textId="77777777" w:rsidTr="00474CE7">
        <w:trPr>
          <w:trHeight w:val="947"/>
        </w:trPr>
        <w:tc>
          <w:tcPr>
            <w:tcW w:w="393" w:type="pct"/>
          </w:tcPr>
          <w:p w14:paraId="011B96E5"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Priorytet </w:t>
            </w:r>
          </w:p>
        </w:tc>
        <w:tc>
          <w:tcPr>
            <w:tcW w:w="423" w:type="pct"/>
          </w:tcPr>
          <w:p w14:paraId="1A787CAD"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szczegółowy</w:t>
            </w:r>
          </w:p>
        </w:tc>
        <w:tc>
          <w:tcPr>
            <w:tcW w:w="452" w:type="pct"/>
          </w:tcPr>
          <w:p w14:paraId="1B53B625"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IDENTYFIKATOR</w:t>
            </w:r>
          </w:p>
        </w:tc>
        <w:tc>
          <w:tcPr>
            <w:tcW w:w="805" w:type="pct"/>
            <w:shd w:val="clear" w:color="auto" w:fill="auto"/>
          </w:tcPr>
          <w:p w14:paraId="757F5862"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Wskaźnik </w:t>
            </w:r>
          </w:p>
        </w:tc>
        <w:tc>
          <w:tcPr>
            <w:tcW w:w="629" w:type="pct"/>
          </w:tcPr>
          <w:p w14:paraId="316E8CDE"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Jednostka miary</w:t>
            </w:r>
          </w:p>
        </w:tc>
        <w:tc>
          <w:tcPr>
            <w:tcW w:w="380" w:type="pct"/>
          </w:tcPr>
          <w:p w14:paraId="791EFA09"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Podstawa</w:t>
            </w:r>
          </w:p>
        </w:tc>
        <w:tc>
          <w:tcPr>
            <w:tcW w:w="503" w:type="pct"/>
          </w:tcPr>
          <w:p w14:paraId="346B1FDC"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Rok odniesienia</w:t>
            </w:r>
          </w:p>
        </w:tc>
        <w:tc>
          <w:tcPr>
            <w:tcW w:w="377" w:type="pct"/>
            <w:shd w:val="clear" w:color="auto" w:fill="auto"/>
          </w:tcPr>
          <w:p w14:paraId="0CB206AE" w14:textId="77777777" w:rsidR="008E2A7A" w:rsidRPr="00570B26" w:rsidRDefault="008E2A7A" w:rsidP="00D22A6D">
            <w:pPr>
              <w:pBdr>
                <w:top w:val="nil"/>
                <w:left w:val="nil"/>
                <w:bottom w:val="nil"/>
                <w:right w:val="nil"/>
                <w:between w:val="nil"/>
              </w:pBdr>
              <w:spacing w:after="120" w:line="240" w:lineRule="auto"/>
              <w:ind w:left="0" w:right="0"/>
              <w:rPr>
                <w:rFonts w:asciiTheme="minorHAnsi" w:hAnsiTheme="minorHAnsi"/>
                <w:b/>
                <w:color w:val="000000"/>
                <w:sz w:val="16"/>
                <w:szCs w:val="16"/>
              </w:rPr>
            </w:pPr>
            <w:r>
              <w:rPr>
                <w:rFonts w:asciiTheme="minorHAnsi" w:hAnsiTheme="minorHAnsi"/>
                <w:b/>
                <w:color w:val="000000"/>
                <w:sz w:val="16"/>
              </w:rPr>
              <w:t>Cel końcowy (2029)</w:t>
            </w:r>
          </w:p>
        </w:tc>
        <w:tc>
          <w:tcPr>
            <w:tcW w:w="562" w:type="pct"/>
            <w:shd w:val="clear" w:color="auto" w:fill="auto"/>
          </w:tcPr>
          <w:p w14:paraId="24B6E6D4" w14:textId="77777777" w:rsidR="008E2A7A" w:rsidRPr="008503E7" w:rsidRDefault="008E2A7A" w:rsidP="00D22A6D">
            <w:pPr>
              <w:pBdr>
                <w:top w:val="nil"/>
                <w:left w:val="nil"/>
                <w:bottom w:val="nil"/>
                <w:right w:val="nil"/>
                <w:between w:val="nil"/>
              </w:pBdr>
              <w:spacing w:after="120" w:line="240" w:lineRule="auto"/>
              <w:ind w:left="0" w:right="0"/>
              <w:jc w:val="center"/>
              <w:rPr>
                <w:rFonts w:asciiTheme="minorHAnsi" w:hAnsiTheme="minorHAnsi"/>
                <w:b/>
                <w:color w:val="000000"/>
                <w:sz w:val="16"/>
                <w:szCs w:val="16"/>
              </w:rPr>
            </w:pPr>
            <w:r>
              <w:rPr>
                <w:rFonts w:asciiTheme="minorHAnsi" w:hAnsiTheme="minorHAnsi"/>
                <w:b/>
                <w:color w:val="000000"/>
                <w:sz w:val="16"/>
              </w:rPr>
              <w:t>Źródło danych</w:t>
            </w:r>
          </w:p>
        </w:tc>
        <w:tc>
          <w:tcPr>
            <w:tcW w:w="476" w:type="pct"/>
          </w:tcPr>
          <w:p w14:paraId="17C20D8A" w14:textId="77777777" w:rsidR="008E2A7A" w:rsidRPr="00570B26" w:rsidRDefault="008E2A7A" w:rsidP="00D22A6D">
            <w:pPr>
              <w:pBdr>
                <w:top w:val="nil"/>
                <w:left w:val="nil"/>
                <w:bottom w:val="nil"/>
                <w:right w:val="nil"/>
                <w:between w:val="nil"/>
              </w:pBdr>
              <w:spacing w:after="120" w:line="480" w:lineRule="auto"/>
              <w:ind w:left="0" w:right="0"/>
              <w:rPr>
                <w:rFonts w:asciiTheme="minorHAnsi" w:hAnsiTheme="minorHAnsi"/>
                <w:b/>
                <w:color w:val="000000"/>
                <w:sz w:val="16"/>
                <w:szCs w:val="16"/>
              </w:rPr>
            </w:pPr>
            <w:r>
              <w:rPr>
                <w:rFonts w:asciiTheme="minorHAnsi" w:hAnsiTheme="minorHAnsi"/>
                <w:b/>
                <w:color w:val="000000"/>
                <w:sz w:val="16"/>
              </w:rPr>
              <w:t>Uwagi</w:t>
            </w:r>
          </w:p>
        </w:tc>
      </w:tr>
      <w:tr w:rsidR="00501333" w:rsidRPr="004854D7" w14:paraId="17593260" w14:textId="77777777" w:rsidTr="00474CE7">
        <w:trPr>
          <w:trHeight w:val="629"/>
        </w:trPr>
        <w:tc>
          <w:tcPr>
            <w:tcW w:w="393" w:type="pct"/>
          </w:tcPr>
          <w:p w14:paraId="07D38D88" w14:textId="77777777" w:rsidR="00501333" w:rsidRPr="004854D7"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4</w:t>
            </w:r>
          </w:p>
        </w:tc>
        <w:tc>
          <w:tcPr>
            <w:tcW w:w="423" w:type="pct"/>
          </w:tcPr>
          <w:p w14:paraId="59E93F1F" w14:textId="77777777" w:rsidR="00501333" w:rsidRPr="004854D7"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4.1</w:t>
            </w:r>
          </w:p>
        </w:tc>
        <w:tc>
          <w:tcPr>
            <w:tcW w:w="452" w:type="pct"/>
          </w:tcPr>
          <w:p w14:paraId="64276240" w14:textId="77777777" w:rsidR="00501333" w:rsidRPr="004854D7"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79 RCR</w:t>
            </w:r>
          </w:p>
        </w:tc>
        <w:tc>
          <w:tcPr>
            <w:tcW w:w="805" w:type="pct"/>
            <w:shd w:val="clear" w:color="auto" w:fill="auto"/>
          </w:tcPr>
          <w:p w14:paraId="55F110DC" w14:textId="77777777" w:rsidR="00501333" w:rsidRPr="00BC6469"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Wspólne strategie i plany działania podejmowane przez organizacje</w:t>
            </w:r>
          </w:p>
        </w:tc>
        <w:tc>
          <w:tcPr>
            <w:tcW w:w="629" w:type="pct"/>
          </w:tcPr>
          <w:p w14:paraId="1C209912" w14:textId="77777777" w:rsidR="00501333" w:rsidRPr="004854D7"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Wspólna strategia / plan działania</w:t>
            </w:r>
          </w:p>
        </w:tc>
        <w:tc>
          <w:tcPr>
            <w:tcW w:w="380" w:type="pct"/>
          </w:tcPr>
          <w:p w14:paraId="299D1684" w14:textId="77777777" w:rsidR="00501333" w:rsidRPr="004854D7"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503" w:type="pct"/>
          </w:tcPr>
          <w:p w14:paraId="0A758AAA" w14:textId="77777777" w:rsidR="00501333" w:rsidRPr="004854D7"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377" w:type="pct"/>
            <w:shd w:val="clear" w:color="auto" w:fill="auto"/>
          </w:tcPr>
          <w:p w14:paraId="5A5564E3" w14:textId="77777777" w:rsidR="00501333" w:rsidRPr="004854D7"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p>
        </w:tc>
        <w:tc>
          <w:tcPr>
            <w:tcW w:w="562" w:type="pct"/>
            <w:shd w:val="clear" w:color="auto" w:fill="auto"/>
          </w:tcPr>
          <w:p w14:paraId="190C3D19" w14:textId="77777777" w:rsidR="00501333" w:rsidRPr="004854D7"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System monitorowania programu</w:t>
            </w:r>
          </w:p>
        </w:tc>
        <w:tc>
          <w:tcPr>
            <w:tcW w:w="476" w:type="pct"/>
          </w:tcPr>
          <w:p w14:paraId="05909964" w14:textId="77777777" w:rsidR="00501333" w:rsidRPr="004854D7" w:rsidRDefault="00501333" w:rsidP="00501333">
            <w:pPr>
              <w:ind w:left="0" w:right="0"/>
              <w:rPr>
                <w:rFonts w:asciiTheme="minorHAnsi" w:hAnsiTheme="minorHAnsi"/>
                <w:color w:val="000000"/>
              </w:rPr>
            </w:pPr>
          </w:p>
        </w:tc>
      </w:tr>
      <w:tr w:rsidR="00501333" w:rsidRPr="00D465BC" w14:paraId="2FA7A4AA" w14:textId="77777777" w:rsidTr="00474CE7">
        <w:trPr>
          <w:trHeight w:val="629"/>
        </w:trPr>
        <w:tc>
          <w:tcPr>
            <w:tcW w:w="393" w:type="pct"/>
          </w:tcPr>
          <w:p w14:paraId="53EE4452"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4</w:t>
            </w:r>
          </w:p>
        </w:tc>
        <w:tc>
          <w:tcPr>
            <w:tcW w:w="423" w:type="pct"/>
          </w:tcPr>
          <w:p w14:paraId="76BFE783"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4.1</w:t>
            </w:r>
          </w:p>
        </w:tc>
        <w:tc>
          <w:tcPr>
            <w:tcW w:w="452" w:type="pct"/>
          </w:tcPr>
          <w:p w14:paraId="3B2171BE"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84 RCR</w:t>
            </w:r>
          </w:p>
        </w:tc>
        <w:tc>
          <w:tcPr>
            <w:tcW w:w="805" w:type="pct"/>
            <w:shd w:val="clear" w:color="auto" w:fill="auto"/>
          </w:tcPr>
          <w:p w14:paraId="0D156842" w14:textId="77777777" w:rsidR="00501333" w:rsidRPr="00BC6469"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Organizacje współpracujące ponad granicami po zakończeniu projektu</w:t>
            </w:r>
          </w:p>
        </w:tc>
        <w:tc>
          <w:tcPr>
            <w:tcW w:w="629" w:type="pct"/>
          </w:tcPr>
          <w:p w14:paraId="094D647A"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Organizacja</w:t>
            </w:r>
          </w:p>
        </w:tc>
        <w:tc>
          <w:tcPr>
            <w:tcW w:w="380" w:type="pct"/>
          </w:tcPr>
          <w:p w14:paraId="79144E25"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503" w:type="pct"/>
          </w:tcPr>
          <w:p w14:paraId="1B06D9A1"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377" w:type="pct"/>
            <w:shd w:val="clear" w:color="auto" w:fill="auto"/>
          </w:tcPr>
          <w:p w14:paraId="70D7B673"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p>
        </w:tc>
        <w:tc>
          <w:tcPr>
            <w:tcW w:w="562" w:type="pct"/>
            <w:shd w:val="clear" w:color="auto" w:fill="auto"/>
          </w:tcPr>
          <w:p w14:paraId="1E7F4620"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System monitorowania programu</w:t>
            </w:r>
          </w:p>
        </w:tc>
        <w:tc>
          <w:tcPr>
            <w:tcW w:w="476" w:type="pct"/>
          </w:tcPr>
          <w:p w14:paraId="13B20648" w14:textId="77777777" w:rsidR="00501333" w:rsidRPr="00D465BC" w:rsidRDefault="00501333" w:rsidP="00501333">
            <w:pPr>
              <w:ind w:left="0" w:right="0"/>
              <w:rPr>
                <w:rFonts w:asciiTheme="minorHAnsi" w:hAnsiTheme="minorHAnsi"/>
                <w:color w:val="000000"/>
              </w:rPr>
            </w:pPr>
          </w:p>
        </w:tc>
      </w:tr>
      <w:tr w:rsidR="00501333" w:rsidRPr="00D465BC" w14:paraId="5C6C910A" w14:textId="77777777" w:rsidTr="00474CE7">
        <w:trPr>
          <w:trHeight w:val="629"/>
        </w:trPr>
        <w:tc>
          <w:tcPr>
            <w:tcW w:w="393" w:type="pct"/>
          </w:tcPr>
          <w:p w14:paraId="4D64E38D"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4</w:t>
            </w:r>
          </w:p>
        </w:tc>
        <w:tc>
          <w:tcPr>
            <w:tcW w:w="423" w:type="pct"/>
          </w:tcPr>
          <w:p w14:paraId="327A713D"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Cel szczegółowy 4.1</w:t>
            </w:r>
          </w:p>
        </w:tc>
        <w:tc>
          <w:tcPr>
            <w:tcW w:w="452" w:type="pct"/>
          </w:tcPr>
          <w:p w14:paraId="1E5702E9"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104 RCR</w:t>
            </w:r>
          </w:p>
        </w:tc>
        <w:tc>
          <w:tcPr>
            <w:tcW w:w="805" w:type="pct"/>
            <w:shd w:val="clear" w:color="auto" w:fill="auto"/>
          </w:tcPr>
          <w:p w14:paraId="0B175EA5" w14:textId="77777777" w:rsidR="00501333" w:rsidRPr="00BC6469" w:rsidRDefault="00501333" w:rsidP="00501333">
            <w:pPr>
              <w:pBdr>
                <w:top w:val="nil"/>
                <w:left w:val="nil"/>
                <w:bottom w:val="nil"/>
                <w:right w:val="nil"/>
                <w:between w:val="nil"/>
              </w:pBdr>
              <w:spacing w:after="120" w:line="240" w:lineRule="auto"/>
              <w:ind w:left="0" w:right="0"/>
              <w:jc w:val="left"/>
              <w:rPr>
                <w:rFonts w:asciiTheme="minorHAnsi" w:hAnsiTheme="minorHAnsi"/>
                <w:color w:val="000000"/>
              </w:rPr>
            </w:pPr>
            <w:r>
              <w:rPr>
                <w:rFonts w:asciiTheme="minorHAnsi" w:hAnsiTheme="minorHAnsi"/>
                <w:color w:val="000000"/>
              </w:rPr>
              <w:t>Rozwiązania przyjmowane lub doskonalone przez organizacje</w:t>
            </w:r>
          </w:p>
        </w:tc>
        <w:tc>
          <w:tcPr>
            <w:tcW w:w="629" w:type="pct"/>
          </w:tcPr>
          <w:p w14:paraId="1A9683AF"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Rozwiązanie</w:t>
            </w:r>
          </w:p>
        </w:tc>
        <w:tc>
          <w:tcPr>
            <w:tcW w:w="380" w:type="pct"/>
          </w:tcPr>
          <w:p w14:paraId="1B469CB4"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0</w:t>
            </w:r>
          </w:p>
        </w:tc>
        <w:tc>
          <w:tcPr>
            <w:tcW w:w="503" w:type="pct"/>
          </w:tcPr>
          <w:p w14:paraId="7EF66DD8"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r>
              <w:rPr>
                <w:rFonts w:asciiTheme="minorHAnsi" w:hAnsiTheme="minorHAnsi"/>
                <w:color w:val="000000"/>
              </w:rPr>
              <w:t>2021</w:t>
            </w:r>
          </w:p>
        </w:tc>
        <w:tc>
          <w:tcPr>
            <w:tcW w:w="377" w:type="pct"/>
            <w:shd w:val="clear" w:color="auto" w:fill="auto"/>
          </w:tcPr>
          <w:p w14:paraId="4EE0EA1C" w14:textId="77777777" w:rsidR="00501333" w:rsidRPr="00D465BC" w:rsidRDefault="00501333" w:rsidP="00501333">
            <w:pPr>
              <w:pBdr>
                <w:top w:val="nil"/>
                <w:left w:val="nil"/>
                <w:bottom w:val="nil"/>
                <w:right w:val="nil"/>
                <w:between w:val="nil"/>
              </w:pBdr>
              <w:spacing w:after="120" w:line="240" w:lineRule="auto"/>
              <w:ind w:left="0" w:right="0"/>
              <w:jc w:val="center"/>
              <w:rPr>
                <w:rFonts w:asciiTheme="minorHAnsi" w:hAnsiTheme="minorHAnsi"/>
                <w:color w:val="000000"/>
              </w:rPr>
            </w:pPr>
          </w:p>
        </w:tc>
        <w:tc>
          <w:tcPr>
            <w:tcW w:w="562" w:type="pct"/>
            <w:shd w:val="clear" w:color="auto" w:fill="auto"/>
          </w:tcPr>
          <w:p w14:paraId="25820AB7" w14:textId="77777777" w:rsidR="00501333" w:rsidRPr="00D465BC" w:rsidRDefault="00501333" w:rsidP="00501333">
            <w:pPr>
              <w:pBdr>
                <w:top w:val="nil"/>
                <w:left w:val="nil"/>
                <w:bottom w:val="nil"/>
                <w:right w:val="nil"/>
                <w:between w:val="nil"/>
              </w:pBdr>
              <w:spacing w:after="120" w:line="240" w:lineRule="auto"/>
              <w:ind w:left="0" w:right="0"/>
              <w:rPr>
                <w:rFonts w:asciiTheme="minorHAnsi" w:hAnsiTheme="minorHAnsi"/>
                <w:color w:val="000000"/>
              </w:rPr>
            </w:pPr>
            <w:r>
              <w:rPr>
                <w:rFonts w:asciiTheme="minorHAnsi" w:hAnsiTheme="minorHAnsi"/>
                <w:color w:val="000000"/>
              </w:rPr>
              <w:t>System monitorowania programu</w:t>
            </w:r>
          </w:p>
        </w:tc>
        <w:tc>
          <w:tcPr>
            <w:tcW w:w="476" w:type="pct"/>
          </w:tcPr>
          <w:p w14:paraId="08E1E075" w14:textId="77777777" w:rsidR="00501333" w:rsidRPr="00D465BC" w:rsidRDefault="00501333" w:rsidP="00501333">
            <w:pPr>
              <w:ind w:left="0" w:right="0"/>
              <w:rPr>
                <w:rFonts w:asciiTheme="minorHAnsi" w:hAnsiTheme="minorHAnsi"/>
                <w:color w:val="000000"/>
              </w:rPr>
            </w:pPr>
          </w:p>
        </w:tc>
      </w:tr>
    </w:tbl>
    <w:p w14:paraId="4C0510BD" w14:textId="77777777" w:rsidR="007A25EB" w:rsidRDefault="007A25EB" w:rsidP="009D6F42">
      <w:pPr>
        <w:spacing w:before="240" w:after="240" w:line="240" w:lineRule="auto"/>
        <w:ind w:left="709" w:hanging="709"/>
        <w:rPr>
          <w:rFonts w:asciiTheme="minorHAnsi" w:hAnsiTheme="minorHAnsi"/>
          <w:b/>
          <w:sz w:val="24"/>
          <w:szCs w:val="24"/>
          <w:lang w:val="en-GB"/>
        </w:rPr>
      </w:pPr>
    </w:p>
    <w:p w14:paraId="795FEFE8" w14:textId="77777777" w:rsidR="009D6F42" w:rsidRPr="00570B26" w:rsidRDefault="009D6F42" w:rsidP="009D6F42">
      <w:pPr>
        <w:spacing w:before="240" w:after="240" w:line="240" w:lineRule="auto"/>
        <w:ind w:left="709" w:hanging="709"/>
        <w:rPr>
          <w:rFonts w:asciiTheme="minorHAnsi" w:hAnsiTheme="minorHAnsi"/>
          <w:b/>
          <w:sz w:val="24"/>
          <w:szCs w:val="24"/>
        </w:rPr>
      </w:pPr>
      <w:r>
        <w:rPr>
          <w:rFonts w:asciiTheme="minorHAnsi" w:hAnsiTheme="minorHAnsi"/>
          <w:b/>
          <w:sz w:val="24"/>
        </w:rPr>
        <w:t>2.4.1.3</w:t>
      </w:r>
      <w:r>
        <w:rPr>
          <w:rFonts w:asciiTheme="minorHAnsi" w:hAnsiTheme="minorHAnsi"/>
          <w:b/>
          <w:sz w:val="24"/>
        </w:rPr>
        <w:tab/>
        <w:t>Główne grupy docelowe</w:t>
      </w:r>
    </w:p>
    <w:p w14:paraId="7083A1E5" w14:textId="77777777" w:rsidR="009D6F42" w:rsidRPr="00D80606" w:rsidRDefault="009D6F42"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lastRenderedPageBreak/>
        <w:t>Podstawa: art. 17 ust. 4 lit. e punkt iii, art. 17 ust. 9 lit. c punkt iv</w:t>
      </w:r>
    </w:p>
    <w:p w14:paraId="04E6CFE5" w14:textId="77777777" w:rsidR="007A25EB" w:rsidRPr="00D80606" w:rsidRDefault="007A25EB"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Pole tekstowe [7000]</w:t>
      </w:r>
    </w:p>
    <w:p w14:paraId="25C247DB" w14:textId="55EAAFE3" w:rsidR="0001337B" w:rsidRPr="00D80606" w:rsidRDefault="0001337B" w:rsidP="00D80606">
      <w:pPr>
        <w:pBdr>
          <w:top w:val="single" w:sz="4" w:space="1" w:color="000000"/>
          <w:left w:val="single" w:sz="4" w:space="4" w:color="000000"/>
          <w:bottom w:val="single" w:sz="4" w:space="1" w:color="000000"/>
          <w:right w:val="single" w:sz="4" w:space="4" w:color="000000"/>
        </w:pBdr>
        <w:ind w:left="142"/>
        <w:jc w:val="left"/>
        <w:rPr>
          <w:rFonts w:asciiTheme="minorHAnsi" w:hAnsiTheme="minorHAnsi"/>
          <w:sz w:val="24"/>
          <w:szCs w:val="24"/>
        </w:rPr>
      </w:pPr>
      <w:r w:rsidRPr="00D80606">
        <w:rPr>
          <w:rFonts w:asciiTheme="minorHAnsi" w:hAnsiTheme="minorHAnsi"/>
          <w:sz w:val="24"/>
          <w:szCs w:val="24"/>
        </w:rPr>
        <w:t>Grupami docelowymi działań objętych wsparciem mogą być zarówno osoby prywatne, jak i organizacje, które są zaangażowane w ich realizację lub są ich beneficjentami. W konsekwencji zdobędą one dodatkowe zdolności do realizacji zintegrowanych procesów zarządzania na różnych poziomach terytorialnych. Grupy docelowe składają się w szczególności zarówno z podmiotów publicznych, jak i prywatnych, obejmując bardzo dużą liczbę różnych sektorów i poziomów zarządzania, takich jak lokalne, regionalne i krajowe władze publiczne, decydenci polityczni, planiści miejscy i przestrzenni, operatorzy, dostawcy infrastruktury, agencje rozwoju regionalnego, EUWT, instytucje opieki społecznej i zdrowotnej, organy regulujące usługi, organizatorzy turystyki, pośrednicy, organizacje edukacyjne i szkoleniowe, organizacje i stowarzyszenia międzynarodowe, przedsiębiorstwa, w tym MŚP, organizacje pozarządowe, instytucje finansowe, a także uniwersytety i instytuty badawcze. W skład grup docelowych wchodzą ponadto przedstawiciele wszystkich grup społecznych, które będą czerpać korzyści z poprawy procesów zarządzania na poziomie lokalnym i regionalnym.</w:t>
      </w:r>
    </w:p>
    <w:p w14:paraId="4969D985" w14:textId="77777777" w:rsidR="007A25EB" w:rsidRPr="00680741" w:rsidRDefault="007A25EB" w:rsidP="009D6F42">
      <w:pPr>
        <w:spacing w:before="240" w:after="240" w:line="240" w:lineRule="auto"/>
        <w:ind w:left="709" w:hanging="709"/>
        <w:rPr>
          <w:rFonts w:asciiTheme="minorHAnsi" w:hAnsiTheme="minorHAnsi"/>
          <w:b/>
          <w:sz w:val="24"/>
          <w:szCs w:val="24"/>
        </w:rPr>
      </w:pPr>
    </w:p>
    <w:p w14:paraId="7CCA95BC" w14:textId="77777777" w:rsidR="009D6F42" w:rsidRPr="008727F2" w:rsidRDefault="009D6F42" w:rsidP="009D6F42">
      <w:pPr>
        <w:spacing w:before="240" w:after="240" w:line="240" w:lineRule="auto"/>
        <w:ind w:left="709" w:hanging="709"/>
        <w:rPr>
          <w:rFonts w:asciiTheme="minorHAnsi" w:hAnsiTheme="minorHAnsi"/>
          <w:b/>
          <w:sz w:val="24"/>
          <w:szCs w:val="24"/>
        </w:rPr>
      </w:pPr>
      <w:r>
        <w:rPr>
          <w:rFonts w:asciiTheme="minorHAnsi" w:hAnsiTheme="minorHAnsi"/>
          <w:b/>
          <w:sz w:val="24"/>
        </w:rPr>
        <w:t>2.4.1.4</w:t>
      </w:r>
      <w:r>
        <w:rPr>
          <w:rFonts w:asciiTheme="minorHAnsi" w:hAnsiTheme="minorHAnsi"/>
          <w:b/>
          <w:sz w:val="24"/>
        </w:rPr>
        <w:tab/>
        <w:t>Określenie szczególnych terytoriów docelowych, w tym planowego wykorzystania ZIT, RKSL i pozostałych narzędzi terytorialnych</w:t>
      </w:r>
    </w:p>
    <w:p w14:paraId="02DF4603" w14:textId="77777777" w:rsidR="009D6F42" w:rsidRPr="00D80606" w:rsidRDefault="009D6F42"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iv</w:t>
      </w:r>
    </w:p>
    <w:p w14:paraId="4A8D862E" w14:textId="77777777" w:rsidR="007A25EB" w:rsidRPr="00D80606" w:rsidRDefault="007A25EB"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Pole tekstowe [7000]</w:t>
      </w:r>
    </w:p>
    <w:p w14:paraId="3261692F" w14:textId="0E57E53C" w:rsidR="00800F7D" w:rsidRPr="00D80606" w:rsidRDefault="0001337B" w:rsidP="00D80606">
      <w:pPr>
        <w:pBdr>
          <w:top w:val="single" w:sz="4" w:space="1" w:color="000000"/>
          <w:left w:val="single" w:sz="4" w:space="4" w:color="000000"/>
          <w:bottom w:val="single" w:sz="4" w:space="1" w:color="000000"/>
          <w:right w:val="single" w:sz="4" w:space="4" w:color="000000"/>
        </w:pBdr>
        <w:ind w:left="142"/>
        <w:jc w:val="left"/>
        <w:rPr>
          <w:rFonts w:asciiTheme="minorHAnsi" w:hAnsiTheme="minorHAnsi"/>
          <w:sz w:val="24"/>
          <w:szCs w:val="24"/>
        </w:rPr>
      </w:pPr>
      <w:r w:rsidRPr="00D80606">
        <w:rPr>
          <w:rFonts w:asciiTheme="minorHAnsi" w:hAnsiTheme="minorHAnsi"/>
          <w:sz w:val="24"/>
          <w:szCs w:val="24"/>
        </w:rPr>
        <w:t xml:space="preserve">Działania mogą być realizowane na całym obszarze objętym programem i odnosić się do dowolnego rodzaju terytorium. Współpraca jest pożądana zwłaszcza w celu doskonalenia struktur i procesów zarządzania w ramach i ponad terytoriami powiązanymi funkcjonalnie (np. w przypadku regionów metropolitalnych, sąsiadujących miast i ich wiejskich okolic, regionów przygranicznych). Wymiana wiedzy i doświadczeń między bardziej i mniej rozwiniętymi regionami będzie przyczyniać się do dalszego wzmocnienia ich zdolności realizacyjnych. </w:t>
      </w:r>
    </w:p>
    <w:p w14:paraId="394B329F" w14:textId="1C5DC5E0" w:rsidR="00B04A01" w:rsidRPr="00D80606" w:rsidRDefault="00800F7D" w:rsidP="00D80606">
      <w:pPr>
        <w:pBdr>
          <w:top w:val="single" w:sz="4" w:space="1" w:color="000000"/>
          <w:left w:val="single" w:sz="4" w:space="4" w:color="000000"/>
          <w:bottom w:val="single" w:sz="4" w:space="1" w:color="000000"/>
          <w:right w:val="single" w:sz="4" w:space="4" w:color="000000"/>
        </w:pBdr>
        <w:ind w:left="142"/>
        <w:jc w:val="left"/>
        <w:rPr>
          <w:rFonts w:asciiTheme="minorHAnsi" w:hAnsiTheme="minorHAnsi"/>
          <w:sz w:val="24"/>
          <w:szCs w:val="24"/>
        </w:rPr>
      </w:pPr>
      <w:r w:rsidRPr="00D80606">
        <w:rPr>
          <w:rFonts w:asciiTheme="minorHAnsi" w:hAnsiTheme="minorHAnsi"/>
          <w:sz w:val="24"/>
          <w:szCs w:val="24"/>
        </w:rPr>
        <w:t>Wszelkie możliw</w:t>
      </w:r>
      <w:r w:rsidR="0066061C" w:rsidRPr="00D80606">
        <w:rPr>
          <w:rFonts w:asciiTheme="minorHAnsi" w:hAnsiTheme="minorHAnsi"/>
          <w:sz w:val="24"/>
          <w:szCs w:val="24"/>
        </w:rPr>
        <w:t>e</w:t>
      </w:r>
      <w:r w:rsidRPr="00D80606">
        <w:rPr>
          <w:rFonts w:asciiTheme="minorHAnsi" w:hAnsiTheme="minorHAnsi"/>
          <w:sz w:val="24"/>
          <w:szCs w:val="24"/>
        </w:rPr>
        <w:t xml:space="preserve"> działania muszą być dostosowane do specyficznych warunków terytorialnych i istniejącego systemu  zarządzania na docelowych obszarach i być dostosowane do odpowiednich strategii terytorialnych na odpowiednim poziomie zarządzania (lokalnym, regionalnym, krajowym).</w:t>
      </w:r>
    </w:p>
    <w:p w14:paraId="30BBBBCD" w14:textId="77777777" w:rsidR="00501333" w:rsidRPr="00680741" w:rsidRDefault="00501333" w:rsidP="009D6F42">
      <w:pPr>
        <w:spacing w:before="240" w:after="240" w:line="240" w:lineRule="auto"/>
        <w:ind w:left="709" w:hanging="709"/>
        <w:rPr>
          <w:rFonts w:asciiTheme="minorHAnsi" w:hAnsiTheme="minorHAnsi"/>
          <w:b/>
          <w:sz w:val="24"/>
          <w:szCs w:val="24"/>
        </w:rPr>
      </w:pPr>
    </w:p>
    <w:p w14:paraId="2D2065AA" w14:textId="77777777" w:rsidR="009D6F42" w:rsidRPr="008727F2" w:rsidRDefault="009D6F42" w:rsidP="009D6F42">
      <w:pPr>
        <w:spacing w:before="240" w:after="240" w:line="240" w:lineRule="auto"/>
        <w:ind w:left="709" w:hanging="709"/>
        <w:rPr>
          <w:rFonts w:asciiTheme="minorHAnsi" w:hAnsiTheme="minorHAnsi"/>
          <w:b/>
          <w:sz w:val="24"/>
          <w:szCs w:val="24"/>
        </w:rPr>
      </w:pPr>
      <w:r>
        <w:rPr>
          <w:rFonts w:asciiTheme="minorHAnsi" w:hAnsiTheme="minorHAnsi"/>
          <w:b/>
          <w:sz w:val="24"/>
        </w:rPr>
        <w:t>2.4.1.5</w:t>
      </w:r>
      <w:r>
        <w:rPr>
          <w:rFonts w:asciiTheme="minorHAnsi" w:hAnsiTheme="minorHAnsi"/>
          <w:b/>
          <w:sz w:val="24"/>
        </w:rPr>
        <w:tab/>
        <w:t>Planowane wykorzystanie instrumentów finansowych</w:t>
      </w:r>
    </w:p>
    <w:p w14:paraId="4EE8FB74" w14:textId="77777777" w:rsidR="009D6F42" w:rsidRPr="00D80606" w:rsidRDefault="009D6F42"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v</w:t>
      </w:r>
    </w:p>
    <w:p w14:paraId="5B038308" w14:textId="77777777" w:rsidR="007A25EB" w:rsidRPr="00D80606" w:rsidRDefault="007A25EB"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lastRenderedPageBreak/>
        <w:t>Pole tekstowe [7000]</w:t>
      </w:r>
    </w:p>
    <w:p w14:paraId="30C6A758" w14:textId="77777777" w:rsidR="009D6F42" w:rsidRPr="00D80606" w:rsidRDefault="00004898" w:rsidP="009D6F42">
      <w:pPr>
        <w:pBdr>
          <w:top w:val="single" w:sz="4" w:space="1" w:color="000000"/>
          <w:left w:val="single" w:sz="4" w:space="4" w:color="000000"/>
          <w:bottom w:val="single" w:sz="4" w:space="1" w:color="000000"/>
          <w:right w:val="single" w:sz="4" w:space="4" w:color="000000"/>
        </w:pBdr>
        <w:ind w:left="142"/>
        <w:rPr>
          <w:rFonts w:asciiTheme="minorHAnsi" w:hAnsiTheme="minorHAnsi"/>
          <w:sz w:val="24"/>
          <w:szCs w:val="24"/>
        </w:rPr>
      </w:pPr>
      <w:r w:rsidRPr="00D80606">
        <w:rPr>
          <w:rFonts w:asciiTheme="minorHAnsi" w:hAnsiTheme="minorHAnsi"/>
          <w:sz w:val="24"/>
          <w:szCs w:val="24"/>
        </w:rPr>
        <w:t>Nie dotyczy.</w:t>
      </w:r>
    </w:p>
    <w:p w14:paraId="500EA1DA" w14:textId="77777777" w:rsidR="009D6F42" w:rsidRPr="00680741" w:rsidRDefault="009D6F42" w:rsidP="009D6F42">
      <w:pPr>
        <w:spacing w:before="240" w:after="240" w:line="240" w:lineRule="auto"/>
        <w:ind w:left="709" w:hanging="709"/>
        <w:rPr>
          <w:rFonts w:asciiTheme="minorHAnsi" w:hAnsiTheme="minorHAnsi"/>
          <w:b/>
          <w:sz w:val="24"/>
          <w:szCs w:val="24"/>
        </w:rPr>
      </w:pPr>
    </w:p>
    <w:p w14:paraId="5C63FB97" w14:textId="77777777" w:rsidR="009D6F42" w:rsidRPr="008727F2" w:rsidRDefault="009D6F42" w:rsidP="009D6F42">
      <w:pPr>
        <w:spacing w:before="240" w:after="240" w:line="240" w:lineRule="auto"/>
        <w:ind w:left="709" w:hanging="709"/>
        <w:rPr>
          <w:rFonts w:asciiTheme="minorHAnsi" w:hAnsiTheme="minorHAnsi"/>
          <w:b/>
          <w:sz w:val="24"/>
          <w:szCs w:val="24"/>
        </w:rPr>
      </w:pPr>
      <w:r>
        <w:rPr>
          <w:rFonts w:asciiTheme="minorHAnsi" w:hAnsiTheme="minorHAnsi"/>
          <w:b/>
          <w:sz w:val="24"/>
        </w:rPr>
        <w:t>2.4.1.6</w:t>
      </w:r>
      <w:r>
        <w:rPr>
          <w:rFonts w:asciiTheme="minorHAnsi" w:hAnsiTheme="minorHAnsi"/>
          <w:b/>
          <w:sz w:val="24"/>
        </w:rPr>
        <w:tab/>
        <w:t>Orientacyjny podział zasobów programu UE według rodzaju interwencji</w:t>
      </w:r>
    </w:p>
    <w:p w14:paraId="02B7B011" w14:textId="77777777" w:rsidR="009D6F42" w:rsidRPr="00D80606" w:rsidRDefault="009D6F42" w:rsidP="009D6F42">
      <w:pPr>
        <w:spacing w:before="240" w:after="240" w:line="240" w:lineRule="auto"/>
        <w:ind w:left="0"/>
        <w:rPr>
          <w:rFonts w:asciiTheme="minorHAnsi" w:hAnsiTheme="minorHAnsi"/>
          <w:color w:val="000000"/>
          <w:szCs w:val="24"/>
        </w:rPr>
      </w:pPr>
      <w:r w:rsidRPr="00D80606">
        <w:rPr>
          <w:rFonts w:asciiTheme="minorHAnsi" w:hAnsiTheme="minorHAnsi"/>
          <w:color w:val="000000"/>
        </w:rPr>
        <w:t>Podstawa: art. 17 ust. 4 lit. e punkt vi, art. 17 ust. 9 lit. c punkt v</w:t>
      </w:r>
    </w:p>
    <w:p w14:paraId="5BEA3858" w14:textId="77777777" w:rsidR="009D6F42" w:rsidRPr="009A0D85" w:rsidRDefault="009D6F42" w:rsidP="009D6F42">
      <w:pPr>
        <w:spacing w:before="240" w:after="240" w:line="240" w:lineRule="auto"/>
        <w:ind w:left="0"/>
        <w:rPr>
          <w:rFonts w:asciiTheme="minorHAnsi" w:hAnsiTheme="minorHAnsi"/>
          <w:szCs w:val="24"/>
        </w:rPr>
      </w:pPr>
      <w:r>
        <w:rPr>
          <w:rFonts w:asciiTheme="minorHAnsi" w:hAnsiTheme="minorHAnsi"/>
        </w:rPr>
        <w:t>Tabela 4: Wymiar 1 – obszar interwencji</w:t>
      </w:r>
    </w:p>
    <w:tbl>
      <w:tblPr>
        <w:tblStyle w:val="16"/>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D6F42" w:rsidRPr="008727F2" w14:paraId="7A75B7C0" w14:textId="77777777" w:rsidTr="00816A75">
        <w:tc>
          <w:tcPr>
            <w:tcW w:w="1869" w:type="dxa"/>
          </w:tcPr>
          <w:p w14:paraId="43805C57"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Priorytet nr</w:t>
            </w:r>
          </w:p>
        </w:tc>
        <w:tc>
          <w:tcPr>
            <w:tcW w:w="1657" w:type="dxa"/>
          </w:tcPr>
          <w:p w14:paraId="2E635451"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w:t>
            </w:r>
          </w:p>
        </w:tc>
        <w:tc>
          <w:tcPr>
            <w:tcW w:w="1898" w:type="dxa"/>
          </w:tcPr>
          <w:p w14:paraId="33A671AE"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Cel szczegółowy</w:t>
            </w:r>
          </w:p>
        </w:tc>
        <w:tc>
          <w:tcPr>
            <w:tcW w:w="1204" w:type="dxa"/>
          </w:tcPr>
          <w:p w14:paraId="1363FA47"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Kod </w:t>
            </w:r>
          </w:p>
        </w:tc>
        <w:tc>
          <w:tcPr>
            <w:tcW w:w="2658" w:type="dxa"/>
          </w:tcPr>
          <w:p w14:paraId="7D853601"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Kwota (EUR)</w:t>
            </w:r>
          </w:p>
        </w:tc>
      </w:tr>
      <w:tr w:rsidR="007A25EB" w:rsidRPr="00A825DE" w14:paraId="4C22875D" w14:textId="77777777" w:rsidTr="00816A75">
        <w:tc>
          <w:tcPr>
            <w:tcW w:w="1869" w:type="dxa"/>
          </w:tcPr>
          <w:p w14:paraId="11173677" w14:textId="77777777" w:rsidR="007A25EB" w:rsidRPr="007A25EB" w:rsidRDefault="007A25EB" w:rsidP="007A25EB">
            <w:pPr>
              <w:spacing w:after="120" w:line="240" w:lineRule="auto"/>
              <w:ind w:left="0" w:right="0"/>
              <w:jc w:val="center"/>
              <w:rPr>
                <w:rFonts w:asciiTheme="minorHAnsi" w:eastAsia="Times New Roman" w:hAnsiTheme="minorHAnsi" w:cs="Times New Roman"/>
                <w:color w:val="000000"/>
                <w:sz w:val="20"/>
                <w:szCs w:val="20"/>
              </w:rPr>
            </w:pPr>
            <w:r>
              <w:rPr>
                <w:rFonts w:asciiTheme="minorHAnsi" w:hAnsiTheme="minorHAnsi"/>
                <w:color w:val="000000"/>
                <w:sz w:val="20"/>
              </w:rPr>
              <w:t>4</w:t>
            </w:r>
          </w:p>
        </w:tc>
        <w:tc>
          <w:tcPr>
            <w:tcW w:w="1657" w:type="dxa"/>
          </w:tcPr>
          <w:p w14:paraId="4291347E" w14:textId="77777777" w:rsidR="007A25EB" w:rsidRPr="007A25EB" w:rsidRDefault="007A25EB" w:rsidP="007A25EB">
            <w:pPr>
              <w:spacing w:after="120" w:line="240" w:lineRule="auto"/>
              <w:ind w:left="0" w:right="0"/>
              <w:rPr>
                <w:rFonts w:asciiTheme="minorHAnsi" w:eastAsia="Times New Roman" w:hAnsiTheme="minorHAnsi" w:cs="Times New Roman"/>
                <w:color w:val="000000"/>
                <w:sz w:val="20"/>
                <w:szCs w:val="20"/>
              </w:rPr>
            </w:pPr>
            <w:r>
              <w:rPr>
                <w:rFonts w:asciiTheme="minorHAnsi" w:hAnsiTheme="minorHAnsi"/>
                <w:color w:val="000000"/>
                <w:sz w:val="20"/>
              </w:rPr>
              <w:t>EFRR</w:t>
            </w:r>
          </w:p>
        </w:tc>
        <w:tc>
          <w:tcPr>
            <w:tcW w:w="1898" w:type="dxa"/>
          </w:tcPr>
          <w:p w14:paraId="5797A7A1" w14:textId="77777777" w:rsidR="007A25EB" w:rsidRPr="007A25EB" w:rsidRDefault="007A25EB" w:rsidP="007A25EB">
            <w:pPr>
              <w:spacing w:after="120" w:line="240" w:lineRule="auto"/>
              <w:ind w:left="0" w:right="0"/>
              <w:rPr>
                <w:rFonts w:asciiTheme="minorHAnsi" w:eastAsia="Times New Roman" w:hAnsiTheme="minorHAnsi" w:cs="Times New Roman"/>
                <w:color w:val="000000"/>
                <w:sz w:val="20"/>
                <w:szCs w:val="20"/>
              </w:rPr>
            </w:pPr>
            <w:r>
              <w:rPr>
                <w:rFonts w:asciiTheme="minorHAnsi" w:hAnsiTheme="minorHAnsi"/>
                <w:color w:val="000000"/>
                <w:sz w:val="20"/>
              </w:rPr>
              <w:t>Cel szczegółowy 4.1</w:t>
            </w:r>
          </w:p>
        </w:tc>
        <w:tc>
          <w:tcPr>
            <w:tcW w:w="1204" w:type="dxa"/>
          </w:tcPr>
          <w:p w14:paraId="7006ADDE" w14:textId="547CD9E5" w:rsidR="007A25EB" w:rsidRPr="00A825DE" w:rsidRDefault="00040D3C" w:rsidP="00A825DE">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 133</w:t>
            </w:r>
          </w:p>
        </w:tc>
        <w:tc>
          <w:tcPr>
            <w:tcW w:w="2658" w:type="dxa"/>
          </w:tcPr>
          <w:p w14:paraId="4B490A72" w14:textId="77777777" w:rsidR="007A25EB" w:rsidRPr="00570B26" w:rsidRDefault="007A25EB" w:rsidP="007A25EB">
            <w:pPr>
              <w:spacing w:after="120" w:line="240" w:lineRule="auto"/>
              <w:ind w:left="0" w:right="0"/>
              <w:rPr>
                <w:rFonts w:asciiTheme="minorHAnsi" w:eastAsia="Times New Roman" w:hAnsiTheme="minorHAnsi" w:cs="Times New Roman"/>
                <w:b/>
                <w:color w:val="000000"/>
                <w:sz w:val="16"/>
                <w:szCs w:val="16"/>
              </w:rPr>
            </w:pPr>
          </w:p>
        </w:tc>
      </w:tr>
    </w:tbl>
    <w:p w14:paraId="63AFCD5B" w14:textId="77777777" w:rsidR="009D6F42" w:rsidRPr="009A0D85" w:rsidRDefault="009D6F42" w:rsidP="009D6F42">
      <w:pPr>
        <w:spacing w:before="240" w:after="240" w:line="240" w:lineRule="auto"/>
        <w:ind w:left="0"/>
        <w:rPr>
          <w:rFonts w:asciiTheme="minorHAnsi" w:hAnsiTheme="minorHAnsi"/>
          <w:szCs w:val="24"/>
        </w:rPr>
      </w:pPr>
      <w:r>
        <w:rPr>
          <w:rFonts w:asciiTheme="minorHAnsi" w:hAnsiTheme="minorHAnsi"/>
        </w:rPr>
        <w:t>Tabela 5: Wymiar 2 – forma finansowania</w:t>
      </w:r>
    </w:p>
    <w:tbl>
      <w:tblPr>
        <w:tblStyle w:val="15"/>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D6F42" w:rsidRPr="008727F2" w14:paraId="1903FCE4" w14:textId="77777777" w:rsidTr="00816A75">
        <w:tc>
          <w:tcPr>
            <w:tcW w:w="1869" w:type="dxa"/>
          </w:tcPr>
          <w:p w14:paraId="6A65FC57"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Priorytet nr</w:t>
            </w:r>
          </w:p>
        </w:tc>
        <w:tc>
          <w:tcPr>
            <w:tcW w:w="1657" w:type="dxa"/>
          </w:tcPr>
          <w:p w14:paraId="658E7F1A"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w:t>
            </w:r>
          </w:p>
        </w:tc>
        <w:tc>
          <w:tcPr>
            <w:tcW w:w="1898" w:type="dxa"/>
          </w:tcPr>
          <w:p w14:paraId="26AEFF0F"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Cel szczegółowy</w:t>
            </w:r>
          </w:p>
        </w:tc>
        <w:tc>
          <w:tcPr>
            <w:tcW w:w="1204" w:type="dxa"/>
          </w:tcPr>
          <w:p w14:paraId="227BAA88"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Kod </w:t>
            </w:r>
          </w:p>
        </w:tc>
        <w:tc>
          <w:tcPr>
            <w:tcW w:w="2658" w:type="dxa"/>
          </w:tcPr>
          <w:p w14:paraId="7D49F334"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Kwota (EUR)</w:t>
            </w:r>
          </w:p>
        </w:tc>
      </w:tr>
      <w:tr w:rsidR="007A25EB" w:rsidRPr="008727F2" w14:paraId="6273E0F3" w14:textId="77777777" w:rsidTr="00816A75">
        <w:tc>
          <w:tcPr>
            <w:tcW w:w="1869" w:type="dxa"/>
          </w:tcPr>
          <w:p w14:paraId="490978FD" w14:textId="77777777" w:rsidR="007A25EB" w:rsidRPr="00570B26" w:rsidRDefault="007A25EB" w:rsidP="007A25EB">
            <w:pPr>
              <w:spacing w:after="120" w:line="240" w:lineRule="auto"/>
              <w:ind w:left="0" w:right="0"/>
              <w:jc w:val="center"/>
              <w:rPr>
                <w:rFonts w:asciiTheme="minorHAnsi" w:eastAsia="Times New Roman" w:hAnsiTheme="minorHAnsi" w:cs="Times New Roman"/>
                <w:b/>
                <w:color w:val="000000"/>
                <w:sz w:val="16"/>
                <w:szCs w:val="16"/>
              </w:rPr>
            </w:pPr>
            <w:r>
              <w:rPr>
                <w:rFonts w:asciiTheme="minorHAnsi" w:hAnsiTheme="minorHAnsi"/>
                <w:color w:val="000000"/>
                <w:sz w:val="20"/>
              </w:rPr>
              <w:t>4</w:t>
            </w:r>
          </w:p>
        </w:tc>
        <w:tc>
          <w:tcPr>
            <w:tcW w:w="1657" w:type="dxa"/>
          </w:tcPr>
          <w:p w14:paraId="0B736AAA" w14:textId="77777777" w:rsidR="007A25EB" w:rsidRPr="00570B26" w:rsidRDefault="007A25EB" w:rsidP="007A25EB">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color w:val="000000"/>
                <w:sz w:val="20"/>
              </w:rPr>
              <w:t>EFRR</w:t>
            </w:r>
          </w:p>
        </w:tc>
        <w:tc>
          <w:tcPr>
            <w:tcW w:w="1898" w:type="dxa"/>
          </w:tcPr>
          <w:p w14:paraId="65CFACAF" w14:textId="77777777" w:rsidR="007A25EB" w:rsidRPr="00570B26" w:rsidRDefault="007A25EB" w:rsidP="007A25EB">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color w:val="000000"/>
                <w:sz w:val="20"/>
              </w:rPr>
              <w:t>Cel szczegółowy 4.1</w:t>
            </w:r>
          </w:p>
        </w:tc>
        <w:tc>
          <w:tcPr>
            <w:tcW w:w="1204" w:type="dxa"/>
          </w:tcPr>
          <w:p w14:paraId="6B20A6DD" w14:textId="21BC2DF1" w:rsidR="007A25EB" w:rsidRPr="00001D60" w:rsidRDefault="004552DD" w:rsidP="00001D60">
            <w:pPr>
              <w:spacing w:after="120" w:line="240" w:lineRule="auto"/>
              <w:ind w:left="0" w:right="0"/>
              <w:jc w:val="center"/>
              <w:rPr>
                <w:rFonts w:asciiTheme="minorHAnsi" w:eastAsia="Times New Roman" w:hAnsiTheme="minorHAnsi" w:cs="Times New Roman"/>
                <w:color w:val="000000"/>
                <w:sz w:val="16"/>
                <w:szCs w:val="16"/>
              </w:rPr>
            </w:pPr>
            <w:r>
              <w:rPr>
                <w:rFonts w:asciiTheme="minorHAnsi" w:hAnsiTheme="minorHAnsi"/>
                <w:color w:val="000000"/>
                <w:sz w:val="20"/>
              </w:rPr>
              <w:t>01</w:t>
            </w:r>
          </w:p>
        </w:tc>
        <w:tc>
          <w:tcPr>
            <w:tcW w:w="2658" w:type="dxa"/>
          </w:tcPr>
          <w:p w14:paraId="5EAE5EB3" w14:textId="77777777" w:rsidR="007A25EB" w:rsidRPr="00570B26" w:rsidRDefault="007A25EB" w:rsidP="007A25EB">
            <w:pPr>
              <w:spacing w:after="120" w:line="240" w:lineRule="auto"/>
              <w:ind w:left="0" w:right="0"/>
              <w:rPr>
                <w:rFonts w:asciiTheme="minorHAnsi" w:eastAsia="Times New Roman" w:hAnsiTheme="minorHAnsi" w:cs="Times New Roman"/>
                <w:b/>
                <w:color w:val="000000"/>
                <w:sz w:val="16"/>
                <w:szCs w:val="16"/>
              </w:rPr>
            </w:pPr>
          </w:p>
        </w:tc>
      </w:tr>
    </w:tbl>
    <w:p w14:paraId="1289C803" w14:textId="77777777" w:rsidR="009D6F42" w:rsidRPr="009A0D85" w:rsidRDefault="009D6F42" w:rsidP="009D6F42">
      <w:pPr>
        <w:spacing w:before="240" w:after="240" w:line="240" w:lineRule="auto"/>
        <w:ind w:left="0"/>
        <w:rPr>
          <w:rFonts w:asciiTheme="minorHAnsi" w:hAnsiTheme="minorHAnsi"/>
          <w:szCs w:val="24"/>
        </w:rPr>
      </w:pPr>
      <w:r>
        <w:rPr>
          <w:rFonts w:asciiTheme="minorHAnsi" w:hAnsiTheme="minorHAnsi"/>
        </w:rPr>
        <w:t>Tabela 6: Wymiar 3 – mechanizm realizacji terytorialnej i koncentracja na terytorium</w:t>
      </w:r>
    </w:p>
    <w:tbl>
      <w:tblPr>
        <w:tblStyle w:val="14"/>
        <w:tblW w:w="928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69"/>
        <w:gridCol w:w="1657"/>
        <w:gridCol w:w="1898"/>
        <w:gridCol w:w="1204"/>
        <w:gridCol w:w="2658"/>
      </w:tblGrid>
      <w:tr w:rsidR="009D6F42" w:rsidRPr="008727F2" w14:paraId="4805F93C" w14:textId="77777777" w:rsidTr="00816A75">
        <w:tc>
          <w:tcPr>
            <w:tcW w:w="1869" w:type="dxa"/>
          </w:tcPr>
          <w:p w14:paraId="4ACAC69F"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Priorytet nr</w:t>
            </w:r>
          </w:p>
        </w:tc>
        <w:tc>
          <w:tcPr>
            <w:tcW w:w="1657" w:type="dxa"/>
          </w:tcPr>
          <w:p w14:paraId="6032B00E"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w:t>
            </w:r>
          </w:p>
        </w:tc>
        <w:tc>
          <w:tcPr>
            <w:tcW w:w="1898" w:type="dxa"/>
          </w:tcPr>
          <w:p w14:paraId="1398F150"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Cel szczegółowy</w:t>
            </w:r>
          </w:p>
        </w:tc>
        <w:tc>
          <w:tcPr>
            <w:tcW w:w="1204" w:type="dxa"/>
          </w:tcPr>
          <w:p w14:paraId="6D6E56F0"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Kod </w:t>
            </w:r>
          </w:p>
        </w:tc>
        <w:tc>
          <w:tcPr>
            <w:tcW w:w="2658" w:type="dxa"/>
          </w:tcPr>
          <w:p w14:paraId="3D0A1CF7" w14:textId="77777777" w:rsidR="009D6F42" w:rsidRPr="00570B26" w:rsidRDefault="009D6F42" w:rsidP="00816A75">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Kwota (EUR)</w:t>
            </w:r>
          </w:p>
        </w:tc>
      </w:tr>
      <w:tr w:rsidR="007A25EB" w:rsidRPr="008727F2" w14:paraId="79EBC99C" w14:textId="77777777" w:rsidTr="00816A75">
        <w:tc>
          <w:tcPr>
            <w:tcW w:w="1869" w:type="dxa"/>
          </w:tcPr>
          <w:p w14:paraId="283753E8" w14:textId="77777777" w:rsidR="007A25EB" w:rsidRPr="00570B26" w:rsidRDefault="007A25EB" w:rsidP="007A25EB">
            <w:pPr>
              <w:spacing w:after="120" w:line="240" w:lineRule="auto"/>
              <w:ind w:left="0" w:right="0"/>
              <w:jc w:val="center"/>
              <w:rPr>
                <w:rFonts w:asciiTheme="minorHAnsi" w:eastAsia="Times New Roman" w:hAnsiTheme="minorHAnsi" w:cs="Times New Roman"/>
                <w:b/>
                <w:color w:val="000000"/>
                <w:sz w:val="16"/>
                <w:szCs w:val="16"/>
              </w:rPr>
            </w:pPr>
            <w:r>
              <w:rPr>
                <w:rFonts w:asciiTheme="minorHAnsi" w:hAnsiTheme="minorHAnsi"/>
                <w:color w:val="000000"/>
                <w:sz w:val="20"/>
              </w:rPr>
              <w:t>4</w:t>
            </w:r>
          </w:p>
        </w:tc>
        <w:tc>
          <w:tcPr>
            <w:tcW w:w="1657" w:type="dxa"/>
          </w:tcPr>
          <w:p w14:paraId="6D9AAE57" w14:textId="77777777" w:rsidR="007A25EB" w:rsidRPr="00570B26" w:rsidRDefault="007A25EB" w:rsidP="007A25EB">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color w:val="000000"/>
                <w:sz w:val="20"/>
              </w:rPr>
              <w:t>EFRR</w:t>
            </w:r>
          </w:p>
        </w:tc>
        <w:tc>
          <w:tcPr>
            <w:tcW w:w="1898" w:type="dxa"/>
          </w:tcPr>
          <w:p w14:paraId="621F2F3F" w14:textId="77777777" w:rsidR="007A25EB" w:rsidRPr="00570B26" w:rsidRDefault="007A25EB" w:rsidP="007A25EB">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color w:val="000000"/>
                <w:sz w:val="20"/>
              </w:rPr>
              <w:t>Cel szczegółowy 4.1</w:t>
            </w:r>
          </w:p>
        </w:tc>
        <w:tc>
          <w:tcPr>
            <w:tcW w:w="1204" w:type="dxa"/>
          </w:tcPr>
          <w:p w14:paraId="6164769A" w14:textId="39F9E715" w:rsidR="007A25EB" w:rsidRPr="00001D60" w:rsidRDefault="004552DD" w:rsidP="00001D60">
            <w:pPr>
              <w:spacing w:after="120" w:line="240" w:lineRule="auto"/>
              <w:ind w:left="0" w:right="0"/>
              <w:jc w:val="center"/>
              <w:rPr>
                <w:rFonts w:asciiTheme="minorHAnsi" w:eastAsia="Times New Roman" w:hAnsiTheme="minorHAnsi" w:cs="Times New Roman"/>
                <w:color w:val="000000"/>
                <w:sz w:val="20"/>
                <w:szCs w:val="16"/>
              </w:rPr>
            </w:pPr>
            <w:r>
              <w:rPr>
                <w:rFonts w:asciiTheme="minorHAnsi" w:hAnsiTheme="minorHAnsi"/>
                <w:color w:val="000000"/>
                <w:sz w:val="20"/>
              </w:rPr>
              <w:t>48</w:t>
            </w:r>
          </w:p>
        </w:tc>
        <w:tc>
          <w:tcPr>
            <w:tcW w:w="2658" w:type="dxa"/>
          </w:tcPr>
          <w:p w14:paraId="6626CF4E" w14:textId="77777777" w:rsidR="007A25EB" w:rsidRPr="00570B26" w:rsidRDefault="007A25EB" w:rsidP="007A25EB">
            <w:pPr>
              <w:spacing w:after="120" w:line="240" w:lineRule="auto"/>
              <w:ind w:left="0" w:right="0"/>
              <w:rPr>
                <w:rFonts w:asciiTheme="minorHAnsi" w:eastAsia="Times New Roman" w:hAnsiTheme="minorHAnsi" w:cs="Times New Roman"/>
                <w:b/>
                <w:color w:val="000000"/>
                <w:sz w:val="16"/>
                <w:szCs w:val="16"/>
              </w:rPr>
            </w:pPr>
          </w:p>
        </w:tc>
      </w:tr>
    </w:tbl>
    <w:p w14:paraId="21D1F80F" w14:textId="61896263" w:rsidR="008727F2" w:rsidRPr="008727F2" w:rsidRDefault="008727F2" w:rsidP="00F16C1A">
      <w:pPr>
        <w:ind w:left="0"/>
        <w:rPr>
          <w:rFonts w:asciiTheme="minorHAnsi" w:hAnsiTheme="minorHAnsi"/>
        </w:rPr>
      </w:pPr>
      <w:r>
        <w:br w:type="page"/>
      </w:r>
    </w:p>
    <w:p w14:paraId="2EEC2F7F" w14:textId="126B5881" w:rsidR="00EB444C" w:rsidRPr="00EB444C" w:rsidRDefault="008727F2" w:rsidP="00D80606">
      <w:pPr>
        <w:pStyle w:val="CE-Headline1"/>
      </w:pPr>
      <w:bookmarkStart w:id="115" w:name="_Toc71036614"/>
      <w:r>
        <w:lastRenderedPageBreak/>
        <w:t>Plan finansowy</w:t>
      </w:r>
      <w:bookmarkEnd w:id="115"/>
      <w:r>
        <w:t xml:space="preserve"> </w:t>
      </w:r>
    </w:p>
    <w:p w14:paraId="2ADB3055" w14:textId="77777777" w:rsidR="001E0079" w:rsidRDefault="001E0079" w:rsidP="00421722">
      <w:pPr>
        <w:spacing w:before="0"/>
        <w:ind w:left="425" w:right="340"/>
        <w:rPr>
          <w:rFonts w:asciiTheme="minorHAnsi" w:hAnsiTheme="minorHAnsi"/>
          <w:i/>
          <w:highlight w:val="yellow"/>
        </w:rPr>
      </w:pPr>
      <w:r>
        <w:rPr>
          <w:rFonts w:asciiTheme="minorHAnsi" w:hAnsiTheme="minorHAnsi"/>
          <w:i/>
          <w:highlight w:val="yellow"/>
        </w:rPr>
        <w:t xml:space="preserve">[Informacja MFiPR: </w:t>
      </w:r>
    </w:p>
    <w:p w14:paraId="58654C01" w14:textId="35D9FFFA" w:rsidR="00421722" w:rsidRPr="00421722" w:rsidRDefault="00EB444C" w:rsidP="00421722">
      <w:pPr>
        <w:spacing w:before="0"/>
        <w:ind w:left="425" w:right="340"/>
        <w:rPr>
          <w:rFonts w:asciiTheme="minorHAnsi" w:hAnsiTheme="minorHAnsi"/>
          <w:i/>
          <w:szCs w:val="24"/>
          <w:highlight w:val="yellow"/>
        </w:rPr>
      </w:pPr>
      <w:r w:rsidRPr="00421722">
        <w:rPr>
          <w:rFonts w:asciiTheme="minorHAnsi" w:hAnsiTheme="minorHAnsi"/>
          <w:i/>
          <w:highlight w:val="yellow"/>
        </w:rPr>
        <w:t xml:space="preserve">Rozdział zostanie uzupełniony po </w:t>
      </w:r>
      <w:r w:rsidR="00351460">
        <w:rPr>
          <w:rFonts w:asciiTheme="minorHAnsi" w:hAnsiTheme="minorHAnsi"/>
          <w:i/>
          <w:highlight w:val="yellow"/>
        </w:rPr>
        <w:t>przekazaniu przez wszystkie państwa informacji o ostatecznej wysokości kwot przeznaczanych</w:t>
      </w:r>
      <w:r w:rsidRPr="00421722">
        <w:rPr>
          <w:rFonts w:asciiTheme="minorHAnsi" w:hAnsiTheme="minorHAnsi"/>
          <w:i/>
          <w:highlight w:val="yellow"/>
        </w:rPr>
        <w:t xml:space="preserve"> </w:t>
      </w:r>
      <w:r w:rsidR="00351460">
        <w:rPr>
          <w:rFonts w:asciiTheme="minorHAnsi" w:hAnsiTheme="minorHAnsi"/>
          <w:i/>
          <w:highlight w:val="yellow"/>
        </w:rPr>
        <w:t xml:space="preserve">na realizację programu. </w:t>
      </w:r>
      <w:r w:rsidR="00421722" w:rsidRPr="00421722">
        <w:rPr>
          <w:rFonts w:asciiTheme="minorHAnsi" w:hAnsiTheme="minorHAnsi"/>
          <w:i/>
          <w:szCs w:val="24"/>
          <w:highlight w:val="yellow"/>
        </w:rPr>
        <w:t xml:space="preserve">Na podstawie </w:t>
      </w:r>
      <w:r w:rsidR="00351460">
        <w:rPr>
          <w:rFonts w:asciiTheme="minorHAnsi" w:hAnsiTheme="minorHAnsi"/>
          <w:i/>
          <w:szCs w:val="24"/>
          <w:highlight w:val="yellow"/>
        </w:rPr>
        <w:t>wstępnych deklaracji</w:t>
      </w:r>
      <w:r w:rsidR="00421722" w:rsidRPr="00421722">
        <w:rPr>
          <w:rFonts w:asciiTheme="minorHAnsi" w:hAnsiTheme="minorHAnsi"/>
          <w:i/>
          <w:szCs w:val="24"/>
          <w:highlight w:val="yellow"/>
        </w:rPr>
        <w:t xml:space="preserve"> szacuje się, że budżet programu wyniesie 206,19 mln EUR z EFRR. </w:t>
      </w:r>
    </w:p>
    <w:p w14:paraId="2C88BACC" w14:textId="77777777" w:rsidR="00351460" w:rsidRDefault="00351460" w:rsidP="00421722">
      <w:pPr>
        <w:spacing w:before="0"/>
        <w:ind w:left="425" w:right="340"/>
        <w:rPr>
          <w:rFonts w:asciiTheme="minorHAnsi" w:hAnsiTheme="minorHAnsi"/>
          <w:i/>
          <w:szCs w:val="24"/>
          <w:highlight w:val="yellow"/>
        </w:rPr>
      </w:pPr>
    </w:p>
    <w:p w14:paraId="4121AA10" w14:textId="19F28B8C" w:rsidR="00421722" w:rsidRPr="00421722" w:rsidRDefault="00351460" w:rsidP="00421722">
      <w:pPr>
        <w:spacing w:before="0"/>
        <w:ind w:left="425" w:right="340"/>
        <w:rPr>
          <w:rFonts w:asciiTheme="minorHAnsi" w:hAnsiTheme="minorHAnsi"/>
          <w:i/>
          <w:szCs w:val="24"/>
          <w:highlight w:val="yellow"/>
        </w:rPr>
      </w:pPr>
      <w:r>
        <w:rPr>
          <w:rFonts w:asciiTheme="minorHAnsi" w:hAnsiTheme="minorHAnsi"/>
          <w:i/>
          <w:szCs w:val="24"/>
          <w:highlight w:val="yellow"/>
        </w:rPr>
        <w:t>Planowany procentowy podział środków</w:t>
      </w:r>
      <w:r w:rsidR="00421722" w:rsidRPr="00421722">
        <w:rPr>
          <w:rFonts w:asciiTheme="minorHAnsi" w:hAnsiTheme="minorHAnsi"/>
          <w:i/>
          <w:szCs w:val="24"/>
          <w:highlight w:val="yellow"/>
        </w:rPr>
        <w:t xml:space="preserve"> na priorytety:</w:t>
      </w:r>
    </w:p>
    <w:p w14:paraId="438610A3" w14:textId="77777777" w:rsidR="00421722" w:rsidRPr="00421722" w:rsidRDefault="00421722" w:rsidP="00421722">
      <w:pPr>
        <w:spacing w:before="0"/>
        <w:ind w:left="425" w:right="340"/>
        <w:rPr>
          <w:rFonts w:asciiTheme="minorHAnsi" w:hAnsiTheme="minorHAnsi"/>
          <w:i/>
          <w:szCs w:val="24"/>
          <w:highlight w:val="yellow"/>
        </w:rPr>
      </w:pPr>
      <w:r w:rsidRPr="00421722">
        <w:rPr>
          <w:rFonts w:asciiTheme="minorHAnsi" w:hAnsiTheme="minorHAnsi"/>
          <w:i/>
          <w:szCs w:val="24"/>
          <w:highlight w:val="yellow"/>
        </w:rPr>
        <w:t>Priorytet 1. Współpraca na rzecz inteligentnej Europy Środkowej – 30%</w:t>
      </w:r>
    </w:p>
    <w:p w14:paraId="09391B7A" w14:textId="77777777" w:rsidR="00421722" w:rsidRPr="00421722" w:rsidRDefault="00421722" w:rsidP="00421722">
      <w:pPr>
        <w:spacing w:before="0"/>
        <w:ind w:left="425" w:right="340"/>
        <w:rPr>
          <w:rFonts w:asciiTheme="minorHAnsi" w:hAnsiTheme="minorHAnsi"/>
          <w:i/>
          <w:szCs w:val="24"/>
          <w:highlight w:val="yellow"/>
        </w:rPr>
      </w:pPr>
      <w:r w:rsidRPr="00421722">
        <w:rPr>
          <w:rFonts w:asciiTheme="minorHAnsi" w:hAnsiTheme="minorHAnsi"/>
          <w:i/>
          <w:szCs w:val="24"/>
          <w:highlight w:val="yellow"/>
        </w:rPr>
        <w:t>Priorytet 2. Współpraca na rzecz bardziej zielonej Europy Środkowej – 50%</w:t>
      </w:r>
    </w:p>
    <w:p w14:paraId="6EDFDE20" w14:textId="77777777" w:rsidR="00421722" w:rsidRPr="00421722" w:rsidRDefault="00421722" w:rsidP="00421722">
      <w:pPr>
        <w:spacing w:before="0"/>
        <w:ind w:left="425" w:right="340"/>
        <w:rPr>
          <w:rFonts w:asciiTheme="minorHAnsi" w:hAnsiTheme="minorHAnsi"/>
          <w:i/>
          <w:szCs w:val="24"/>
          <w:highlight w:val="yellow"/>
        </w:rPr>
      </w:pPr>
      <w:r w:rsidRPr="00421722">
        <w:rPr>
          <w:rFonts w:asciiTheme="minorHAnsi" w:hAnsiTheme="minorHAnsi"/>
          <w:i/>
          <w:szCs w:val="24"/>
          <w:highlight w:val="yellow"/>
        </w:rPr>
        <w:t>Priorytet 3. Współpraca na rzecz lepiej połączonej Europy Środkowej – 10%</w:t>
      </w:r>
    </w:p>
    <w:p w14:paraId="0FDC577C" w14:textId="073DDE29" w:rsidR="00421722" w:rsidRPr="0070343A" w:rsidRDefault="00421722" w:rsidP="00421722">
      <w:pPr>
        <w:spacing w:before="0"/>
        <w:ind w:left="425" w:right="340"/>
        <w:rPr>
          <w:rFonts w:asciiTheme="minorHAnsi" w:hAnsiTheme="minorHAnsi"/>
          <w:i/>
          <w:szCs w:val="24"/>
        </w:rPr>
      </w:pPr>
      <w:r w:rsidRPr="00421722">
        <w:rPr>
          <w:rFonts w:asciiTheme="minorHAnsi" w:hAnsiTheme="minorHAnsi"/>
          <w:i/>
          <w:szCs w:val="24"/>
          <w:highlight w:val="yellow"/>
        </w:rPr>
        <w:t>Priorytet 4. Poprawa systemu zarządzania współpracą w Europie Środkowej – 10%</w:t>
      </w:r>
      <w:r w:rsidR="001E0079">
        <w:rPr>
          <w:rFonts w:asciiTheme="minorHAnsi" w:hAnsiTheme="minorHAnsi"/>
          <w:i/>
          <w:szCs w:val="24"/>
        </w:rPr>
        <w:t>]</w:t>
      </w:r>
    </w:p>
    <w:p w14:paraId="435282B1" w14:textId="77777777" w:rsidR="008727F2" w:rsidRPr="00D80606" w:rsidRDefault="008727F2" w:rsidP="009B13B1">
      <w:pPr>
        <w:ind w:left="0"/>
        <w:rPr>
          <w:rFonts w:asciiTheme="minorHAnsi" w:hAnsiTheme="minorHAnsi"/>
          <w:color w:val="000000"/>
          <w:szCs w:val="24"/>
        </w:rPr>
      </w:pPr>
      <w:r w:rsidRPr="00D80606">
        <w:rPr>
          <w:rFonts w:asciiTheme="minorHAnsi" w:hAnsiTheme="minorHAnsi"/>
          <w:color w:val="000000"/>
        </w:rPr>
        <w:t>Podstawa: Artykuł 17 ust. 4 lit. g</w:t>
      </w:r>
    </w:p>
    <w:p w14:paraId="4F6C8622" w14:textId="77777777" w:rsidR="008727F2" w:rsidRPr="00F043FC" w:rsidRDefault="008727F2" w:rsidP="008727F2">
      <w:pPr>
        <w:spacing w:before="240" w:after="240" w:line="240" w:lineRule="auto"/>
        <w:ind w:left="709" w:hanging="709"/>
        <w:rPr>
          <w:rFonts w:asciiTheme="minorHAnsi" w:hAnsiTheme="minorHAnsi"/>
          <w:b/>
          <w:sz w:val="24"/>
          <w:szCs w:val="24"/>
        </w:rPr>
      </w:pPr>
      <w:r>
        <w:rPr>
          <w:rFonts w:asciiTheme="minorHAnsi" w:hAnsiTheme="minorHAnsi"/>
          <w:b/>
          <w:sz w:val="24"/>
        </w:rPr>
        <w:t>3.1 Przydziały środków finansowych w poszczególnych latach</w:t>
      </w:r>
    </w:p>
    <w:p w14:paraId="1162AB48" w14:textId="77777777" w:rsidR="008727F2" w:rsidRPr="00D80606" w:rsidRDefault="008727F2" w:rsidP="009B13B1">
      <w:pPr>
        <w:ind w:left="0"/>
        <w:rPr>
          <w:rFonts w:asciiTheme="minorHAnsi" w:hAnsiTheme="minorHAnsi"/>
          <w:color w:val="000000"/>
          <w:szCs w:val="24"/>
        </w:rPr>
      </w:pPr>
      <w:r w:rsidRPr="00D80606">
        <w:rPr>
          <w:rFonts w:asciiTheme="minorHAnsi" w:hAnsiTheme="minorHAnsi"/>
          <w:color w:val="000000"/>
        </w:rPr>
        <w:t>Podstawa: art. 17 ust. 4 lit. g punkt i, art. 17 ust. 5 lit. a-d</w:t>
      </w:r>
    </w:p>
    <w:p w14:paraId="1151B656" w14:textId="77777777" w:rsidR="008727F2" w:rsidRPr="00B366BE" w:rsidRDefault="008727F2" w:rsidP="009B13B1">
      <w:pPr>
        <w:spacing w:before="240" w:after="240" w:line="240" w:lineRule="auto"/>
        <w:ind w:left="0"/>
        <w:rPr>
          <w:rFonts w:asciiTheme="minorHAnsi" w:hAnsiTheme="minorHAnsi"/>
          <w:b/>
          <w:szCs w:val="24"/>
        </w:rPr>
      </w:pPr>
      <w:r>
        <w:rPr>
          <w:rFonts w:asciiTheme="minorHAnsi" w:hAnsiTheme="minorHAnsi"/>
        </w:rPr>
        <w:t>Tabela 7</w:t>
      </w:r>
    </w:p>
    <w:tbl>
      <w:tblPr>
        <w:tblStyle w:val="11"/>
        <w:tblW w:w="93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72"/>
        <w:gridCol w:w="978"/>
        <w:gridCol w:w="980"/>
        <w:gridCol w:w="980"/>
        <w:gridCol w:w="980"/>
        <w:gridCol w:w="981"/>
        <w:gridCol w:w="982"/>
        <w:gridCol w:w="982"/>
        <w:gridCol w:w="985"/>
      </w:tblGrid>
      <w:tr w:rsidR="008727F2" w:rsidRPr="008727F2" w14:paraId="2F6E0AA3" w14:textId="77777777" w:rsidTr="008727F2">
        <w:trPr>
          <w:trHeight w:val="226"/>
        </w:trPr>
        <w:tc>
          <w:tcPr>
            <w:tcW w:w="1472" w:type="dxa"/>
          </w:tcPr>
          <w:p w14:paraId="06CCB82B"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w:t>
            </w:r>
          </w:p>
        </w:tc>
        <w:tc>
          <w:tcPr>
            <w:tcW w:w="978" w:type="dxa"/>
          </w:tcPr>
          <w:p w14:paraId="76C20290"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2021</w:t>
            </w:r>
          </w:p>
        </w:tc>
        <w:tc>
          <w:tcPr>
            <w:tcW w:w="980" w:type="dxa"/>
          </w:tcPr>
          <w:p w14:paraId="0BE95051"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2022</w:t>
            </w:r>
          </w:p>
        </w:tc>
        <w:tc>
          <w:tcPr>
            <w:tcW w:w="980" w:type="dxa"/>
          </w:tcPr>
          <w:p w14:paraId="10BAEC99"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2023</w:t>
            </w:r>
          </w:p>
        </w:tc>
        <w:tc>
          <w:tcPr>
            <w:tcW w:w="980" w:type="dxa"/>
          </w:tcPr>
          <w:p w14:paraId="6E1373C2"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2024</w:t>
            </w:r>
          </w:p>
        </w:tc>
        <w:tc>
          <w:tcPr>
            <w:tcW w:w="981" w:type="dxa"/>
          </w:tcPr>
          <w:p w14:paraId="7B4CD2EF"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2025</w:t>
            </w:r>
          </w:p>
        </w:tc>
        <w:tc>
          <w:tcPr>
            <w:tcW w:w="982" w:type="dxa"/>
          </w:tcPr>
          <w:p w14:paraId="4D450599"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2026</w:t>
            </w:r>
          </w:p>
        </w:tc>
        <w:tc>
          <w:tcPr>
            <w:tcW w:w="982" w:type="dxa"/>
          </w:tcPr>
          <w:p w14:paraId="6BF49246"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2027</w:t>
            </w:r>
          </w:p>
        </w:tc>
        <w:tc>
          <w:tcPr>
            <w:tcW w:w="985" w:type="dxa"/>
          </w:tcPr>
          <w:p w14:paraId="209C8383"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Razem </w:t>
            </w:r>
          </w:p>
        </w:tc>
      </w:tr>
      <w:tr w:rsidR="008727F2" w:rsidRPr="008727F2" w14:paraId="72BB1B76" w14:textId="77777777" w:rsidTr="008727F2">
        <w:tc>
          <w:tcPr>
            <w:tcW w:w="1472" w:type="dxa"/>
          </w:tcPr>
          <w:p w14:paraId="2B9AE516" w14:textId="77777777" w:rsidR="009D6F42" w:rsidRPr="009B13B1" w:rsidRDefault="008727F2" w:rsidP="00601568">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EFRR (cel współpracy terytorialnej)</w:t>
            </w:r>
          </w:p>
        </w:tc>
        <w:tc>
          <w:tcPr>
            <w:tcW w:w="978" w:type="dxa"/>
          </w:tcPr>
          <w:p w14:paraId="7053369C"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4362F2A9"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46041E20"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27049E93"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1" w:type="dxa"/>
          </w:tcPr>
          <w:p w14:paraId="774424EC"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0C49626E"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7651D0A0"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5" w:type="dxa"/>
          </w:tcPr>
          <w:p w14:paraId="3BBD92F2"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19015A01" w14:textId="77777777" w:rsidTr="008727F2">
        <w:tc>
          <w:tcPr>
            <w:tcW w:w="1472" w:type="dxa"/>
          </w:tcPr>
          <w:p w14:paraId="150C1652"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IPA III CBC</w:t>
            </w:r>
            <w:r w:rsidRPr="009B13B1">
              <w:rPr>
                <w:rFonts w:asciiTheme="minorHAnsi" w:eastAsia="Times New Roman" w:hAnsiTheme="minorHAnsi" w:cs="Times New Roman"/>
                <w:b/>
                <w:color w:val="000000"/>
                <w:sz w:val="16"/>
                <w:szCs w:val="16"/>
                <w:vertAlign w:val="superscript"/>
              </w:rPr>
              <w:footnoteReference w:id="3"/>
            </w:r>
          </w:p>
        </w:tc>
        <w:tc>
          <w:tcPr>
            <w:tcW w:w="978" w:type="dxa"/>
          </w:tcPr>
          <w:p w14:paraId="0BC10FA6"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08820E34"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00678B87"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1F607B15"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1" w:type="dxa"/>
          </w:tcPr>
          <w:p w14:paraId="535EA195"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7069A7E5"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205AE312"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5" w:type="dxa"/>
          </w:tcPr>
          <w:p w14:paraId="59C5EC26"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56477B17" w14:textId="77777777" w:rsidTr="008727F2">
        <w:tc>
          <w:tcPr>
            <w:tcW w:w="1472" w:type="dxa"/>
          </w:tcPr>
          <w:p w14:paraId="63E696ED"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sidRPr="00EE2941">
              <w:rPr>
                <w:rFonts w:asciiTheme="minorHAnsi" w:hAnsiTheme="minorHAnsi"/>
                <w:b/>
                <w:color w:val="000000"/>
                <w:sz w:val="16"/>
                <w:lang w:val="en-US"/>
              </w:rPr>
              <w:t>Neighbourhood</w:t>
            </w:r>
            <w:r>
              <w:rPr>
                <w:rFonts w:asciiTheme="minorHAnsi" w:hAnsiTheme="minorHAnsi"/>
                <w:b/>
                <w:color w:val="000000"/>
                <w:sz w:val="16"/>
              </w:rPr>
              <w:t xml:space="preserve"> CBC</w:t>
            </w:r>
            <w:r w:rsidRPr="009B13B1">
              <w:rPr>
                <w:rFonts w:asciiTheme="minorHAnsi" w:eastAsia="Times New Roman" w:hAnsiTheme="minorHAnsi" w:cs="Times New Roman"/>
                <w:b/>
                <w:color w:val="000000"/>
                <w:sz w:val="16"/>
                <w:szCs w:val="16"/>
                <w:vertAlign w:val="superscript"/>
              </w:rPr>
              <w:footnoteReference w:id="4"/>
            </w:r>
          </w:p>
        </w:tc>
        <w:tc>
          <w:tcPr>
            <w:tcW w:w="978" w:type="dxa"/>
          </w:tcPr>
          <w:p w14:paraId="2038F5A4"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44344B80"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25414CD0"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552C7CD6"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1" w:type="dxa"/>
          </w:tcPr>
          <w:p w14:paraId="26BDFD34"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61A77719"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7090F7A9"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5" w:type="dxa"/>
          </w:tcPr>
          <w:p w14:paraId="0479F8B9"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6A2652D3" w14:textId="77777777" w:rsidTr="008727F2">
        <w:tc>
          <w:tcPr>
            <w:tcW w:w="1472" w:type="dxa"/>
          </w:tcPr>
          <w:p w14:paraId="0F4A0FCE"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IPA III</w:t>
            </w:r>
            <w:r w:rsidRPr="009B13B1">
              <w:rPr>
                <w:rFonts w:asciiTheme="minorHAnsi" w:eastAsia="Times New Roman" w:hAnsiTheme="minorHAnsi" w:cs="Times New Roman"/>
                <w:b/>
                <w:color w:val="000000"/>
                <w:sz w:val="16"/>
                <w:szCs w:val="16"/>
                <w:vertAlign w:val="superscript"/>
              </w:rPr>
              <w:footnoteReference w:id="5"/>
            </w:r>
          </w:p>
        </w:tc>
        <w:tc>
          <w:tcPr>
            <w:tcW w:w="978" w:type="dxa"/>
          </w:tcPr>
          <w:p w14:paraId="274CFB46"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4F507110"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5C0E5B56"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2DD2DAFE"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1" w:type="dxa"/>
          </w:tcPr>
          <w:p w14:paraId="0D281991"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56699A9A"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2C5CF85D"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5" w:type="dxa"/>
          </w:tcPr>
          <w:p w14:paraId="05B0C947"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20A6D35E" w14:textId="77777777" w:rsidTr="008727F2">
        <w:tc>
          <w:tcPr>
            <w:tcW w:w="1472" w:type="dxa"/>
          </w:tcPr>
          <w:p w14:paraId="5B446508"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NDICI</w:t>
            </w:r>
            <w:r w:rsidRPr="009B13B1">
              <w:rPr>
                <w:rFonts w:asciiTheme="minorHAnsi" w:eastAsia="Times New Roman" w:hAnsiTheme="minorHAnsi" w:cs="Times New Roman"/>
                <w:b/>
                <w:color w:val="000000"/>
                <w:sz w:val="16"/>
                <w:szCs w:val="16"/>
                <w:vertAlign w:val="superscript"/>
              </w:rPr>
              <w:footnoteReference w:id="6"/>
            </w:r>
          </w:p>
        </w:tc>
        <w:tc>
          <w:tcPr>
            <w:tcW w:w="978" w:type="dxa"/>
          </w:tcPr>
          <w:p w14:paraId="69E4D1D3"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0A527767"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18BB658A"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68331EAB"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1" w:type="dxa"/>
          </w:tcPr>
          <w:p w14:paraId="0C2C8787"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2357EDC2"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7F48E94A"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5" w:type="dxa"/>
          </w:tcPr>
          <w:p w14:paraId="2B2AB678"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5FD51C04" w14:textId="77777777" w:rsidTr="008727F2">
        <w:tc>
          <w:tcPr>
            <w:tcW w:w="1472" w:type="dxa"/>
          </w:tcPr>
          <w:p w14:paraId="7801E16A"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OCTP</w:t>
            </w:r>
            <w:r w:rsidRPr="009B13B1">
              <w:rPr>
                <w:rFonts w:asciiTheme="minorHAnsi" w:eastAsia="Times New Roman" w:hAnsiTheme="minorHAnsi" w:cs="Times New Roman"/>
                <w:b/>
                <w:color w:val="000000"/>
                <w:sz w:val="16"/>
                <w:szCs w:val="16"/>
                <w:vertAlign w:val="superscript"/>
              </w:rPr>
              <w:footnoteReference w:id="7"/>
            </w:r>
          </w:p>
        </w:tc>
        <w:tc>
          <w:tcPr>
            <w:tcW w:w="978" w:type="dxa"/>
          </w:tcPr>
          <w:p w14:paraId="7B318914"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3664C1EC"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527045BD"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383036AE"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1" w:type="dxa"/>
          </w:tcPr>
          <w:p w14:paraId="2CAE94F1"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4094B253"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2389ECA7"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5" w:type="dxa"/>
          </w:tcPr>
          <w:p w14:paraId="7D48759E"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71DD28F3" w14:textId="77777777" w:rsidTr="008727F2">
        <w:tc>
          <w:tcPr>
            <w:tcW w:w="1472" w:type="dxa"/>
          </w:tcPr>
          <w:p w14:paraId="0DA0BBC5"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Fundusze Interreg</w:t>
            </w:r>
            <w:r w:rsidRPr="009B13B1">
              <w:rPr>
                <w:rFonts w:asciiTheme="minorHAnsi" w:eastAsia="Times New Roman" w:hAnsiTheme="minorHAnsi" w:cs="Times New Roman"/>
                <w:b/>
                <w:color w:val="000000"/>
                <w:sz w:val="16"/>
                <w:szCs w:val="16"/>
                <w:vertAlign w:val="superscript"/>
              </w:rPr>
              <w:footnoteReference w:id="8"/>
            </w:r>
          </w:p>
        </w:tc>
        <w:tc>
          <w:tcPr>
            <w:tcW w:w="978" w:type="dxa"/>
          </w:tcPr>
          <w:p w14:paraId="6A5020C6"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1F062C37"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4ADAFD1E"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4E2D3825"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1" w:type="dxa"/>
          </w:tcPr>
          <w:p w14:paraId="37CFD1E3"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3AB3C144"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1D0A1257"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5" w:type="dxa"/>
          </w:tcPr>
          <w:p w14:paraId="266E55C5"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53AEE933" w14:textId="77777777" w:rsidTr="008727F2">
        <w:tc>
          <w:tcPr>
            <w:tcW w:w="1472" w:type="dxa"/>
          </w:tcPr>
          <w:p w14:paraId="4C78EFEF"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Razem </w:t>
            </w:r>
          </w:p>
        </w:tc>
        <w:tc>
          <w:tcPr>
            <w:tcW w:w="978" w:type="dxa"/>
          </w:tcPr>
          <w:p w14:paraId="56996ED4"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573D8E09"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6F7ED2FF"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0" w:type="dxa"/>
          </w:tcPr>
          <w:p w14:paraId="6F7177C5"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1" w:type="dxa"/>
          </w:tcPr>
          <w:p w14:paraId="6F0CB993"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563823BA"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2" w:type="dxa"/>
          </w:tcPr>
          <w:p w14:paraId="42BF82FE"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985" w:type="dxa"/>
          </w:tcPr>
          <w:p w14:paraId="48111DBE"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r>
    </w:tbl>
    <w:p w14:paraId="2A49F6EF" w14:textId="77777777" w:rsidR="008727F2" w:rsidRPr="008727F2" w:rsidRDefault="008727F2" w:rsidP="008727F2">
      <w:pPr>
        <w:spacing w:before="240" w:after="240" w:line="240" w:lineRule="auto"/>
        <w:ind w:left="709" w:hanging="709"/>
        <w:rPr>
          <w:rFonts w:asciiTheme="minorHAnsi" w:hAnsiTheme="minorHAnsi"/>
          <w:b/>
          <w:sz w:val="24"/>
          <w:szCs w:val="24"/>
        </w:rPr>
      </w:pPr>
      <w:r>
        <w:rPr>
          <w:rFonts w:asciiTheme="minorHAnsi" w:hAnsiTheme="minorHAnsi"/>
          <w:b/>
          <w:sz w:val="24"/>
        </w:rPr>
        <w:t>3.2 Całkowite przydziały środków finansowych według funduszu i współfinansowania krajowego</w:t>
      </w:r>
    </w:p>
    <w:tbl>
      <w:tblPr>
        <w:tblStyle w:val="10"/>
        <w:tblW w:w="9286"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286"/>
      </w:tblGrid>
      <w:tr w:rsidR="008727F2" w:rsidRPr="00A557D8" w14:paraId="124ABBFE" w14:textId="77777777" w:rsidTr="008727F2">
        <w:tc>
          <w:tcPr>
            <w:tcW w:w="9286" w:type="dxa"/>
          </w:tcPr>
          <w:p w14:paraId="0A8458AE" w14:textId="3F86462C" w:rsidR="008727F2" w:rsidRPr="008727F2" w:rsidRDefault="008727F2" w:rsidP="006B6317">
            <w:pPr>
              <w:ind w:left="0"/>
              <w:rPr>
                <w:rFonts w:asciiTheme="minorHAnsi" w:hAnsiTheme="minorHAnsi"/>
              </w:rPr>
            </w:pPr>
            <w:r w:rsidRPr="00D80606">
              <w:rPr>
                <w:rFonts w:asciiTheme="minorHAnsi" w:hAnsiTheme="minorHAnsi"/>
                <w:color w:val="000000"/>
              </w:rPr>
              <w:lastRenderedPageBreak/>
              <w:t>Podstawa: art. 17 ust. 4 lit. g punkt ii, art. 17 ust. 5 lit. a-d</w:t>
            </w:r>
          </w:p>
        </w:tc>
      </w:tr>
    </w:tbl>
    <w:p w14:paraId="14B55100" w14:textId="77777777" w:rsidR="008727F2" w:rsidRPr="00454550" w:rsidRDefault="008727F2" w:rsidP="00454550">
      <w:pPr>
        <w:spacing w:after="120" w:line="240" w:lineRule="auto"/>
        <w:ind w:left="0"/>
        <w:rPr>
          <w:rFonts w:asciiTheme="minorHAnsi" w:hAnsiTheme="minorHAnsi"/>
          <w:color w:val="000000"/>
          <w:szCs w:val="24"/>
          <w:vertAlign w:val="superscript"/>
        </w:rPr>
      </w:pPr>
      <w:bookmarkStart w:id="116" w:name="_GoBack"/>
      <w:bookmarkEnd w:id="116"/>
      <w:r>
        <w:rPr>
          <w:rFonts w:asciiTheme="minorHAnsi" w:hAnsiTheme="minorHAnsi"/>
          <w:color w:val="000000"/>
        </w:rPr>
        <w:t>Tabela 8</w:t>
      </w:r>
      <w:r>
        <w:rPr>
          <w:rFonts w:asciiTheme="minorHAnsi" w:hAnsiTheme="minorHAnsi"/>
          <w:color w:val="000000"/>
          <w:vertAlign w:val="superscript"/>
        </w:rPr>
        <w:t></w:t>
      </w:r>
    </w:p>
    <w:tbl>
      <w:tblPr>
        <w:tblStyle w:val="9"/>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61"/>
        <w:gridCol w:w="727"/>
        <w:gridCol w:w="1077"/>
        <w:gridCol w:w="942"/>
        <w:gridCol w:w="561"/>
        <w:gridCol w:w="828"/>
        <w:gridCol w:w="768"/>
        <w:gridCol w:w="752"/>
        <w:gridCol w:w="830"/>
        <w:gridCol w:w="1280"/>
        <w:gridCol w:w="1096"/>
      </w:tblGrid>
      <w:tr w:rsidR="008727F2" w:rsidRPr="00A557D8" w14:paraId="4414A354" w14:textId="77777777" w:rsidTr="00474CE7">
        <w:tc>
          <w:tcPr>
            <w:tcW w:w="208" w:type="pct"/>
            <w:vMerge w:val="restart"/>
          </w:tcPr>
          <w:p w14:paraId="0AF12DBE"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Cel programu nr lub PT</w:t>
            </w:r>
          </w:p>
        </w:tc>
        <w:tc>
          <w:tcPr>
            <w:tcW w:w="479" w:type="pct"/>
            <w:vMerge w:val="restart"/>
          </w:tcPr>
          <w:p w14:paraId="6174831A"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Priorytet</w:t>
            </w:r>
          </w:p>
        </w:tc>
        <w:tc>
          <w:tcPr>
            <w:tcW w:w="591" w:type="pct"/>
            <w:vMerge w:val="restart"/>
          </w:tcPr>
          <w:p w14:paraId="4DD6554F"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w:t>
            </w:r>
          </w:p>
          <w:p w14:paraId="3293A1E0"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(odpowiedni)</w:t>
            </w:r>
          </w:p>
        </w:tc>
        <w:tc>
          <w:tcPr>
            <w:tcW w:w="462" w:type="pct"/>
            <w:vMerge w:val="restart"/>
          </w:tcPr>
          <w:p w14:paraId="64B5D09C"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Podstawa obliczenia wsparcia UE (całkowitego lub publicznego)</w:t>
            </w:r>
          </w:p>
        </w:tc>
        <w:tc>
          <w:tcPr>
            <w:tcW w:w="501" w:type="pct"/>
            <w:vMerge w:val="restart"/>
          </w:tcPr>
          <w:p w14:paraId="2E10E064"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Wkład UE</w:t>
            </w:r>
          </w:p>
          <w:p w14:paraId="587D2F7F"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(a)</w:t>
            </w:r>
          </w:p>
        </w:tc>
        <w:tc>
          <w:tcPr>
            <w:tcW w:w="501" w:type="pct"/>
            <w:vMerge w:val="restart"/>
          </w:tcPr>
          <w:p w14:paraId="55940CCD"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Wkład krajowy</w:t>
            </w:r>
          </w:p>
          <w:p w14:paraId="2BBC035E"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(b)=(c)+(d)</w:t>
            </w:r>
          </w:p>
        </w:tc>
        <w:tc>
          <w:tcPr>
            <w:tcW w:w="885" w:type="pct"/>
            <w:gridSpan w:val="2"/>
          </w:tcPr>
          <w:p w14:paraId="66DA0064" w14:textId="77777777" w:rsidR="008727F2" w:rsidRPr="009B13B1" w:rsidRDefault="008727F2" w:rsidP="009B13B1">
            <w:pPr>
              <w:spacing w:after="120" w:line="240" w:lineRule="auto"/>
              <w:ind w:left="0" w:right="0"/>
              <w:jc w:val="center"/>
              <w:rPr>
                <w:rFonts w:asciiTheme="minorHAnsi" w:eastAsia="Times New Roman" w:hAnsiTheme="minorHAnsi" w:cs="Times New Roman"/>
                <w:b/>
                <w:color w:val="000000"/>
                <w:sz w:val="16"/>
                <w:szCs w:val="16"/>
              </w:rPr>
            </w:pPr>
            <w:r>
              <w:rPr>
                <w:rFonts w:asciiTheme="minorHAnsi" w:hAnsiTheme="minorHAnsi"/>
                <w:b/>
                <w:color w:val="000000"/>
                <w:sz w:val="16"/>
              </w:rPr>
              <w:t>Orientacyjny podział odpowiednika krajowego</w:t>
            </w:r>
          </w:p>
        </w:tc>
        <w:tc>
          <w:tcPr>
            <w:tcW w:w="360" w:type="pct"/>
            <w:vMerge w:val="restart"/>
          </w:tcPr>
          <w:p w14:paraId="544DF4F6"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Razem </w:t>
            </w:r>
          </w:p>
          <w:p w14:paraId="4DBB6C24"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p w14:paraId="2A3074B3"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(e)=(a)+(b)</w:t>
            </w:r>
          </w:p>
        </w:tc>
        <w:tc>
          <w:tcPr>
            <w:tcW w:w="428" w:type="pct"/>
            <w:vMerge w:val="restart"/>
          </w:tcPr>
          <w:p w14:paraId="1FF9C5C7"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Stawka współfinansowania</w:t>
            </w:r>
          </w:p>
          <w:p w14:paraId="4C253976"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(f)=(a)/(e)</w:t>
            </w:r>
          </w:p>
        </w:tc>
        <w:tc>
          <w:tcPr>
            <w:tcW w:w="585" w:type="pct"/>
            <w:vMerge w:val="restart"/>
          </w:tcPr>
          <w:p w14:paraId="4B1A395C"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Wkłady państw trzecich</w:t>
            </w:r>
          </w:p>
          <w:p w14:paraId="481761ED"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(informacyjnie)</w:t>
            </w:r>
          </w:p>
        </w:tc>
      </w:tr>
      <w:tr w:rsidR="008727F2" w:rsidRPr="008727F2" w14:paraId="65D454FA" w14:textId="77777777" w:rsidTr="00474CE7">
        <w:tc>
          <w:tcPr>
            <w:tcW w:w="208" w:type="pct"/>
            <w:vMerge/>
          </w:tcPr>
          <w:p w14:paraId="66CAAC5F"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479" w:type="pct"/>
            <w:vMerge/>
          </w:tcPr>
          <w:p w14:paraId="0843B712"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591" w:type="pct"/>
            <w:vMerge/>
          </w:tcPr>
          <w:p w14:paraId="28D2D900"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462" w:type="pct"/>
            <w:vMerge/>
          </w:tcPr>
          <w:p w14:paraId="3BDB95F7"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501" w:type="pct"/>
            <w:vMerge/>
          </w:tcPr>
          <w:p w14:paraId="7214EAB6"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501" w:type="pct"/>
            <w:vMerge/>
          </w:tcPr>
          <w:p w14:paraId="277D3AFC"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473" w:type="pct"/>
          </w:tcPr>
          <w:p w14:paraId="0A4C9A8F"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Krajowe publiczne </w:t>
            </w:r>
          </w:p>
          <w:p w14:paraId="37D21E97"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(c)</w:t>
            </w:r>
          </w:p>
        </w:tc>
        <w:tc>
          <w:tcPr>
            <w:tcW w:w="412" w:type="pct"/>
          </w:tcPr>
          <w:p w14:paraId="12EC5B01"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 xml:space="preserve">Krajowe prywatne </w:t>
            </w:r>
          </w:p>
          <w:p w14:paraId="106BE82B"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(d)</w:t>
            </w:r>
          </w:p>
        </w:tc>
        <w:tc>
          <w:tcPr>
            <w:tcW w:w="360" w:type="pct"/>
            <w:vMerge/>
          </w:tcPr>
          <w:p w14:paraId="16B672F2"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428" w:type="pct"/>
            <w:vMerge/>
          </w:tcPr>
          <w:p w14:paraId="70645FAA"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585" w:type="pct"/>
            <w:vMerge/>
          </w:tcPr>
          <w:p w14:paraId="55B6EDF9"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r>
      <w:tr w:rsidR="008727F2" w:rsidRPr="008727F2" w14:paraId="6430345E" w14:textId="77777777" w:rsidTr="00474CE7">
        <w:tc>
          <w:tcPr>
            <w:tcW w:w="208" w:type="pct"/>
            <w:vMerge w:val="restart"/>
          </w:tcPr>
          <w:p w14:paraId="1DCCEDC3"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479" w:type="pct"/>
            <w:vMerge w:val="restart"/>
          </w:tcPr>
          <w:p w14:paraId="59CA1DBE"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Priorytet 1</w:t>
            </w:r>
          </w:p>
        </w:tc>
        <w:tc>
          <w:tcPr>
            <w:tcW w:w="591" w:type="pct"/>
          </w:tcPr>
          <w:p w14:paraId="39E3DBF0"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EFRR</w:t>
            </w:r>
            <w:r w:rsidR="00EB3FA8">
              <w:rPr>
                <w:rStyle w:val="Odwoanieprzypisudolnego"/>
                <w:rFonts w:asciiTheme="minorHAnsi" w:eastAsia="Times New Roman" w:hAnsiTheme="minorHAnsi" w:cs="Times New Roman"/>
                <w:b/>
                <w:color w:val="000000"/>
                <w:sz w:val="16"/>
                <w:szCs w:val="16"/>
              </w:rPr>
              <w:footnoteReference w:id="9"/>
            </w:r>
          </w:p>
        </w:tc>
        <w:tc>
          <w:tcPr>
            <w:tcW w:w="462" w:type="pct"/>
          </w:tcPr>
          <w:p w14:paraId="75795ED3"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501" w:type="pct"/>
          </w:tcPr>
          <w:p w14:paraId="4C37C049"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501" w:type="pct"/>
          </w:tcPr>
          <w:p w14:paraId="11D87F46"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473" w:type="pct"/>
          </w:tcPr>
          <w:p w14:paraId="3997503C"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412" w:type="pct"/>
          </w:tcPr>
          <w:p w14:paraId="7CEDE349"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360" w:type="pct"/>
          </w:tcPr>
          <w:p w14:paraId="4D357163"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428" w:type="pct"/>
          </w:tcPr>
          <w:p w14:paraId="164BC533"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585" w:type="pct"/>
          </w:tcPr>
          <w:p w14:paraId="73D8EE05"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4BC1A4E2" w14:textId="77777777" w:rsidTr="00474CE7">
        <w:tc>
          <w:tcPr>
            <w:tcW w:w="208" w:type="pct"/>
            <w:vMerge/>
          </w:tcPr>
          <w:p w14:paraId="2855F269" w14:textId="77777777" w:rsidR="008727F2" w:rsidRPr="009B13B1" w:rsidRDefault="008727F2" w:rsidP="009B13B1">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479" w:type="pct"/>
            <w:vMerge/>
          </w:tcPr>
          <w:p w14:paraId="04416E14" w14:textId="77777777" w:rsidR="008727F2" w:rsidRPr="009B13B1" w:rsidRDefault="008727F2" w:rsidP="009B13B1">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591" w:type="pct"/>
          </w:tcPr>
          <w:p w14:paraId="5D28B720"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IPA III CBC</w:t>
            </w:r>
            <w:r w:rsidRPr="00454550">
              <w:rPr>
                <w:rFonts w:asciiTheme="minorHAnsi" w:eastAsia="Times New Roman" w:hAnsiTheme="minorHAnsi" w:cs="Times New Roman"/>
                <w:b/>
                <w:color w:val="000000"/>
                <w:sz w:val="16"/>
                <w:szCs w:val="16"/>
                <w:vertAlign w:val="superscript"/>
              </w:rPr>
              <w:footnoteReference w:id="10"/>
            </w:r>
          </w:p>
        </w:tc>
        <w:tc>
          <w:tcPr>
            <w:tcW w:w="462" w:type="pct"/>
          </w:tcPr>
          <w:p w14:paraId="7E0639DC"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501" w:type="pct"/>
          </w:tcPr>
          <w:p w14:paraId="4FE6BB0F"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501" w:type="pct"/>
          </w:tcPr>
          <w:p w14:paraId="61A31E51"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473" w:type="pct"/>
          </w:tcPr>
          <w:p w14:paraId="49CEEA88"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412" w:type="pct"/>
          </w:tcPr>
          <w:p w14:paraId="22084CD5"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360" w:type="pct"/>
          </w:tcPr>
          <w:p w14:paraId="337850A9"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428" w:type="pct"/>
          </w:tcPr>
          <w:p w14:paraId="29BB2F99"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c>
          <w:tcPr>
            <w:tcW w:w="585" w:type="pct"/>
          </w:tcPr>
          <w:p w14:paraId="0D1DD002" w14:textId="77777777" w:rsidR="008727F2" w:rsidRPr="009B13B1" w:rsidRDefault="008727F2" w:rsidP="009B13B1">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5CD2CB1E" w14:textId="77777777" w:rsidTr="00474CE7">
        <w:tc>
          <w:tcPr>
            <w:tcW w:w="208" w:type="pct"/>
            <w:vMerge/>
          </w:tcPr>
          <w:p w14:paraId="5EDF48DE"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479" w:type="pct"/>
            <w:vMerge/>
          </w:tcPr>
          <w:p w14:paraId="36FB5387"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591" w:type="pct"/>
          </w:tcPr>
          <w:p w14:paraId="62C0249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sidRPr="00E04F92">
              <w:rPr>
                <w:rFonts w:asciiTheme="minorHAnsi" w:hAnsiTheme="minorHAnsi"/>
                <w:b/>
                <w:color w:val="000000"/>
                <w:sz w:val="16"/>
                <w:lang w:val="en-US"/>
              </w:rPr>
              <w:t>Neighbourhood</w:t>
            </w:r>
            <w:r>
              <w:rPr>
                <w:rFonts w:asciiTheme="minorHAnsi" w:hAnsiTheme="minorHAnsi"/>
                <w:b/>
                <w:color w:val="000000"/>
                <w:sz w:val="16"/>
              </w:rPr>
              <w:t xml:space="preserve"> CBC</w:t>
            </w:r>
            <w:r w:rsidRPr="00454550">
              <w:rPr>
                <w:rFonts w:asciiTheme="minorHAnsi" w:eastAsia="Times New Roman" w:hAnsiTheme="minorHAnsi" w:cs="Times New Roman"/>
                <w:b/>
                <w:color w:val="000000"/>
                <w:sz w:val="16"/>
                <w:szCs w:val="16"/>
                <w:vertAlign w:val="superscript"/>
              </w:rPr>
              <w:footnoteReference w:id="11"/>
            </w:r>
          </w:p>
        </w:tc>
        <w:tc>
          <w:tcPr>
            <w:tcW w:w="462" w:type="pct"/>
          </w:tcPr>
          <w:p w14:paraId="004826FF"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6B0CC752"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644787F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73" w:type="pct"/>
          </w:tcPr>
          <w:p w14:paraId="27378AE9"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12" w:type="pct"/>
          </w:tcPr>
          <w:p w14:paraId="18D8DC5F"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360" w:type="pct"/>
          </w:tcPr>
          <w:p w14:paraId="528AE62D"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28" w:type="pct"/>
          </w:tcPr>
          <w:p w14:paraId="35AD38FF"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85" w:type="pct"/>
          </w:tcPr>
          <w:p w14:paraId="517050A6"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1C1682BB" w14:textId="77777777" w:rsidTr="00474CE7">
        <w:tc>
          <w:tcPr>
            <w:tcW w:w="208" w:type="pct"/>
            <w:vMerge/>
          </w:tcPr>
          <w:p w14:paraId="1DC71D6F"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479" w:type="pct"/>
            <w:vMerge/>
          </w:tcPr>
          <w:p w14:paraId="7AC0F580"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591" w:type="pct"/>
          </w:tcPr>
          <w:p w14:paraId="579728F5"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IPA III</w:t>
            </w:r>
            <w:r w:rsidRPr="00454550">
              <w:rPr>
                <w:rFonts w:asciiTheme="minorHAnsi" w:eastAsia="Times New Roman" w:hAnsiTheme="minorHAnsi" w:cs="Times New Roman"/>
                <w:b/>
                <w:color w:val="000000"/>
                <w:sz w:val="16"/>
                <w:szCs w:val="16"/>
                <w:vertAlign w:val="superscript"/>
              </w:rPr>
              <w:footnoteReference w:id="12"/>
            </w:r>
          </w:p>
        </w:tc>
        <w:tc>
          <w:tcPr>
            <w:tcW w:w="462" w:type="pct"/>
          </w:tcPr>
          <w:p w14:paraId="5D0B29C6"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104E8AEB"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303401C2"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73" w:type="pct"/>
          </w:tcPr>
          <w:p w14:paraId="563445A5"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12" w:type="pct"/>
          </w:tcPr>
          <w:p w14:paraId="2E60A070"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360" w:type="pct"/>
          </w:tcPr>
          <w:p w14:paraId="4BF7A5D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28" w:type="pct"/>
          </w:tcPr>
          <w:p w14:paraId="76A1983E"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85" w:type="pct"/>
          </w:tcPr>
          <w:p w14:paraId="305A87BF"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77B2EFC3" w14:textId="77777777" w:rsidTr="00474CE7">
        <w:tc>
          <w:tcPr>
            <w:tcW w:w="208" w:type="pct"/>
            <w:vMerge/>
          </w:tcPr>
          <w:p w14:paraId="26A1F955"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479" w:type="pct"/>
            <w:vMerge/>
          </w:tcPr>
          <w:p w14:paraId="2EE6EA9A"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591" w:type="pct"/>
          </w:tcPr>
          <w:p w14:paraId="6BC2DCAD"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NDICI</w:t>
            </w:r>
            <w:r w:rsidRPr="00454550">
              <w:rPr>
                <w:rFonts w:asciiTheme="minorHAnsi" w:eastAsia="Times New Roman" w:hAnsiTheme="minorHAnsi" w:cs="Times New Roman"/>
                <w:b/>
                <w:color w:val="000000"/>
                <w:sz w:val="16"/>
                <w:szCs w:val="16"/>
                <w:vertAlign w:val="superscript"/>
              </w:rPr>
              <w:footnoteReference w:id="13"/>
            </w:r>
          </w:p>
        </w:tc>
        <w:tc>
          <w:tcPr>
            <w:tcW w:w="462" w:type="pct"/>
          </w:tcPr>
          <w:p w14:paraId="2D98C4AC"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58BDBCA5"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01FAEEB2"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73" w:type="pct"/>
          </w:tcPr>
          <w:p w14:paraId="12A3D398"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12" w:type="pct"/>
          </w:tcPr>
          <w:p w14:paraId="31F93927"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360" w:type="pct"/>
          </w:tcPr>
          <w:p w14:paraId="411249DC"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28" w:type="pct"/>
          </w:tcPr>
          <w:p w14:paraId="75A85BB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85" w:type="pct"/>
          </w:tcPr>
          <w:p w14:paraId="56D2FFF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1D405AF1" w14:textId="77777777" w:rsidTr="00474CE7">
        <w:tc>
          <w:tcPr>
            <w:tcW w:w="208" w:type="pct"/>
            <w:vMerge/>
          </w:tcPr>
          <w:p w14:paraId="26A4F2CB"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479" w:type="pct"/>
            <w:vMerge/>
          </w:tcPr>
          <w:p w14:paraId="21031F67"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591" w:type="pct"/>
          </w:tcPr>
          <w:p w14:paraId="0FD87B1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OCTP Grenlandia</w:t>
            </w:r>
            <w:r w:rsidRPr="00454550">
              <w:rPr>
                <w:rFonts w:asciiTheme="minorHAnsi" w:eastAsia="Times New Roman" w:hAnsiTheme="minorHAnsi" w:cs="Times New Roman"/>
                <w:b/>
                <w:color w:val="000000"/>
                <w:sz w:val="16"/>
                <w:szCs w:val="16"/>
                <w:vertAlign w:val="superscript"/>
              </w:rPr>
              <w:footnoteReference w:id="14"/>
            </w:r>
          </w:p>
        </w:tc>
        <w:tc>
          <w:tcPr>
            <w:tcW w:w="462" w:type="pct"/>
          </w:tcPr>
          <w:p w14:paraId="7EF74F43"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70A8ADBB"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121DCA75"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73" w:type="pct"/>
          </w:tcPr>
          <w:p w14:paraId="1BECB728"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12" w:type="pct"/>
          </w:tcPr>
          <w:p w14:paraId="633B4C66"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360" w:type="pct"/>
          </w:tcPr>
          <w:p w14:paraId="74EEE135"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28" w:type="pct"/>
          </w:tcPr>
          <w:p w14:paraId="0B42ADA3"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85" w:type="pct"/>
          </w:tcPr>
          <w:p w14:paraId="180BF19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5AB6A006" w14:textId="77777777" w:rsidTr="00474CE7">
        <w:tc>
          <w:tcPr>
            <w:tcW w:w="208" w:type="pct"/>
            <w:vMerge/>
          </w:tcPr>
          <w:p w14:paraId="48ED99A8"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479" w:type="pct"/>
            <w:vMerge/>
          </w:tcPr>
          <w:p w14:paraId="5E2C8E28"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591" w:type="pct"/>
          </w:tcPr>
          <w:p w14:paraId="6E568359"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OCTP</w:t>
            </w:r>
            <w:r w:rsidRPr="00454550">
              <w:rPr>
                <w:rFonts w:asciiTheme="minorHAnsi" w:eastAsia="Times New Roman" w:hAnsiTheme="minorHAnsi" w:cs="Times New Roman"/>
                <w:b/>
                <w:color w:val="000000"/>
                <w:sz w:val="16"/>
                <w:szCs w:val="16"/>
                <w:vertAlign w:val="superscript"/>
              </w:rPr>
              <w:footnoteReference w:id="15"/>
            </w:r>
          </w:p>
        </w:tc>
        <w:tc>
          <w:tcPr>
            <w:tcW w:w="462" w:type="pct"/>
          </w:tcPr>
          <w:p w14:paraId="07F9DFF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18122A01"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0BE213F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73" w:type="pct"/>
          </w:tcPr>
          <w:p w14:paraId="7B25065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12" w:type="pct"/>
          </w:tcPr>
          <w:p w14:paraId="5671B529"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360" w:type="pct"/>
          </w:tcPr>
          <w:p w14:paraId="633FD982"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28" w:type="pct"/>
          </w:tcPr>
          <w:p w14:paraId="2388347C"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85" w:type="pct"/>
          </w:tcPr>
          <w:p w14:paraId="3B522DDF"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5FB474D8" w14:textId="77777777" w:rsidTr="00474CE7">
        <w:tc>
          <w:tcPr>
            <w:tcW w:w="208" w:type="pct"/>
            <w:vMerge/>
          </w:tcPr>
          <w:p w14:paraId="2B25E21E"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479" w:type="pct"/>
            <w:vMerge/>
          </w:tcPr>
          <w:p w14:paraId="67606DDD" w14:textId="77777777" w:rsidR="008727F2" w:rsidRPr="00454550" w:rsidRDefault="008727F2" w:rsidP="00454550">
            <w:pPr>
              <w:pBdr>
                <w:top w:val="nil"/>
                <w:left w:val="nil"/>
                <w:bottom w:val="nil"/>
                <w:right w:val="nil"/>
                <w:between w:val="nil"/>
              </w:pBdr>
              <w:spacing w:after="120" w:line="240" w:lineRule="auto"/>
              <w:ind w:left="0" w:right="0"/>
              <w:rPr>
                <w:rFonts w:asciiTheme="minorHAnsi" w:eastAsia="Times New Roman" w:hAnsiTheme="minorHAnsi" w:cs="Times New Roman"/>
                <w:b/>
                <w:color w:val="000000"/>
                <w:sz w:val="16"/>
                <w:szCs w:val="16"/>
              </w:rPr>
            </w:pPr>
          </w:p>
        </w:tc>
        <w:tc>
          <w:tcPr>
            <w:tcW w:w="591" w:type="pct"/>
          </w:tcPr>
          <w:p w14:paraId="7963B6BC"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Fundusze Interreg</w:t>
            </w:r>
            <w:r w:rsidRPr="00454550">
              <w:rPr>
                <w:rFonts w:asciiTheme="minorHAnsi" w:eastAsia="Times New Roman" w:hAnsiTheme="minorHAnsi" w:cs="Times New Roman"/>
                <w:b/>
                <w:color w:val="000000"/>
                <w:sz w:val="16"/>
                <w:szCs w:val="16"/>
                <w:vertAlign w:val="superscript"/>
              </w:rPr>
              <w:footnoteReference w:id="16"/>
            </w:r>
          </w:p>
        </w:tc>
        <w:tc>
          <w:tcPr>
            <w:tcW w:w="462" w:type="pct"/>
          </w:tcPr>
          <w:p w14:paraId="01664961"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4C19C41C"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13855705"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73" w:type="pct"/>
          </w:tcPr>
          <w:p w14:paraId="7D680885"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12" w:type="pct"/>
          </w:tcPr>
          <w:p w14:paraId="1B1BCEE1"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360" w:type="pct"/>
          </w:tcPr>
          <w:p w14:paraId="14DC4B42"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28" w:type="pct"/>
          </w:tcPr>
          <w:p w14:paraId="623FDB52"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85" w:type="pct"/>
          </w:tcPr>
          <w:p w14:paraId="46CDC968"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07130199" w14:textId="77777777" w:rsidTr="00474CE7">
        <w:tc>
          <w:tcPr>
            <w:tcW w:w="208" w:type="pct"/>
            <w:tcBorders>
              <w:bottom w:val="single" w:sz="4" w:space="0" w:color="000000"/>
            </w:tcBorders>
          </w:tcPr>
          <w:p w14:paraId="28F3690C"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79" w:type="pct"/>
          </w:tcPr>
          <w:p w14:paraId="1D11BE63"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Priorytet 2</w:t>
            </w:r>
          </w:p>
        </w:tc>
        <w:tc>
          <w:tcPr>
            <w:tcW w:w="591" w:type="pct"/>
          </w:tcPr>
          <w:p w14:paraId="4CC1AB50"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(fundusze jak powyżej)</w:t>
            </w:r>
          </w:p>
        </w:tc>
        <w:tc>
          <w:tcPr>
            <w:tcW w:w="462" w:type="pct"/>
          </w:tcPr>
          <w:p w14:paraId="3CD6039D"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795578EC"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5F0CDC3C"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73" w:type="pct"/>
          </w:tcPr>
          <w:p w14:paraId="0B69D639"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12" w:type="pct"/>
          </w:tcPr>
          <w:p w14:paraId="764BF5D0"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360" w:type="pct"/>
          </w:tcPr>
          <w:p w14:paraId="5B2213BD"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28" w:type="pct"/>
          </w:tcPr>
          <w:p w14:paraId="455C1825"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85" w:type="pct"/>
          </w:tcPr>
          <w:p w14:paraId="79171F27"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73B3DEF6" w14:textId="77777777" w:rsidTr="00474CE7">
        <w:tc>
          <w:tcPr>
            <w:tcW w:w="208" w:type="pct"/>
            <w:shd w:val="clear" w:color="auto" w:fill="BFBFBF"/>
          </w:tcPr>
          <w:p w14:paraId="7F3109BE"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79" w:type="pct"/>
          </w:tcPr>
          <w:p w14:paraId="174FC2F3"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Razem</w:t>
            </w:r>
          </w:p>
        </w:tc>
        <w:tc>
          <w:tcPr>
            <w:tcW w:w="591" w:type="pct"/>
          </w:tcPr>
          <w:p w14:paraId="69F6A0BE"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Wszystkie fundusze</w:t>
            </w:r>
          </w:p>
        </w:tc>
        <w:tc>
          <w:tcPr>
            <w:tcW w:w="462" w:type="pct"/>
          </w:tcPr>
          <w:p w14:paraId="3581894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457BD34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3A6592B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73" w:type="pct"/>
          </w:tcPr>
          <w:p w14:paraId="65B9CE8B"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12" w:type="pct"/>
          </w:tcPr>
          <w:p w14:paraId="24358B75"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360" w:type="pct"/>
          </w:tcPr>
          <w:p w14:paraId="3533BCA1"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28" w:type="pct"/>
          </w:tcPr>
          <w:p w14:paraId="1CD83E03"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85" w:type="pct"/>
          </w:tcPr>
          <w:p w14:paraId="2ECFC48B"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738281A3" w14:textId="77777777" w:rsidTr="00474CE7">
        <w:tc>
          <w:tcPr>
            <w:tcW w:w="208" w:type="pct"/>
            <w:shd w:val="clear" w:color="auto" w:fill="BFBFBF"/>
          </w:tcPr>
          <w:p w14:paraId="567D74BC"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79" w:type="pct"/>
          </w:tcPr>
          <w:p w14:paraId="25F42365"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91" w:type="pct"/>
          </w:tcPr>
          <w:p w14:paraId="21FE9E07"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EFRR</w:t>
            </w:r>
          </w:p>
        </w:tc>
        <w:tc>
          <w:tcPr>
            <w:tcW w:w="462" w:type="pct"/>
          </w:tcPr>
          <w:p w14:paraId="40013F32"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0AE2340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22F31311"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73" w:type="pct"/>
          </w:tcPr>
          <w:p w14:paraId="622F25D3"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12" w:type="pct"/>
          </w:tcPr>
          <w:p w14:paraId="45CB07C3"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360" w:type="pct"/>
          </w:tcPr>
          <w:p w14:paraId="18F5A433"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28" w:type="pct"/>
          </w:tcPr>
          <w:p w14:paraId="22A902A2"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85" w:type="pct"/>
          </w:tcPr>
          <w:p w14:paraId="48D6CCF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106995E2" w14:textId="77777777" w:rsidTr="00474CE7">
        <w:tc>
          <w:tcPr>
            <w:tcW w:w="208" w:type="pct"/>
            <w:shd w:val="clear" w:color="auto" w:fill="BFBFBF"/>
          </w:tcPr>
          <w:p w14:paraId="70B43CD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79" w:type="pct"/>
          </w:tcPr>
          <w:p w14:paraId="4D8F741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91" w:type="pct"/>
          </w:tcPr>
          <w:p w14:paraId="1365DB7F"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IPA III CBC</w:t>
            </w:r>
          </w:p>
        </w:tc>
        <w:tc>
          <w:tcPr>
            <w:tcW w:w="462" w:type="pct"/>
          </w:tcPr>
          <w:p w14:paraId="45A246A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7D7CE18F"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3AE61EF0"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73" w:type="pct"/>
          </w:tcPr>
          <w:p w14:paraId="293DBDEC"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12" w:type="pct"/>
          </w:tcPr>
          <w:p w14:paraId="40ABCD51"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360" w:type="pct"/>
          </w:tcPr>
          <w:p w14:paraId="19F07A50"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28" w:type="pct"/>
          </w:tcPr>
          <w:p w14:paraId="3991196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85" w:type="pct"/>
          </w:tcPr>
          <w:p w14:paraId="0E87F25D"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39518DF7" w14:textId="77777777" w:rsidTr="00474CE7">
        <w:tc>
          <w:tcPr>
            <w:tcW w:w="208" w:type="pct"/>
            <w:shd w:val="clear" w:color="auto" w:fill="BFBFBF"/>
          </w:tcPr>
          <w:p w14:paraId="3DA7A62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79" w:type="pct"/>
          </w:tcPr>
          <w:p w14:paraId="639D7EE7"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91" w:type="pct"/>
          </w:tcPr>
          <w:p w14:paraId="2C1A5D3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sidRPr="00E04F92">
              <w:rPr>
                <w:rFonts w:asciiTheme="minorHAnsi" w:hAnsiTheme="minorHAnsi"/>
                <w:b/>
                <w:color w:val="000000"/>
                <w:sz w:val="16"/>
                <w:lang w:val="en-US"/>
              </w:rPr>
              <w:t>Neighbourhood</w:t>
            </w:r>
            <w:r>
              <w:rPr>
                <w:rFonts w:asciiTheme="minorHAnsi" w:hAnsiTheme="minorHAnsi"/>
                <w:b/>
                <w:color w:val="000000"/>
                <w:sz w:val="16"/>
              </w:rPr>
              <w:t xml:space="preserve"> CBC</w:t>
            </w:r>
          </w:p>
        </w:tc>
        <w:tc>
          <w:tcPr>
            <w:tcW w:w="462" w:type="pct"/>
          </w:tcPr>
          <w:p w14:paraId="0A7756D6"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1F4AFE46"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1B09958E"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73" w:type="pct"/>
          </w:tcPr>
          <w:p w14:paraId="59BB1F0F"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12" w:type="pct"/>
          </w:tcPr>
          <w:p w14:paraId="7AA35E4F"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360" w:type="pct"/>
          </w:tcPr>
          <w:p w14:paraId="6865F110"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28" w:type="pct"/>
          </w:tcPr>
          <w:p w14:paraId="29DDD01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85" w:type="pct"/>
          </w:tcPr>
          <w:p w14:paraId="3D852E6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0C18DFB6" w14:textId="77777777" w:rsidTr="00474CE7">
        <w:tc>
          <w:tcPr>
            <w:tcW w:w="208" w:type="pct"/>
            <w:shd w:val="clear" w:color="auto" w:fill="BFBFBF"/>
          </w:tcPr>
          <w:p w14:paraId="08C01C31"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79" w:type="pct"/>
          </w:tcPr>
          <w:p w14:paraId="4D064703"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91" w:type="pct"/>
          </w:tcPr>
          <w:p w14:paraId="04DF154F"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IPA III</w:t>
            </w:r>
          </w:p>
        </w:tc>
        <w:tc>
          <w:tcPr>
            <w:tcW w:w="462" w:type="pct"/>
          </w:tcPr>
          <w:p w14:paraId="7D413BA8"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4A9A9291"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26F5AC4E"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73" w:type="pct"/>
          </w:tcPr>
          <w:p w14:paraId="39DFE7D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12" w:type="pct"/>
          </w:tcPr>
          <w:p w14:paraId="5DCD9265"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360" w:type="pct"/>
          </w:tcPr>
          <w:p w14:paraId="3276197D"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28" w:type="pct"/>
          </w:tcPr>
          <w:p w14:paraId="77BCA05B"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85" w:type="pct"/>
          </w:tcPr>
          <w:p w14:paraId="1A60BBFF"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0BC36020" w14:textId="77777777" w:rsidTr="00474CE7">
        <w:tc>
          <w:tcPr>
            <w:tcW w:w="208" w:type="pct"/>
            <w:shd w:val="clear" w:color="auto" w:fill="BFBFBF"/>
          </w:tcPr>
          <w:p w14:paraId="314AF3D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79" w:type="pct"/>
          </w:tcPr>
          <w:p w14:paraId="2378D406"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91" w:type="pct"/>
          </w:tcPr>
          <w:p w14:paraId="6D6AB302"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NDICI</w:t>
            </w:r>
          </w:p>
        </w:tc>
        <w:tc>
          <w:tcPr>
            <w:tcW w:w="462" w:type="pct"/>
          </w:tcPr>
          <w:p w14:paraId="316242D9"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21AB40B2"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41DDB98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73" w:type="pct"/>
          </w:tcPr>
          <w:p w14:paraId="7223CAE8"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12" w:type="pct"/>
          </w:tcPr>
          <w:p w14:paraId="622C1613"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360" w:type="pct"/>
          </w:tcPr>
          <w:p w14:paraId="5057B10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28" w:type="pct"/>
          </w:tcPr>
          <w:p w14:paraId="4F2FBA2D"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85" w:type="pct"/>
          </w:tcPr>
          <w:p w14:paraId="75063F9D"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4EE8D25A" w14:textId="77777777" w:rsidTr="00474CE7">
        <w:tc>
          <w:tcPr>
            <w:tcW w:w="208" w:type="pct"/>
            <w:shd w:val="clear" w:color="auto" w:fill="BFBFBF"/>
          </w:tcPr>
          <w:p w14:paraId="614B694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79" w:type="pct"/>
          </w:tcPr>
          <w:p w14:paraId="25132888"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91" w:type="pct"/>
          </w:tcPr>
          <w:p w14:paraId="6B06AB6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OCTP Grenlandia</w:t>
            </w:r>
          </w:p>
        </w:tc>
        <w:tc>
          <w:tcPr>
            <w:tcW w:w="462" w:type="pct"/>
          </w:tcPr>
          <w:p w14:paraId="79EB02AE"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47D2D31C"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7DF9A36C"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73" w:type="pct"/>
          </w:tcPr>
          <w:p w14:paraId="6CFF66A9"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12" w:type="pct"/>
          </w:tcPr>
          <w:p w14:paraId="1D124820"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360" w:type="pct"/>
          </w:tcPr>
          <w:p w14:paraId="6165A84C"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28" w:type="pct"/>
          </w:tcPr>
          <w:p w14:paraId="13F6600D"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85" w:type="pct"/>
          </w:tcPr>
          <w:p w14:paraId="6DCF9089"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507B6E88" w14:textId="77777777" w:rsidTr="00474CE7">
        <w:tc>
          <w:tcPr>
            <w:tcW w:w="208" w:type="pct"/>
            <w:shd w:val="clear" w:color="auto" w:fill="BFBFBF"/>
          </w:tcPr>
          <w:p w14:paraId="54DAA6D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79" w:type="pct"/>
          </w:tcPr>
          <w:p w14:paraId="633EEE9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91" w:type="pct"/>
          </w:tcPr>
          <w:p w14:paraId="00537C43"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OCTP</w:t>
            </w:r>
          </w:p>
        </w:tc>
        <w:tc>
          <w:tcPr>
            <w:tcW w:w="462" w:type="pct"/>
          </w:tcPr>
          <w:p w14:paraId="1DD2B750"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37CF288B"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2153325E"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73" w:type="pct"/>
          </w:tcPr>
          <w:p w14:paraId="0FBFF9C6"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12" w:type="pct"/>
          </w:tcPr>
          <w:p w14:paraId="52DDC831"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360" w:type="pct"/>
          </w:tcPr>
          <w:p w14:paraId="2155E089"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28" w:type="pct"/>
          </w:tcPr>
          <w:p w14:paraId="7693AE59"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85" w:type="pct"/>
          </w:tcPr>
          <w:p w14:paraId="1A949095"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6873F76B" w14:textId="77777777" w:rsidTr="00474CE7">
        <w:tc>
          <w:tcPr>
            <w:tcW w:w="208" w:type="pct"/>
            <w:shd w:val="clear" w:color="auto" w:fill="BFBFBF"/>
          </w:tcPr>
          <w:p w14:paraId="2A4C3F69"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79" w:type="pct"/>
          </w:tcPr>
          <w:p w14:paraId="4A29571E"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91" w:type="pct"/>
          </w:tcPr>
          <w:p w14:paraId="2EFFE7AD"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Fundusze Interreg</w:t>
            </w:r>
          </w:p>
        </w:tc>
        <w:tc>
          <w:tcPr>
            <w:tcW w:w="462" w:type="pct"/>
          </w:tcPr>
          <w:p w14:paraId="2A67A028"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6477DCDF"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656135A5"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73" w:type="pct"/>
          </w:tcPr>
          <w:p w14:paraId="5D53E497"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12" w:type="pct"/>
          </w:tcPr>
          <w:p w14:paraId="7675530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360" w:type="pct"/>
          </w:tcPr>
          <w:p w14:paraId="0DFF8CD7"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28" w:type="pct"/>
          </w:tcPr>
          <w:p w14:paraId="1FCABE4B"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85" w:type="pct"/>
          </w:tcPr>
          <w:p w14:paraId="3FF300D6"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r w:rsidR="008727F2" w:rsidRPr="008727F2" w14:paraId="06DC18A9" w14:textId="77777777" w:rsidTr="00474CE7">
        <w:tc>
          <w:tcPr>
            <w:tcW w:w="208" w:type="pct"/>
            <w:shd w:val="clear" w:color="auto" w:fill="BFBFBF"/>
          </w:tcPr>
          <w:p w14:paraId="43E7B05E"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79" w:type="pct"/>
          </w:tcPr>
          <w:p w14:paraId="2A65E097"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Razem</w:t>
            </w:r>
          </w:p>
        </w:tc>
        <w:tc>
          <w:tcPr>
            <w:tcW w:w="591" w:type="pct"/>
          </w:tcPr>
          <w:p w14:paraId="2165BD8D"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r>
              <w:rPr>
                <w:rFonts w:asciiTheme="minorHAnsi" w:hAnsiTheme="minorHAnsi"/>
                <w:b/>
                <w:color w:val="000000"/>
                <w:sz w:val="16"/>
              </w:rPr>
              <w:t>Wszystkie fundusze</w:t>
            </w:r>
          </w:p>
        </w:tc>
        <w:tc>
          <w:tcPr>
            <w:tcW w:w="462" w:type="pct"/>
          </w:tcPr>
          <w:p w14:paraId="572582A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5511C52A"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01" w:type="pct"/>
          </w:tcPr>
          <w:p w14:paraId="25C5B23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73" w:type="pct"/>
          </w:tcPr>
          <w:p w14:paraId="2C52357B"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12" w:type="pct"/>
          </w:tcPr>
          <w:p w14:paraId="68DA7930"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360" w:type="pct"/>
          </w:tcPr>
          <w:p w14:paraId="2068078C"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428" w:type="pct"/>
          </w:tcPr>
          <w:p w14:paraId="51F648EB"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c>
          <w:tcPr>
            <w:tcW w:w="585" w:type="pct"/>
          </w:tcPr>
          <w:p w14:paraId="70584F03"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16"/>
                <w:szCs w:val="16"/>
              </w:rPr>
            </w:pPr>
          </w:p>
        </w:tc>
      </w:tr>
    </w:tbl>
    <w:p w14:paraId="44AAB488" w14:textId="77777777" w:rsidR="008727F2" w:rsidRPr="008727F2" w:rsidRDefault="008727F2" w:rsidP="00454550">
      <w:pPr>
        <w:spacing w:before="240" w:after="240" w:line="240" w:lineRule="auto"/>
        <w:ind w:left="0"/>
        <w:rPr>
          <w:rFonts w:asciiTheme="minorHAnsi" w:hAnsiTheme="minorHAnsi"/>
          <w:lang w:val="en-GB"/>
        </w:rPr>
      </w:pPr>
    </w:p>
    <w:p w14:paraId="63DC9487" w14:textId="77777777" w:rsidR="008727F2" w:rsidRPr="008727F2" w:rsidRDefault="008727F2" w:rsidP="008727F2">
      <w:pPr>
        <w:spacing w:after="120" w:line="240" w:lineRule="auto"/>
        <w:rPr>
          <w:rFonts w:asciiTheme="minorHAnsi" w:hAnsiTheme="minorHAnsi"/>
          <w:i/>
          <w:sz w:val="24"/>
          <w:szCs w:val="24"/>
          <w:lang w:val="en-GB"/>
        </w:rPr>
        <w:sectPr w:rsidR="008727F2" w:rsidRPr="008727F2">
          <w:headerReference w:type="even" r:id="rId26"/>
          <w:headerReference w:type="default" r:id="rId27"/>
          <w:footerReference w:type="even" r:id="rId28"/>
          <w:headerReference w:type="first" r:id="rId29"/>
          <w:footerReference w:type="first" r:id="rId30"/>
          <w:pgSz w:w="11906" w:h="16838"/>
          <w:pgMar w:top="720" w:right="720" w:bottom="720" w:left="720" w:header="708" w:footer="708" w:gutter="0"/>
          <w:cols w:space="720" w:equalWidth="0">
            <w:col w:w="9406"/>
          </w:cols>
        </w:sectPr>
      </w:pPr>
    </w:p>
    <w:p w14:paraId="203AF80E" w14:textId="77777777" w:rsidR="008727F2" w:rsidRPr="00EB444C" w:rsidRDefault="008727F2" w:rsidP="00474CE7">
      <w:pPr>
        <w:pStyle w:val="CE-Headline1"/>
        <w:jc w:val="left"/>
      </w:pPr>
      <w:bookmarkStart w:id="117" w:name="_Toc71036615"/>
      <w:r>
        <w:lastRenderedPageBreak/>
        <w:t>Działania podejmowane w celu zaangażowania właściwych partnerów programu w przygotowanie programu Interreg i rola takich partnerów programu w realizacji, monitorowaniu i ocenie</w:t>
      </w:r>
      <w:bookmarkEnd w:id="117"/>
    </w:p>
    <w:p w14:paraId="114AF1FA" w14:textId="77777777" w:rsidR="008727F2" w:rsidRPr="00D80606" w:rsidRDefault="008727F2" w:rsidP="00454550">
      <w:pPr>
        <w:ind w:left="0"/>
        <w:rPr>
          <w:rFonts w:asciiTheme="minorHAnsi" w:hAnsiTheme="minorHAnsi"/>
          <w:color w:val="000000"/>
        </w:rPr>
      </w:pPr>
      <w:r w:rsidRPr="00D80606">
        <w:rPr>
          <w:rFonts w:asciiTheme="minorHAnsi" w:hAnsiTheme="minorHAnsi"/>
          <w:color w:val="000000"/>
        </w:rPr>
        <w:t>Podstawa: art. 17 ust. 4 lit. 4</w:t>
      </w:r>
    </w:p>
    <w:p w14:paraId="0331C2D7" w14:textId="77777777" w:rsidR="009D6035" w:rsidRPr="00D80606" w:rsidRDefault="009D6035" w:rsidP="00454550">
      <w:pPr>
        <w:ind w:left="0"/>
        <w:rPr>
          <w:rFonts w:asciiTheme="minorHAnsi" w:hAnsiTheme="minorHAnsi"/>
          <w:color w:val="000000"/>
        </w:rPr>
      </w:pPr>
      <w:r w:rsidRPr="00D80606">
        <w:rPr>
          <w:rFonts w:asciiTheme="minorHAnsi" w:hAnsiTheme="minorHAnsi"/>
          <w:color w:val="000000"/>
        </w:rPr>
        <w:t>Pole tekstowe [10 000]</w:t>
      </w:r>
    </w:p>
    <w:tbl>
      <w:tblPr>
        <w:tblStyle w:val="8"/>
        <w:tblW w:w="93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94"/>
      </w:tblGrid>
      <w:tr w:rsidR="008727F2" w:rsidRPr="00F56EF1" w14:paraId="204046B6" w14:textId="77777777" w:rsidTr="00D80606">
        <w:trPr>
          <w:trHeight w:val="489"/>
        </w:trPr>
        <w:tc>
          <w:tcPr>
            <w:tcW w:w="9394" w:type="dxa"/>
          </w:tcPr>
          <w:p w14:paraId="7E957A7B" w14:textId="4EE9EEEB" w:rsidR="000F5AC4" w:rsidRPr="00D80606" w:rsidRDefault="000F5AC4" w:rsidP="00474CE7">
            <w:pPr>
              <w:spacing w:after="120"/>
              <w:ind w:left="0" w:right="0"/>
              <w:jc w:val="left"/>
              <w:rPr>
                <w:rFonts w:ascii="Trebuchet MS" w:eastAsia="Times New Roman" w:hAnsi="Trebuchet MS" w:cs="Times New Roman"/>
                <w:sz w:val="24"/>
                <w:szCs w:val="24"/>
              </w:rPr>
            </w:pPr>
            <w:r w:rsidRPr="00D80606">
              <w:rPr>
                <w:rFonts w:ascii="Trebuchet MS" w:hAnsi="Trebuchet MS"/>
                <w:sz w:val="24"/>
                <w:szCs w:val="24"/>
              </w:rPr>
              <w:t xml:space="preserve">Zgodnie z wymogami regulacyjnymi określonymi w art. 6 rozporządzenia w sprawie wspólnych przepisów, IZ/WS Interreg EUROPA ŚRODKOWA zaangażowały szerokie grono odpowiednich partnerów w przygotowanie nowego programu współpracy transnarodowej na lata 2021-27. </w:t>
            </w:r>
          </w:p>
          <w:p w14:paraId="653405D2" w14:textId="407D33E5" w:rsidR="004F46E6" w:rsidRPr="00D80606" w:rsidRDefault="004F46E6" w:rsidP="00474CE7">
            <w:pPr>
              <w:pStyle w:val="CE-StandardText"/>
              <w:jc w:val="left"/>
              <w:rPr>
                <w:rFonts w:eastAsia="Times New Roman" w:cs="Times New Roman"/>
                <w:sz w:val="24"/>
                <w:szCs w:val="24"/>
              </w:rPr>
            </w:pPr>
            <w:r w:rsidRPr="00D80606">
              <w:rPr>
                <w:sz w:val="24"/>
                <w:szCs w:val="24"/>
              </w:rPr>
              <w:t>Rozważając zaangażowanie partnerów, należy wziąć pod uwagę również ciągłe działania podejmowane na poziomie krajowym. Wykwalifikowani interesariusze i eksperci są regularnie włączani we wszystkie decyzje dotyczące programowania i wdrażania za pośrednictwem komitetów krajowych lub innych mechanizmów i organów. Środki przedstawione w niniejszym rozdziale stanowią zatem uzupełnienie tych już dobrze ugruntowanych działań.</w:t>
            </w:r>
          </w:p>
          <w:p w14:paraId="4788BBB7" w14:textId="6E49A44A" w:rsidR="000F5AC4" w:rsidRPr="00D80606" w:rsidRDefault="00047AA9" w:rsidP="00474CE7">
            <w:pPr>
              <w:pStyle w:val="CE-StandardText"/>
              <w:jc w:val="left"/>
              <w:rPr>
                <w:rFonts w:eastAsia="Times New Roman" w:cs="Times New Roman"/>
                <w:sz w:val="24"/>
                <w:szCs w:val="24"/>
              </w:rPr>
            </w:pPr>
            <w:r w:rsidRPr="00D80606">
              <w:rPr>
                <w:sz w:val="24"/>
                <w:szCs w:val="24"/>
              </w:rPr>
              <w:t>Ogólnie rzecz biorąc, kompleksowy proces zaangażowania partnerów programu Interreg EUROPA ŚRODKOWA wniósł dużą wartość dodaną do procesu programowania poprzez zebranie informacji zwrotnych i danych, tak</w:t>
            </w:r>
            <w:r w:rsidR="0066061C" w:rsidRPr="00D80606">
              <w:rPr>
                <w:sz w:val="24"/>
                <w:szCs w:val="24"/>
              </w:rPr>
              <w:t xml:space="preserve"> aby</w:t>
            </w:r>
            <w:r w:rsidRPr="00D80606">
              <w:rPr>
                <w:sz w:val="24"/>
                <w:szCs w:val="24"/>
              </w:rPr>
              <w:t xml:space="preserve"> możliwe było:</w:t>
            </w:r>
          </w:p>
          <w:p w14:paraId="63963F35" w14:textId="1C09E710" w:rsidR="000F5AC4" w:rsidRPr="00D80606" w:rsidRDefault="000F5AC4" w:rsidP="00474CE7">
            <w:pPr>
              <w:pStyle w:val="CE-StandardText"/>
              <w:numPr>
                <w:ilvl w:val="0"/>
                <w:numId w:val="65"/>
              </w:numPr>
              <w:jc w:val="left"/>
              <w:rPr>
                <w:rFonts w:eastAsia="Times New Roman" w:cs="Times New Roman"/>
                <w:sz w:val="24"/>
                <w:szCs w:val="24"/>
              </w:rPr>
            </w:pPr>
            <w:r w:rsidRPr="00D80606">
              <w:rPr>
                <w:sz w:val="24"/>
                <w:szCs w:val="24"/>
              </w:rPr>
              <w:t>Określanie i zatwierdzanie potrzeb w zakresie współpracy transnarodowej w świetle kluczowych wyzwań terytorialnych</w:t>
            </w:r>
          </w:p>
          <w:p w14:paraId="1603CB65" w14:textId="42F20ACF" w:rsidR="000F5AC4" w:rsidRPr="00D80606" w:rsidRDefault="000F5AC4" w:rsidP="00474CE7">
            <w:pPr>
              <w:pStyle w:val="CE-StandardText"/>
              <w:numPr>
                <w:ilvl w:val="0"/>
                <w:numId w:val="65"/>
              </w:numPr>
              <w:spacing w:before="60"/>
              <w:jc w:val="left"/>
              <w:rPr>
                <w:rFonts w:eastAsia="Times New Roman" w:cs="Times New Roman"/>
                <w:sz w:val="24"/>
                <w:szCs w:val="24"/>
              </w:rPr>
            </w:pPr>
            <w:r w:rsidRPr="00D80606">
              <w:rPr>
                <w:sz w:val="24"/>
                <w:szCs w:val="24"/>
              </w:rPr>
              <w:t>Określanie i zatwierdzanie wyborów strategicznych podejmowanych w związku z wyborem tematycznym</w:t>
            </w:r>
          </w:p>
          <w:p w14:paraId="2A9E8DD3" w14:textId="5A95714D" w:rsidR="000F5AC4" w:rsidRPr="00D80606" w:rsidRDefault="000F5AC4" w:rsidP="00474CE7">
            <w:pPr>
              <w:pStyle w:val="CE-StandardText"/>
              <w:numPr>
                <w:ilvl w:val="0"/>
                <w:numId w:val="65"/>
              </w:numPr>
              <w:spacing w:before="60"/>
              <w:jc w:val="left"/>
              <w:rPr>
                <w:rFonts w:eastAsia="Times New Roman" w:cs="Times New Roman"/>
                <w:sz w:val="24"/>
                <w:szCs w:val="24"/>
              </w:rPr>
            </w:pPr>
            <w:r w:rsidRPr="00D80606">
              <w:rPr>
                <w:sz w:val="24"/>
                <w:szCs w:val="24"/>
              </w:rPr>
              <w:t>Zbieranie informacji zwrotnych i pomysłów na możliwe działania i grupy docelowe, które mają być wspierane</w:t>
            </w:r>
          </w:p>
          <w:p w14:paraId="1FB3B0F8" w14:textId="32288977" w:rsidR="000F5AC4" w:rsidRPr="00D80606" w:rsidRDefault="000F5AC4" w:rsidP="00474CE7">
            <w:pPr>
              <w:pStyle w:val="CE-StandardText"/>
              <w:numPr>
                <w:ilvl w:val="0"/>
                <w:numId w:val="65"/>
              </w:numPr>
              <w:spacing w:before="60"/>
              <w:jc w:val="left"/>
              <w:rPr>
                <w:rFonts w:eastAsia="Times New Roman" w:cs="Times New Roman"/>
                <w:sz w:val="24"/>
                <w:szCs w:val="24"/>
              </w:rPr>
            </w:pPr>
            <w:r w:rsidRPr="00D80606">
              <w:rPr>
                <w:sz w:val="24"/>
                <w:szCs w:val="24"/>
              </w:rPr>
              <w:t>Prowadzenie koordynacji z sąsiednimi programami Interreg i innymi instrumentami terytorialnymi</w:t>
            </w:r>
          </w:p>
          <w:p w14:paraId="4B98E15A" w14:textId="582E62AF" w:rsidR="000F5AC4" w:rsidRPr="00D80606" w:rsidRDefault="000F5AC4" w:rsidP="00474CE7">
            <w:pPr>
              <w:pStyle w:val="CE-StandardText"/>
              <w:numPr>
                <w:ilvl w:val="0"/>
                <w:numId w:val="65"/>
              </w:numPr>
              <w:spacing w:before="60"/>
              <w:jc w:val="left"/>
              <w:rPr>
                <w:rFonts w:eastAsia="Times New Roman" w:cs="Times New Roman"/>
                <w:sz w:val="24"/>
                <w:szCs w:val="24"/>
              </w:rPr>
            </w:pPr>
            <w:r w:rsidRPr="00D80606">
              <w:rPr>
                <w:sz w:val="24"/>
                <w:szCs w:val="24"/>
              </w:rPr>
              <w:t>Zatwierdzanie ewentualnego wpływu nowego programu na środowisko</w:t>
            </w:r>
          </w:p>
          <w:p w14:paraId="731DF1A4" w14:textId="087121CA" w:rsidR="000F5AC4" w:rsidRPr="00D80606" w:rsidRDefault="000F5AC4">
            <w:pPr>
              <w:pStyle w:val="CE-StandardText"/>
              <w:rPr>
                <w:rFonts w:asciiTheme="minorHAnsi" w:eastAsia="Times New Roman" w:hAnsiTheme="minorHAnsi" w:cs="Times New Roman"/>
                <w:color w:val="000000"/>
                <w:sz w:val="24"/>
                <w:szCs w:val="24"/>
              </w:rPr>
            </w:pPr>
            <w:r w:rsidRPr="00D80606">
              <w:rPr>
                <w:rFonts w:asciiTheme="minorHAnsi" w:hAnsiTheme="minorHAnsi"/>
                <w:color w:val="000000"/>
                <w:sz w:val="24"/>
                <w:szCs w:val="24"/>
              </w:rPr>
              <w:t>Proces angażowania partnerów został podzielony na trzy fazy na różnych etapach opracowywania nowego programu. W późniejszym okresie realizacji programu zostaną przeprowadzone dodatkowe etapy w celu zapewnienia ciągłej adekwatności programu oraz zwiększenia jego skuteczności i efektywności.</w:t>
            </w:r>
          </w:p>
          <w:p w14:paraId="5ECC04FB" w14:textId="683ABD22" w:rsidR="000F5AC4" w:rsidRPr="00D80606" w:rsidRDefault="000F5AC4">
            <w:pPr>
              <w:pStyle w:val="CE-StandardText"/>
              <w:rPr>
                <w:rFonts w:asciiTheme="minorHAnsi" w:eastAsia="Times New Roman" w:hAnsiTheme="minorHAnsi" w:cs="Times New Roman"/>
                <w:color w:val="000000"/>
                <w:sz w:val="24"/>
                <w:szCs w:val="24"/>
              </w:rPr>
            </w:pPr>
            <w:r w:rsidRPr="00D80606">
              <w:rPr>
                <w:rFonts w:asciiTheme="minorHAnsi" w:hAnsiTheme="minorHAnsi"/>
                <w:color w:val="000000"/>
                <w:sz w:val="24"/>
                <w:szCs w:val="24"/>
              </w:rPr>
              <w:t xml:space="preserve">We wszystkich fazach angażowania na stronie internetowej programu dostępna była specjalna strona typu </w:t>
            </w:r>
            <w:r w:rsidRPr="008A72BA">
              <w:rPr>
                <w:rFonts w:asciiTheme="minorHAnsi" w:hAnsiTheme="minorHAnsi"/>
                <w:color w:val="000000"/>
                <w:sz w:val="24"/>
                <w:szCs w:val="24"/>
              </w:rPr>
              <w:t>landing page</w:t>
            </w:r>
            <w:r w:rsidRPr="00D80606">
              <w:rPr>
                <w:rFonts w:asciiTheme="minorHAnsi" w:hAnsiTheme="minorHAnsi"/>
                <w:color w:val="000000"/>
                <w:sz w:val="24"/>
                <w:szCs w:val="24"/>
              </w:rPr>
              <w:t xml:space="preserve">. Zapewniała ona, że partnerzy byli na bieżąco informowani o procesie programowania oraz że dokumenty przygotowawcze i rezultaty były publikowane na </w:t>
            </w:r>
            <w:hyperlink r:id="rId31" w:tooltip="Oficjalna strona internetowa programu Interreg Europa Środkowa w języku angielskim " w:history="1">
              <w:r w:rsidRPr="00D80606">
                <w:rPr>
                  <w:rStyle w:val="Hipercze"/>
                  <w:sz w:val="24"/>
                  <w:szCs w:val="24"/>
                </w:rPr>
                <w:t>stronie</w:t>
              </w:r>
              <w:r w:rsidR="00F56EF1" w:rsidRPr="00AD28AF">
                <w:rPr>
                  <w:rStyle w:val="Hipercze"/>
                  <w:rFonts w:asciiTheme="minorHAnsi" w:hAnsiTheme="minorHAnsi"/>
                  <w:sz w:val="24"/>
                  <w:szCs w:val="24"/>
                </w:rPr>
                <w:t xml:space="preserve"> internetowej programu Interreg Europa Środkowa</w:t>
              </w:r>
            </w:hyperlink>
            <w:r w:rsidRPr="00D80606">
              <w:rPr>
                <w:rFonts w:asciiTheme="minorHAnsi" w:hAnsiTheme="minorHAnsi"/>
                <w:color w:val="000000"/>
                <w:sz w:val="24"/>
                <w:szCs w:val="24"/>
              </w:rPr>
              <w:t>.</w:t>
            </w:r>
          </w:p>
          <w:p w14:paraId="53E7FA4F" w14:textId="77777777" w:rsidR="000F5AC4" w:rsidRPr="00D80606" w:rsidRDefault="000F5AC4">
            <w:pPr>
              <w:pStyle w:val="CE-StandardText"/>
              <w:rPr>
                <w:rFonts w:asciiTheme="minorHAnsi" w:eastAsia="Times New Roman" w:hAnsiTheme="minorHAnsi" w:cs="Times New Roman"/>
                <w:color w:val="000000"/>
                <w:sz w:val="24"/>
                <w:szCs w:val="24"/>
              </w:rPr>
            </w:pPr>
            <w:r w:rsidRPr="00D80606">
              <w:rPr>
                <w:rFonts w:asciiTheme="minorHAnsi" w:hAnsiTheme="minorHAnsi"/>
                <w:color w:val="000000"/>
                <w:sz w:val="24"/>
                <w:szCs w:val="24"/>
              </w:rPr>
              <w:t xml:space="preserve"> </w:t>
            </w:r>
          </w:p>
          <w:p w14:paraId="057A7C79" w14:textId="77777777" w:rsidR="000F5AC4" w:rsidRPr="00D80606" w:rsidRDefault="000F5AC4">
            <w:pPr>
              <w:pStyle w:val="CE-StandardText"/>
              <w:rPr>
                <w:rFonts w:asciiTheme="minorHAnsi" w:eastAsia="Times New Roman" w:hAnsiTheme="minorHAnsi" w:cs="Times New Roman"/>
                <w:color w:val="000000"/>
                <w:sz w:val="24"/>
                <w:szCs w:val="24"/>
                <w:u w:val="single"/>
              </w:rPr>
            </w:pPr>
            <w:r w:rsidRPr="00D80606">
              <w:rPr>
                <w:rFonts w:asciiTheme="minorHAnsi" w:hAnsiTheme="minorHAnsi"/>
                <w:color w:val="000000"/>
                <w:sz w:val="24"/>
                <w:szCs w:val="24"/>
                <w:u w:val="single"/>
              </w:rPr>
              <w:t>Faza zaangażowania 1: Wyzwania terytorialne i strategia programu</w:t>
            </w:r>
          </w:p>
          <w:p w14:paraId="4705E448" w14:textId="0C520A7E" w:rsidR="000F5AC4" w:rsidRPr="00D80606" w:rsidRDefault="00F971A1" w:rsidP="00474CE7">
            <w:pPr>
              <w:pStyle w:val="CE-StandardText"/>
              <w:jc w:val="left"/>
              <w:rPr>
                <w:rFonts w:asciiTheme="minorHAnsi" w:eastAsia="Times New Roman" w:hAnsiTheme="minorHAnsi" w:cs="Times New Roman"/>
                <w:color w:val="000000"/>
                <w:sz w:val="24"/>
                <w:szCs w:val="24"/>
              </w:rPr>
            </w:pPr>
            <w:r w:rsidRPr="00D80606">
              <w:rPr>
                <w:rFonts w:asciiTheme="minorHAnsi" w:hAnsiTheme="minorHAnsi"/>
                <w:color w:val="000000"/>
                <w:sz w:val="24"/>
                <w:szCs w:val="24"/>
              </w:rPr>
              <w:lastRenderedPageBreak/>
              <w:t>Od jesieni 2019 r. do wiosny 2020 r. następujące działania transnarodowe zaangażowały ponad 500 odpowiednich partnerów z całej Europy Środkowej w rozwój nowego programu:</w:t>
            </w:r>
          </w:p>
          <w:p w14:paraId="48136C15" w14:textId="48FC4A14" w:rsidR="000F5AC4" w:rsidRPr="00D80606" w:rsidRDefault="000F5AC4">
            <w:pPr>
              <w:pStyle w:val="CE-BulletPoint1"/>
              <w:numPr>
                <w:ilvl w:val="0"/>
                <w:numId w:val="66"/>
              </w:numPr>
              <w:jc w:val="both"/>
              <w:rPr>
                <w:rFonts w:asciiTheme="minorHAnsi" w:eastAsia="Times New Roman" w:hAnsiTheme="minorHAnsi" w:cs="Times New Roman"/>
                <w:sz w:val="24"/>
                <w:szCs w:val="24"/>
              </w:rPr>
            </w:pPr>
            <w:r w:rsidRPr="00D80606">
              <w:rPr>
                <w:rFonts w:asciiTheme="minorHAnsi" w:hAnsiTheme="minorHAnsi"/>
                <w:sz w:val="24"/>
                <w:szCs w:val="24"/>
              </w:rPr>
              <w:t>Badanie potrzeb i wyzwań terytorialnych (wrzesień - październik 2019 r.):</w:t>
            </w:r>
          </w:p>
          <w:p w14:paraId="2C2637DF" w14:textId="77777777" w:rsidR="000F5AC4" w:rsidRPr="00D80606" w:rsidRDefault="000F5AC4">
            <w:pPr>
              <w:pStyle w:val="CE-BulletPoint1"/>
              <w:numPr>
                <w:ilvl w:val="0"/>
                <w:numId w:val="0"/>
              </w:numPr>
              <w:spacing w:before="0"/>
              <w:ind w:left="873"/>
              <w:jc w:val="both"/>
              <w:rPr>
                <w:rFonts w:asciiTheme="minorHAnsi" w:eastAsia="Times New Roman" w:hAnsiTheme="minorHAnsi" w:cs="Times New Roman"/>
                <w:sz w:val="24"/>
                <w:szCs w:val="24"/>
              </w:rPr>
            </w:pPr>
            <w:r w:rsidRPr="00D80606">
              <w:rPr>
                <w:rFonts w:asciiTheme="minorHAnsi" w:hAnsiTheme="minorHAnsi"/>
                <w:sz w:val="24"/>
                <w:szCs w:val="24"/>
              </w:rPr>
              <w:t>Badanie to zostało skierowane do komitetów krajowych i ekspertów tematycznych w celu zebrania przede wszystkim danych ilościowych na temat dziedzin tematycznych, w których istnieje największe zapotrzebowanie na współpracę transnarodową. Otrzymano ponad 300 odpowiedzi ze wszystkich dziewięciu krajów objętych programem.</w:t>
            </w:r>
          </w:p>
          <w:p w14:paraId="513A4279" w14:textId="77777777" w:rsidR="000F5AC4" w:rsidRPr="00D80606" w:rsidRDefault="000F5AC4">
            <w:pPr>
              <w:pStyle w:val="CE-BulletPoint1"/>
              <w:numPr>
                <w:ilvl w:val="0"/>
                <w:numId w:val="66"/>
              </w:numPr>
              <w:jc w:val="both"/>
              <w:rPr>
                <w:rFonts w:asciiTheme="minorHAnsi" w:eastAsia="Times New Roman" w:hAnsiTheme="minorHAnsi" w:cs="Times New Roman"/>
                <w:sz w:val="24"/>
                <w:szCs w:val="24"/>
              </w:rPr>
            </w:pPr>
            <w:r w:rsidRPr="00D80606">
              <w:rPr>
                <w:rFonts w:asciiTheme="minorHAnsi" w:hAnsiTheme="minorHAnsi"/>
                <w:sz w:val="24"/>
                <w:szCs w:val="24"/>
              </w:rPr>
              <w:t>Sesja partycypacyjna podczas Europejskiego Tygodnia Regionów (9 października 2019 r.):</w:t>
            </w:r>
          </w:p>
          <w:p w14:paraId="4314FB57" w14:textId="77777777" w:rsidR="000F5AC4" w:rsidRPr="00D80606" w:rsidRDefault="000F5AC4">
            <w:pPr>
              <w:pStyle w:val="CE-BulletPoint1"/>
              <w:numPr>
                <w:ilvl w:val="0"/>
                <w:numId w:val="0"/>
              </w:numPr>
              <w:spacing w:before="0"/>
              <w:ind w:left="873"/>
              <w:jc w:val="both"/>
              <w:rPr>
                <w:rFonts w:asciiTheme="minorHAnsi" w:eastAsia="Times New Roman" w:hAnsiTheme="minorHAnsi" w:cs="Times New Roman"/>
                <w:sz w:val="24"/>
                <w:szCs w:val="24"/>
              </w:rPr>
            </w:pPr>
            <w:r w:rsidRPr="00D80606">
              <w:rPr>
                <w:rFonts w:asciiTheme="minorHAnsi" w:hAnsiTheme="minorHAnsi"/>
                <w:sz w:val="24"/>
                <w:szCs w:val="24"/>
              </w:rPr>
              <w:t>Sesja ta została zorganizowana w Brukseli w ramach Europejskiego Tygodnia Regionów i Miast 2019. Utworzono tematyczne grupy dyskusyjne w celu zebrania pomysłów i opinii na temat wszystkich celów polityki oraz w celu przeprowadzenia burzy mózgów na temat bardziej szczegółowych danych, by poprzeć logikę interwencji. Wyniki sesji z udziałem około 50 uczestników zostały udokumentowane w mapach myśli i wykorzystane w raporcie eksperckim z zaleceniami politycznymi dla grupy roboczej CE21+.</w:t>
            </w:r>
          </w:p>
          <w:p w14:paraId="16FB1B37" w14:textId="77777777" w:rsidR="000F5AC4" w:rsidRPr="00D80606" w:rsidRDefault="000F5AC4">
            <w:pPr>
              <w:pStyle w:val="CE-BulletPoint1"/>
              <w:numPr>
                <w:ilvl w:val="0"/>
                <w:numId w:val="66"/>
              </w:numPr>
              <w:jc w:val="both"/>
              <w:rPr>
                <w:rFonts w:asciiTheme="minorHAnsi" w:eastAsia="Times New Roman" w:hAnsiTheme="minorHAnsi" w:cs="Times New Roman"/>
                <w:sz w:val="24"/>
                <w:szCs w:val="24"/>
              </w:rPr>
            </w:pPr>
            <w:r w:rsidRPr="00D80606">
              <w:rPr>
                <w:rFonts w:asciiTheme="minorHAnsi" w:hAnsiTheme="minorHAnsi"/>
                <w:sz w:val="24"/>
                <w:szCs w:val="24"/>
              </w:rPr>
              <w:t>Warsztaty budowania strategii i konsensusu (13 listopada 2019 r.):</w:t>
            </w:r>
          </w:p>
          <w:p w14:paraId="3A4FC1F5" w14:textId="6DE42153" w:rsidR="000F5AC4" w:rsidRPr="00D80606" w:rsidRDefault="000F5AC4">
            <w:pPr>
              <w:pStyle w:val="CE-BulletPoint1"/>
              <w:numPr>
                <w:ilvl w:val="0"/>
                <w:numId w:val="0"/>
              </w:numPr>
              <w:spacing w:before="0"/>
              <w:ind w:left="873"/>
              <w:jc w:val="both"/>
              <w:rPr>
                <w:rFonts w:asciiTheme="minorHAnsi" w:eastAsia="Times New Roman" w:hAnsiTheme="minorHAnsi" w:cs="Times New Roman"/>
                <w:sz w:val="24"/>
                <w:szCs w:val="24"/>
              </w:rPr>
            </w:pPr>
            <w:r w:rsidRPr="00D80606">
              <w:rPr>
                <w:rFonts w:asciiTheme="minorHAnsi" w:hAnsiTheme="minorHAnsi"/>
                <w:sz w:val="24"/>
                <w:szCs w:val="24"/>
              </w:rPr>
              <w:t>Oprócz członków komitetu programowego Interreg EUROPA ŚRODKOWA, zaproszono ekspertów tematycznych z poziomu krajowego i regionalnego do dyskusji na temat preferencji strategicznych oraz do budowania transnarodowego konsensusu w sprawie wyborów politycznych. Podczas warsztatów zebrano również od około 50 uczestników wstępne informacje dotyczące potencjalnych obszarów tematycznych, działań i odbiorców docelowych. Wyniki debaty zostały wykorzystane w sprawozdaniu ekspertów zawierającym zalecenia dotyczące polityki.</w:t>
            </w:r>
          </w:p>
          <w:p w14:paraId="20D09797" w14:textId="23318CA2" w:rsidR="000F5AC4" w:rsidRPr="00D80606" w:rsidRDefault="000F5AC4">
            <w:pPr>
              <w:pStyle w:val="CE-BulletPoint1"/>
              <w:numPr>
                <w:ilvl w:val="0"/>
                <w:numId w:val="66"/>
              </w:numPr>
              <w:jc w:val="both"/>
              <w:rPr>
                <w:rFonts w:asciiTheme="minorHAnsi" w:eastAsia="Times New Roman" w:hAnsiTheme="minorHAnsi" w:cs="Times New Roman"/>
                <w:color w:val="000000"/>
                <w:sz w:val="24"/>
                <w:szCs w:val="24"/>
              </w:rPr>
            </w:pPr>
            <w:r w:rsidRPr="00D80606">
              <w:rPr>
                <w:rFonts w:asciiTheme="minorHAnsi" w:hAnsiTheme="minorHAnsi"/>
                <w:sz w:val="24"/>
                <w:szCs w:val="24"/>
              </w:rPr>
              <w:t>Kwestionariusz służący zebraniu krajowych informacji zwrotnych na temat strategii (marzec 2020 r.</w:t>
            </w:r>
            <w:r w:rsidRPr="00D80606">
              <w:rPr>
                <w:rFonts w:asciiTheme="minorHAnsi" w:hAnsiTheme="minorHAnsi"/>
                <w:color w:val="000000"/>
                <w:sz w:val="24"/>
                <w:szCs w:val="24"/>
              </w:rPr>
              <w:t>)</w:t>
            </w:r>
            <w:r w:rsidRPr="00D80606">
              <w:rPr>
                <w:rFonts w:asciiTheme="minorHAnsi" w:hAnsiTheme="minorHAnsi"/>
                <w:sz w:val="24"/>
                <w:szCs w:val="24"/>
              </w:rPr>
              <w:t>:</w:t>
            </w:r>
          </w:p>
          <w:p w14:paraId="7D544F8C" w14:textId="5E40256D" w:rsidR="000F5AC4" w:rsidRPr="00D80606" w:rsidRDefault="000F5AC4">
            <w:pPr>
              <w:pStyle w:val="CE-BulletPoint1"/>
              <w:numPr>
                <w:ilvl w:val="0"/>
                <w:numId w:val="0"/>
              </w:numPr>
              <w:spacing w:before="0"/>
              <w:ind w:left="873"/>
              <w:jc w:val="both"/>
              <w:rPr>
                <w:rFonts w:asciiTheme="minorHAnsi" w:eastAsia="Times New Roman" w:hAnsiTheme="minorHAnsi" w:cs="Times New Roman"/>
                <w:sz w:val="24"/>
                <w:szCs w:val="24"/>
              </w:rPr>
            </w:pPr>
            <w:r w:rsidRPr="00D80606">
              <w:rPr>
                <w:rFonts w:asciiTheme="minorHAnsi" w:hAnsiTheme="minorHAnsi"/>
                <w:sz w:val="24"/>
                <w:szCs w:val="24"/>
              </w:rPr>
              <w:t>Kwestionariusz ten został skierowany do wykwalifikowanych krajowych i regionalnych interesariuszy w celu zebrania informacji zwrotnych na temat projektu strategii programu przed spotkaniem komitetu programowego Interreg EUROPA ŚRODKOWA.</w:t>
            </w:r>
          </w:p>
          <w:p w14:paraId="267CA9F1" w14:textId="3F184A04" w:rsidR="000F5AC4" w:rsidRPr="00D80606" w:rsidRDefault="000F5AC4">
            <w:pPr>
              <w:pStyle w:val="CE-BulletPoint1"/>
              <w:numPr>
                <w:ilvl w:val="0"/>
                <w:numId w:val="0"/>
              </w:numPr>
              <w:jc w:val="both"/>
              <w:rPr>
                <w:rFonts w:asciiTheme="minorHAnsi" w:eastAsia="Times New Roman" w:hAnsiTheme="minorHAnsi" w:cs="Times New Roman"/>
                <w:color w:val="000000"/>
                <w:sz w:val="24"/>
                <w:szCs w:val="24"/>
              </w:rPr>
            </w:pPr>
            <w:r w:rsidRPr="00D80606">
              <w:rPr>
                <w:rFonts w:asciiTheme="minorHAnsi" w:hAnsiTheme="minorHAnsi"/>
                <w:color w:val="000000"/>
                <w:sz w:val="24"/>
                <w:szCs w:val="24"/>
              </w:rPr>
              <w:t xml:space="preserve">Pomimo drastycznych ograniczeń w zakresie organizacji wydarzeń i podróży w związku z pandemią COVID-19, Interreg EUROPA ŚRODKOWA był zaangażowany w kontynuację swoich działań w celu zebrania bardziej konkretnych pomysłów dotyczących obszarów tematycznych, działań transnarodowych i grup docelowych. </w:t>
            </w:r>
          </w:p>
          <w:p w14:paraId="1790549A" w14:textId="77777777" w:rsidR="000F5AC4" w:rsidRPr="00D80606" w:rsidRDefault="000F5AC4">
            <w:pPr>
              <w:pStyle w:val="CE-BulletPoint1"/>
              <w:numPr>
                <w:ilvl w:val="0"/>
                <w:numId w:val="0"/>
              </w:numPr>
              <w:jc w:val="both"/>
              <w:rPr>
                <w:rFonts w:asciiTheme="minorHAnsi" w:eastAsia="Times New Roman" w:hAnsiTheme="minorHAnsi" w:cs="Times New Roman"/>
                <w:color w:val="000000"/>
                <w:sz w:val="24"/>
                <w:szCs w:val="24"/>
                <w:lang w:eastAsia="en-US"/>
              </w:rPr>
            </w:pPr>
          </w:p>
          <w:p w14:paraId="170A4774" w14:textId="0CE003F7" w:rsidR="000F5AC4" w:rsidRPr="00D80606" w:rsidRDefault="000F5AC4">
            <w:pPr>
              <w:pStyle w:val="CE-BulletPoint1"/>
              <w:numPr>
                <w:ilvl w:val="0"/>
                <w:numId w:val="0"/>
              </w:numPr>
              <w:jc w:val="both"/>
              <w:rPr>
                <w:rFonts w:asciiTheme="minorHAnsi" w:eastAsia="Times New Roman" w:hAnsiTheme="minorHAnsi" w:cs="Times New Roman"/>
                <w:color w:val="000000"/>
                <w:sz w:val="24"/>
                <w:szCs w:val="24"/>
                <w:u w:val="single"/>
              </w:rPr>
            </w:pPr>
            <w:r w:rsidRPr="00D80606">
              <w:rPr>
                <w:rFonts w:asciiTheme="minorHAnsi" w:hAnsiTheme="minorHAnsi"/>
                <w:color w:val="000000"/>
                <w:sz w:val="24"/>
                <w:szCs w:val="24"/>
                <w:u w:val="single"/>
              </w:rPr>
              <w:t xml:space="preserve">Faza zaangażowania 2: Logika interwencji programowych </w:t>
            </w:r>
          </w:p>
          <w:p w14:paraId="0063E6C4" w14:textId="3076A3CF" w:rsidR="000F5AC4" w:rsidRPr="00D80606" w:rsidRDefault="000F5AC4" w:rsidP="00474CE7">
            <w:pPr>
              <w:pStyle w:val="CE-BulletPoint1"/>
              <w:ind w:left="0"/>
              <w:rPr>
                <w:rFonts w:asciiTheme="minorHAnsi" w:eastAsia="Times New Roman" w:hAnsiTheme="minorHAnsi" w:cs="Times New Roman"/>
                <w:color w:val="000000"/>
                <w:sz w:val="24"/>
                <w:szCs w:val="24"/>
              </w:rPr>
            </w:pPr>
            <w:r w:rsidRPr="00D80606">
              <w:rPr>
                <w:rFonts w:asciiTheme="minorHAnsi" w:hAnsiTheme="minorHAnsi"/>
                <w:color w:val="000000"/>
                <w:sz w:val="24"/>
                <w:szCs w:val="24"/>
              </w:rPr>
              <w:t xml:space="preserve">W czerwcu 2020 r. w ramach programu uruchomiono dwuetapowy proces konsultacji, który opierał się na dyskusjach tematycznych i wstępnych decyzjach </w:t>
            </w:r>
            <w:r w:rsidRPr="00D80606">
              <w:rPr>
                <w:rFonts w:asciiTheme="minorHAnsi" w:hAnsiTheme="minorHAnsi"/>
                <w:color w:val="000000"/>
                <w:sz w:val="24"/>
                <w:szCs w:val="24"/>
              </w:rPr>
              <w:lastRenderedPageBreak/>
              <w:t xml:space="preserve">podjętych przez </w:t>
            </w:r>
            <w:r w:rsidR="00BC325A" w:rsidRPr="00D80606">
              <w:rPr>
                <w:rFonts w:asciiTheme="minorHAnsi" w:hAnsiTheme="minorHAnsi"/>
                <w:color w:val="000000"/>
                <w:sz w:val="24"/>
                <w:szCs w:val="24"/>
              </w:rPr>
              <w:t>g</w:t>
            </w:r>
            <w:r w:rsidRPr="00D80606">
              <w:rPr>
                <w:rFonts w:asciiTheme="minorHAnsi" w:hAnsiTheme="minorHAnsi"/>
                <w:color w:val="000000"/>
                <w:sz w:val="24"/>
                <w:szCs w:val="24"/>
              </w:rPr>
              <w:t xml:space="preserve">rupę roboczą CE21+ w maju 2020 r. Celem było zebranie informacji zwrotnych na temat wczesnej wersji projektu przyszłego programu, który zawierał już szkic priorytetów programu transnarodowego, cele szczegółowe i tematy, które nadawały kierunek finansowaniu działań w zakresie współpracy w Europie Środkowej. Partnerzy mogli również przedstawić swoje komentarze i pomysły dotyczące dodatkowych tematów, działań w ramach współpracy transnarodowej i grup docelowych. </w:t>
            </w:r>
          </w:p>
          <w:p w14:paraId="13989478" w14:textId="52770999" w:rsidR="000F5AC4" w:rsidRPr="00D80606" w:rsidRDefault="000F5AC4" w:rsidP="00474CE7">
            <w:pPr>
              <w:pStyle w:val="CE-BulletPoint1"/>
              <w:ind w:left="0"/>
              <w:rPr>
                <w:rFonts w:asciiTheme="minorHAnsi" w:eastAsia="Times New Roman" w:hAnsiTheme="minorHAnsi" w:cs="Times New Roman"/>
                <w:color w:val="000000"/>
                <w:sz w:val="24"/>
                <w:szCs w:val="24"/>
              </w:rPr>
            </w:pPr>
            <w:r w:rsidRPr="00D80606">
              <w:rPr>
                <w:rFonts w:asciiTheme="minorHAnsi" w:hAnsiTheme="minorHAnsi"/>
                <w:color w:val="000000"/>
                <w:sz w:val="24"/>
                <w:szCs w:val="24"/>
              </w:rPr>
              <w:t>W pierwszym etapie w ramach badania transnarodowego zaproszono interesariuszy z całej Europy Środkowej do przedstawienia informacji zwrotnych i komentarzy na temat projektu w okresie od 10 do 24 czerwca 2020 r. W badaniu wzięło udział 556 respondentów reprezentujących krajowych, regionalnych i lokalnych interesariuszy. Ocenili oni znaczenie tematów transnarodowych w odniesieniu do celów szczegółowych programu i dostarczyli szereg</w:t>
            </w:r>
            <w:r w:rsidR="00BC325A" w:rsidRPr="00D80606">
              <w:rPr>
                <w:rFonts w:asciiTheme="minorHAnsi" w:hAnsiTheme="minorHAnsi"/>
                <w:color w:val="000000"/>
                <w:sz w:val="24"/>
                <w:szCs w:val="24"/>
              </w:rPr>
              <w:t>u</w:t>
            </w:r>
            <w:r w:rsidRPr="00D80606">
              <w:rPr>
                <w:rFonts w:asciiTheme="minorHAnsi" w:hAnsiTheme="minorHAnsi"/>
                <w:color w:val="000000"/>
                <w:sz w:val="24"/>
                <w:szCs w:val="24"/>
              </w:rPr>
              <w:t xml:space="preserve"> jakościowych informacji.</w:t>
            </w:r>
          </w:p>
          <w:p w14:paraId="7DF97442" w14:textId="31FC8606" w:rsidR="00122E64" w:rsidRPr="00D80606" w:rsidRDefault="000F5AC4" w:rsidP="00474CE7">
            <w:pPr>
              <w:pStyle w:val="CE-BulletPoint1"/>
              <w:ind w:left="0"/>
              <w:rPr>
                <w:rFonts w:asciiTheme="minorHAnsi" w:eastAsia="Times New Roman" w:hAnsiTheme="minorHAnsi" w:cs="Times New Roman"/>
                <w:color w:val="000000"/>
                <w:sz w:val="24"/>
                <w:szCs w:val="24"/>
              </w:rPr>
            </w:pPr>
            <w:r w:rsidRPr="00D80606">
              <w:rPr>
                <w:rFonts w:asciiTheme="minorHAnsi" w:hAnsiTheme="minorHAnsi"/>
                <w:color w:val="000000"/>
                <w:sz w:val="24"/>
                <w:szCs w:val="24"/>
              </w:rPr>
              <w:t xml:space="preserve">W drugim etapie, wspólny wysiłek krajowego punktu kontaktowego programu (KPK) pomógł w dalszym pogłębianiu dialogu z 490 partnerami publicznymi i prywatnymi z całej Europy Środkowej. W koordynacji z IZ/WS we wszystkich krajach w czerwcu, lipcu i sierpniu zorganizowano działania konsultacyjne, pomimo wyzwań związanych z pandemią COVID-19. </w:t>
            </w:r>
          </w:p>
          <w:p w14:paraId="5F8479F6" w14:textId="54F9608A" w:rsidR="000F5AC4" w:rsidRPr="00D80606" w:rsidRDefault="000F5AC4" w:rsidP="00474CE7">
            <w:pPr>
              <w:pStyle w:val="CE-BulletPoint1"/>
              <w:ind w:left="0"/>
              <w:rPr>
                <w:rFonts w:asciiTheme="minorHAnsi" w:eastAsia="Times New Roman" w:hAnsiTheme="minorHAnsi" w:cs="Times New Roman"/>
                <w:color w:val="000000"/>
                <w:sz w:val="24"/>
                <w:szCs w:val="24"/>
              </w:rPr>
            </w:pPr>
            <w:r w:rsidRPr="00D80606">
              <w:rPr>
                <w:rFonts w:asciiTheme="minorHAnsi" w:hAnsiTheme="minorHAnsi"/>
                <w:color w:val="000000"/>
                <w:sz w:val="24"/>
                <w:szCs w:val="24"/>
              </w:rPr>
              <w:t xml:space="preserve">Dialogi z partnerami krajowymi odbywały się w formatach internetowych, takich jak webinaria i bezpośrednie kontakty drogą elektroniczną. Pomogło to zebrać informacje na temat działań i grup docelowych, skonsolidować dane z badania i zebrać dodatkowe jakościowe informacje zwrotne. </w:t>
            </w:r>
          </w:p>
          <w:p w14:paraId="7847CDAD" w14:textId="12834BDF" w:rsidR="000F5AC4" w:rsidRPr="00D80606" w:rsidRDefault="00044C77">
            <w:pPr>
              <w:pStyle w:val="CE-BulletPoint1"/>
              <w:ind w:left="0"/>
              <w:jc w:val="both"/>
              <w:rPr>
                <w:rFonts w:asciiTheme="minorHAnsi" w:eastAsia="Times New Roman" w:hAnsiTheme="minorHAnsi" w:cs="Times New Roman"/>
                <w:color w:val="000000"/>
                <w:sz w:val="24"/>
                <w:szCs w:val="24"/>
              </w:rPr>
            </w:pPr>
            <w:r w:rsidRPr="00D80606">
              <w:rPr>
                <w:rFonts w:asciiTheme="minorHAnsi" w:hAnsiTheme="minorHAnsi"/>
                <w:color w:val="000000"/>
                <w:sz w:val="24"/>
                <w:szCs w:val="24"/>
              </w:rPr>
              <w:t>Te dwa środki uzupełniały się wzajemnie w następujący sposób:</w:t>
            </w:r>
          </w:p>
          <w:p w14:paraId="75AA6D2A" w14:textId="1045FB28" w:rsidR="000F5AC4" w:rsidRPr="00D80606" w:rsidRDefault="000F5AC4">
            <w:pPr>
              <w:pStyle w:val="CE-BulletPoint1"/>
              <w:numPr>
                <w:ilvl w:val="0"/>
                <w:numId w:val="52"/>
              </w:numPr>
              <w:ind w:left="306" w:hanging="284"/>
              <w:jc w:val="both"/>
              <w:rPr>
                <w:rFonts w:asciiTheme="minorHAnsi" w:eastAsia="Times New Roman" w:hAnsiTheme="minorHAnsi" w:cs="Times New Roman"/>
                <w:color w:val="000000"/>
                <w:sz w:val="24"/>
                <w:szCs w:val="24"/>
              </w:rPr>
            </w:pPr>
            <w:r w:rsidRPr="00D80606">
              <w:rPr>
                <w:rFonts w:asciiTheme="minorHAnsi" w:hAnsiTheme="minorHAnsi"/>
                <w:color w:val="000000"/>
                <w:sz w:val="24"/>
                <w:szCs w:val="24"/>
              </w:rPr>
              <w:t>W kwestionariuszu zebrano ilościowe informacje zwrotne na temat znaczenia tematów transnarodowych w rozbiciu na poszczególne cele szczegółowe. Ponadto respondenci mogli przekazać jakościowe komentarze dotyczące dodatkowych tematów, potencjalnych działań transnarodowych i grup docelowych.</w:t>
            </w:r>
          </w:p>
          <w:p w14:paraId="262AE643" w14:textId="6CF69D8E" w:rsidR="000F5AC4" w:rsidRPr="00D80606" w:rsidRDefault="00DE23AC">
            <w:pPr>
              <w:pStyle w:val="CE-BulletPoint1"/>
              <w:numPr>
                <w:ilvl w:val="0"/>
                <w:numId w:val="52"/>
              </w:numPr>
              <w:ind w:left="306" w:hanging="284"/>
              <w:jc w:val="both"/>
              <w:rPr>
                <w:rFonts w:asciiTheme="minorHAnsi" w:eastAsia="Times New Roman" w:hAnsiTheme="minorHAnsi" w:cs="Times New Roman"/>
                <w:color w:val="000000"/>
                <w:sz w:val="24"/>
                <w:szCs w:val="24"/>
              </w:rPr>
            </w:pPr>
            <w:r w:rsidRPr="00D80606">
              <w:rPr>
                <w:rFonts w:asciiTheme="minorHAnsi" w:hAnsiTheme="minorHAnsi"/>
                <w:color w:val="000000"/>
                <w:sz w:val="24"/>
                <w:szCs w:val="24"/>
              </w:rPr>
              <w:t>W ramach dialogu z partnerami krajowymi zgromadzono i omówiono dane jakościowe od ekspertów krajowych w celu uzupełnienia przede wszystkim danych ilościowych otrzymanych w ramach kwestionariusza.</w:t>
            </w:r>
          </w:p>
          <w:p w14:paraId="56D05182" w14:textId="7A7A7822" w:rsidR="000F5AC4" w:rsidRPr="00D80606" w:rsidRDefault="00A13D37" w:rsidP="00474CE7">
            <w:pPr>
              <w:pStyle w:val="CE-BulletPoint1"/>
              <w:numPr>
                <w:ilvl w:val="0"/>
                <w:numId w:val="0"/>
              </w:numPr>
              <w:rPr>
                <w:rFonts w:asciiTheme="minorHAnsi" w:eastAsia="Times New Roman" w:hAnsiTheme="minorHAnsi" w:cs="Times New Roman"/>
                <w:color w:val="000000"/>
                <w:sz w:val="24"/>
                <w:szCs w:val="24"/>
              </w:rPr>
            </w:pPr>
            <w:r w:rsidRPr="00D80606">
              <w:rPr>
                <w:rFonts w:asciiTheme="minorHAnsi" w:hAnsiTheme="minorHAnsi"/>
                <w:color w:val="000000"/>
                <w:sz w:val="24"/>
                <w:szCs w:val="24"/>
              </w:rPr>
              <w:t xml:space="preserve">Wyniki zarówno kwestionariusza jak i dialogu zostały udokumentowane w kompleksowym sprawozdaniu z zaangażowania zainteresowanych stron i opublikowane na </w:t>
            </w:r>
            <w:hyperlink r:id="rId32" w:tooltip="Oficjalna strona internetowa programu Interreg Europa Środkowa w języku angielskim" w:history="1">
              <w:r w:rsidRPr="00D80606">
                <w:rPr>
                  <w:rStyle w:val="Hipercze"/>
                  <w:sz w:val="24"/>
                  <w:szCs w:val="24"/>
                </w:rPr>
                <w:t>stronie internetowej programu</w:t>
              </w:r>
              <w:r w:rsidR="00AD28AF" w:rsidRPr="00AD28AF">
                <w:rPr>
                  <w:rStyle w:val="Hipercze"/>
                  <w:rFonts w:asciiTheme="minorHAnsi" w:hAnsiTheme="minorHAnsi"/>
                  <w:sz w:val="24"/>
                  <w:szCs w:val="24"/>
                </w:rPr>
                <w:t xml:space="preserve"> Interreg Europa Środkowa</w:t>
              </w:r>
            </w:hyperlink>
            <w:r w:rsidRPr="00D80606">
              <w:rPr>
                <w:rFonts w:asciiTheme="minorHAnsi" w:hAnsiTheme="minorHAnsi"/>
                <w:color w:val="000000"/>
                <w:sz w:val="24"/>
                <w:szCs w:val="24"/>
              </w:rPr>
              <w:t xml:space="preserve">. Zapewniło to analityczny przegląd otrzymanych informacji zwrotnych i komentarzy, stanowiąc jednocześnie cenne źródło informacji do dalszego dopracowania strategii programu i logiki </w:t>
            </w:r>
            <w:r w:rsidR="00BC325A" w:rsidRPr="00D80606">
              <w:rPr>
                <w:rFonts w:asciiTheme="minorHAnsi" w:hAnsiTheme="minorHAnsi"/>
                <w:color w:val="000000"/>
                <w:sz w:val="24"/>
                <w:szCs w:val="24"/>
              </w:rPr>
              <w:t xml:space="preserve">jego </w:t>
            </w:r>
            <w:r w:rsidRPr="00D80606">
              <w:rPr>
                <w:rFonts w:asciiTheme="minorHAnsi" w:hAnsiTheme="minorHAnsi"/>
                <w:color w:val="000000"/>
                <w:sz w:val="24"/>
                <w:szCs w:val="24"/>
              </w:rPr>
              <w:t>interwencji.</w:t>
            </w:r>
          </w:p>
          <w:p w14:paraId="10D3D8C6" w14:textId="3DCA61C5" w:rsidR="000F5AC4" w:rsidRPr="00D80606" w:rsidRDefault="000F5AC4">
            <w:pPr>
              <w:pStyle w:val="CE-BulletPoint1"/>
              <w:numPr>
                <w:ilvl w:val="0"/>
                <w:numId w:val="0"/>
              </w:numPr>
              <w:jc w:val="both"/>
              <w:rPr>
                <w:rFonts w:asciiTheme="minorHAnsi" w:eastAsia="Times New Roman" w:hAnsiTheme="minorHAnsi" w:cs="Times New Roman"/>
                <w:color w:val="000000"/>
                <w:sz w:val="24"/>
                <w:szCs w:val="24"/>
                <w:u w:val="single"/>
              </w:rPr>
            </w:pPr>
            <w:r w:rsidRPr="00D80606">
              <w:rPr>
                <w:rFonts w:asciiTheme="minorHAnsi" w:hAnsiTheme="minorHAnsi"/>
                <w:color w:val="000000"/>
                <w:sz w:val="24"/>
                <w:szCs w:val="24"/>
                <w:u w:val="single"/>
              </w:rPr>
              <w:br/>
              <w:t>Faza zaangażowania 3: Prowadzenie koordynacji z innymi programami Interreg i innymi instrumentami współpracy w UE</w:t>
            </w:r>
          </w:p>
          <w:p w14:paraId="5F0E6F83" w14:textId="34422871" w:rsidR="00ED62BF" w:rsidRPr="00D80606" w:rsidRDefault="00A13D37">
            <w:pPr>
              <w:pStyle w:val="CE-BulletPoint1"/>
              <w:ind w:left="0"/>
              <w:jc w:val="both"/>
              <w:rPr>
                <w:rFonts w:asciiTheme="minorHAnsi" w:hAnsiTheme="minorHAnsi"/>
                <w:color w:val="000000"/>
                <w:sz w:val="24"/>
                <w:szCs w:val="24"/>
              </w:rPr>
            </w:pPr>
            <w:r w:rsidRPr="00D80606">
              <w:rPr>
                <w:rFonts w:asciiTheme="minorHAnsi" w:hAnsiTheme="minorHAnsi"/>
                <w:color w:val="000000"/>
                <w:sz w:val="24"/>
                <w:szCs w:val="24"/>
              </w:rPr>
              <w:t xml:space="preserve">W ostatniej fazie zaangażowania, program Interreg EUROPA ŚRODKOWA zaangażował realizatorów geograficznie nakładających się i sąsiadujących programów Interreg, </w:t>
            </w:r>
            <w:r w:rsidRPr="00D80606">
              <w:rPr>
                <w:rFonts w:asciiTheme="minorHAnsi" w:hAnsiTheme="minorHAnsi"/>
                <w:color w:val="000000"/>
                <w:sz w:val="24"/>
                <w:szCs w:val="24"/>
              </w:rPr>
              <w:lastRenderedPageBreak/>
              <w:t>jak również strategii makroregionalnych UE (MRS) oraz Europejskich Ugrupowań Współpracy Terytorialnej (EUWT). Cele były następujące:</w:t>
            </w:r>
          </w:p>
          <w:p w14:paraId="0A2EEF11" w14:textId="7729FF5F" w:rsidR="00001DDB" w:rsidRPr="00D80606" w:rsidRDefault="00001DDB">
            <w:pPr>
              <w:pStyle w:val="CE-BulletPoint1"/>
              <w:numPr>
                <w:ilvl w:val="0"/>
                <w:numId w:val="52"/>
              </w:numPr>
              <w:ind w:left="306" w:hanging="284"/>
              <w:jc w:val="both"/>
              <w:rPr>
                <w:rFonts w:asciiTheme="minorHAnsi" w:eastAsia="Times New Roman" w:hAnsiTheme="minorHAnsi" w:cs="Times New Roman"/>
                <w:color w:val="000000"/>
                <w:sz w:val="24"/>
                <w:szCs w:val="24"/>
              </w:rPr>
            </w:pPr>
            <w:r w:rsidRPr="00D80606">
              <w:rPr>
                <w:rFonts w:asciiTheme="minorHAnsi" w:hAnsiTheme="minorHAnsi"/>
                <w:color w:val="000000"/>
                <w:sz w:val="24"/>
                <w:szCs w:val="24"/>
              </w:rPr>
              <w:t>Podnoszenie świadomości na temat programu i jego przyszłych priorytetów</w:t>
            </w:r>
          </w:p>
          <w:p w14:paraId="673CD80C" w14:textId="2136DA2C" w:rsidR="00ED62BF" w:rsidRPr="00D80606" w:rsidRDefault="00ED62BF">
            <w:pPr>
              <w:pStyle w:val="CE-BulletPoint1"/>
              <w:numPr>
                <w:ilvl w:val="0"/>
                <w:numId w:val="52"/>
              </w:numPr>
              <w:ind w:left="306" w:hanging="284"/>
              <w:jc w:val="both"/>
              <w:rPr>
                <w:rFonts w:asciiTheme="minorHAnsi" w:eastAsia="Times New Roman" w:hAnsiTheme="minorHAnsi" w:cs="Times New Roman"/>
                <w:color w:val="000000"/>
                <w:sz w:val="24"/>
                <w:szCs w:val="24"/>
              </w:rPr>
            </w:pPr>
            <w:r w:rsidRPr="00D80606">
              <w:rPr>
                <w:rFonts w:asciiTheme="minorHAnsi" w:hAnsiTheme="minorHAnsi"/>
                <w:color w:val="000000"/>
                <w:sz w:val="24"/>
                <w:szCs w:val="24"/>
              </w:rPr>
              <w:t>Gromadzenie dodatkowych danych na poparcie logiki interwencji programu</w:t>
            </w:r>
          </w:p>
          <w:p w14:paraId="24393C66" w14:textId="2AF8DF96" w:rsidR="00ED62BF" w:rsidRPr="00D80606" w:rsidRDefault="00ED62BF">
            <w:pPr>
              <w:pStyle w:val="CE-BulletPoint1"/>
              <w:numPr>
                <w:ilvl w:val="0"/>
                <w:numId w:val="52"/>
              </w:numPr>
              <w:ind w:left="306" w:hanging="284"/>
              <w:jc w:val="both"/>
              <w:rPr>
                <w:rFonts w:asciiTheme="minorHAnsi" w:eastAsia="Times New Roman" w:hAnsiTheme="minorHAnsi" w:cs="Times New Roman"/>
                <w:color w:val="000000"/>
                <w:sz w:val="24"/>
                <w:szCs w:val="24"/>
              </w:rPr>
            </w:pPr>
            <w:r w:rsidRPr="00D80606">
              <w:rPr>
                <w:rFonts w:asciiTheme="minorHAnsi" w:hAnsiTheme="minorHAnsi"/>
                <w:color w:val="000000"/>
                <w:sz w:val="24"/>
                <w:szCs w:val="24"/>
              </w:rPr>
              <w:t>Wzmocnienie koordynacji i określenie potencjalnych synergii z programami Interreg i instrumentami mającymi znaczenie dla danego terytorium, jak również z planami działania w ramach MRS</w:t>
            </w:r>
          </w:p>
          <w:p w14:paraId="0154CDC2" w14:textId="1ADE56BD" w:rsidR="00D4166E" w:rsidRPr="00D80606" w:rsidRDefault="00ED62BF" w:rsidP="00474CE7">
            <w:pPr>
              <w:pStyle w:val="CE-BulletPoint1"/>
              <w:numPr>
                <w:ilvl w:val="0"/>
                <w:numId w:val="0"/>
              </w:numPr>
              <w:rPr>
                <w:rFonts w:asciiTheme="minorHAnsi" w:hAnsiTheme="minorHAnsi"/>
                <w:color w:val="000000"/>
                <w:sz w:val="24"/>
                <w:szCs w:val="24"/>
              </w:rPr>
            </w:pPr>
            <w:r w:rsidRPr="00D80606">
              <w:rPr>
                <w:rFonts w:asciiTheme="minorHAnsi" w:hAnsiTheme="minorHAnsi"/>
                <w:color w:val="000000"/>
                <w:sz w:val="24"/>
                <w:szCs w:val="24"/>
              </w:rPr>
              <w:t>W październiku 2020 r. uruchomiono dwa kwestionariusze w celu zebrania informacji zwrotnych od wykwalifikowanej grupy interesariuszy w MRS i EUWT. Interreg EUROPA ŚRODKOWA otrzymał odpowiedzi od 25 koordynatorów tematycznych lub krajowych ze wszystkich MRS (EUSALP, EUSAIR, EUSBSR i EUSDR) oraz od sześciu realizatorów EUWT zlokalizowanych w Europie Środkowej. Wszystkie obszary tematyczne programu i planowane działania zostały uznane za bardzo ważne.</w:t>
            </w:r>
          </w:p>
          <w:p w14:paraId="7BDB13E4" w14:textId="4D82320D" w:rsidR="00D4166E" w:rsidRPr="00D80606" w:rsidRDefault="00D4166E" w:rsidP="00474CE7">
            <w:pPr>
              <w:pStyle w:val="CE-BulletPoint1"/>
              <w:numPr>
                <w:ilvl w:val="0"/>
                <w:numId w:val="0"/>
              </w:numPr>
              <w:rPr>
                <w:rFonts w:asciiTheme="minorHAnsi" w:hAnsiTheme="minorHAnsi"/>
                <w:color w:val="000000"/>
                <w:sz w:val="24"/>
                <w:szCs w:val="24"/>
              </w:rPr>
            </w:pPr>
            <w:r w:rsidRPr="00D80606">
              <w:rPr>
                <w:rFonts w:asciiTheme="minorHAnsi" w:hAnsiTheme="minorHAnsi"/>
                <w:color w:val="000000"/>
                <w:sz w:val="24"/>
                <w:szCs w:val="24"/>
              </w:rPr>
              <w:t>Przyjęto podejście zorientowane na dialog w celu zaangażowania zarządzania nakładającymi się i sąsiadującymi transnarodowymi programami Interreg i Interreg Europa. W ramach grupy fokusowej w dniu 21 października 2020 r. programy te wymieniły się informacjami na temat aktualnej sytuacji w zakresie programowania oraz swoich projektów strategii i logiki interwencji. Grupa przeanalizowała również potencjalne synergie i komplementarności.</w:t>
            </w:r>
          </w:p>
          <w:p w14:paraId="0764CE19" w14:textId="6836009D" w:rsidR="000F5AC4" w:rsidRPr="00D80606" w:rsidRDefault="00D821D5" w:rsidP="00474CE7">
            <w:pPr>
              <w:pStyle w:val="CE-BulletPoint1"/>
              <w:numPr>
                <w:ilvl w:val="0"/>
                <w:numId w:val="0"/>
              </w:numPr>
              <w:rPr>
                <w:rFonts w:asciiTheme="minorHAnsi" w:hAnsiTheme="minorHAnsi"/>
                <w:color w:val="000000"/>
                <w:sz w:val="24"/>
                <w:szCs w:val="24"/>
              </w:rPr>
            </w:pPr>
            <w:r w:rsidRPr="00D80606">
              <w:rPr>
                <w:rFonts w:asciiTheme="minorHAnsi" w:hAnsiTheme="minorHAnsi"/>
                <w:color w:val="000000"/>
                <w:sz w:val="24"/>
                <w:szCs w:val="24"/>
              </w:rPr>
              <w:t xml:space="preserve">Ten etap zaangażowania zakończył się wymianą informacji z geograficznie pokrywającymi się transgranicznymi programami Interreg w ramach konferencji </w:t>
            </w:r>
            <w:r w:rsidR="00474CE7" w:rsidRPr="00D80606">
              <w:rPr>
                <w:rFonts w:asciiTheme="minorHAnsi" w:hAnsiTheme="minorHAnsi"/>
                <w:color w:val="000000"/>
                <w:sz w:val="24"/>
                <w:szCs w:val="24"/>
              </w:rPr>
              <w:t xml:space="preserve">online </w:t>
            </w:r>
            <w:r w:rsidRPr="00D80606">
              <w:rPr>
                <w:rFonts w:asciiTheme="minorHAnsi" w:hAnsiTheme="minorHAnsi"/>
                <w:color w:val="000000"/>
                <w:sz w:val="24"/>
                <w:szCs w:val="24"/>
              </w:rPr>
              <w:t>Interact</w:t>
            </w:r>
            <w:r w:rsidR="00474CE7">
              <w:rPr>
                <w:rFonts w:asciiTheme="minorHAnsi" w:hAnsiTheme="minorHAnsi"/>
                <w:color w:val="000000"/>
                <w:sz w:val="24"/>
                <w:szCs w:val="24"/>
              </w:rPr>
              <w:t>u</w:t>
            </w:r>
            <w:r w:rsidRPr="00D80606">
              <w:rPr>
                <w:rFonts w:asciiTheme="minorHAnsi" w:hAnsiTheme="minorHAnsi"/>
                <w:color w:val="000000"/>
                <w:sz w:val="24"/>
                <w:szCs w:val="24"/>
              </w:rPr>
              <w:t xml:space="preserve"> „Współpraca i synergia w Europie Środkowej i Południowo-Wschodniej”, która odbyła się w dniach 3-4 listopada 2020 r. Wydarzenie to było poświęcone dyskusji na temat współpracy pomiędzy programami w Europie Środkowej i Południowo-Wschodniej, w tym ich wkładowi w lokalne strategie makroregionalne EUSDR, EUSAIR i EUSALP.</w:t>
            </w:r>
          </w:p>
          <w:p w14:paraId="4748F4DE" w14:textId="3C4751DE" w:rsidR="005B6224" w:rsidRPr="00D80606" w:rsidRDefault="006D04FF" w:rsidP="00474CE7">
            <w:pPr>
              <w:pStyle w:val="CE-BulletPoint1"/>
              <w:numPr>
                <w:ilvl w:val="0"/>
                <w:numId w:val="0"/>
              </w:numPr>
              <w:rPr>
                <w:rFonts w:asciiTheme="minorHAnsi" w:hAnsiTheme="minorHAnsi"/>
                <w:color w:val="000000"/>
                <w:sz w:val="24"/>
                <w:szCs w:val="24"/>
              </w:rPr>
            </w:pPr>
            <w:r w:rsidRPr="00D80606">
              <w:rPr>
                <w:rFonts w:asciiTheme="minorHAnsi" w:hAnsiTheme="minorHAnsi"/>
                <w:color w:val="000000"/>
                <w:sz w:val="24"/>
                <w:szCs w:val="24"/>
              </w:rPr>
              <w:t xml:space="preserve">Wszystkie wyniki tej fazy zaangażowania zostały udokumentowane w zaktualizowanym, kompleksowym raporcie z zaangażowania zainteresowanych stron, który został opublikowany na </w:t>
            </w:r>
            <w:hyperlink r:id="rId33" w:tooltip="Oficjalna strona internetowa programu Interreg Europa Środkowa w języku angielskim" w:history="1">
              <w:r w:rsidRPr="00D80606">
                <w:rPr>
                  <w:rStyle w:val="Hipercze"/>
                  <w:sz w:val="24"/>
                  <w:szCs w:val="24"/>
                </w:rPr>
                <w:t>stronie</w:t>
              </w:r>
              <w:r w:rsidR="00AD28AF" w:rsidRPr="00AD28AF">
                <w:rPr>
                  <w:rStyle w:val="Hipercze"/>
                  <w:rFonts w:asciiTheme="minorHAnsi" w:hAnsiTheme="minorHAnsi"/>
                  <w:sz w:val="24"/>
                  <w:szCs w:val="24"/>
                </w:rPr>
                <w:t xml:space="preserve"> internetowej programu Interreg Europa Środkowa</w:t>
              </w:r>
            </w:hyperlink>
            <w:r w:rsidRPr="00D80606">
              <w:rPr>
                <w:rFonts w:asciiTheme="minorHAnsi" w:hAnsiTheme="minorHAnsi"/>
                <w:color w:val="000000"/>
                <w:sz w:val="24"/>
                <w:szCs w:val="24"/>
              </w:rPr>
              <w:t>.</w:t>
            </w:r>
          </w:p>
          <w:p w14:paraId="5D824B65" w14:textId="77777777" w:rsidR="000F5AC4" w:rsidRPr="00D80606" w:rsidRDefault="000F5AC4">
            <w:pPr>
              <w:pStyle w:val="CE-BulletPoint1"/>
              <w:numPr>
                <w:ilvl w:val="0"/>
                <w:numId w:val="0"/>
              </w:numPr>
              <w:jc w:val="both"/>
              <w:rPr>
                <w:rFonts w:asciiTheme="minorHAnsi" w:eastAsia="Times New Roman" w:hAnsiTheme="minorHAnsi" w:cs="Times New Roman"/>
                <w:color w:val="000000"/>
                <w:sz w:val="24"/>
                <w:szCs w:val="24"/>
                <w:lang w:eastAsia="en-US"/>
              </w:rPr>
            </w:pPr>
          </w:p>
          <w:p w14:paraId="6A933AB4" w14:textId="662DB2FA" w:rsidR="000F5AC4" w:rsidRPr="00D80606" w:rsidRDefault="00A64740">
            <w:pPr>
              <w:pStyle w:val="CE-BulletPoint1"/>
              <w:numPr>
                <w:ilvl w:val="0"/>
                <w:numId w:val="0"/>
              </w:numPr>
              <w:jc w:val="both"/>
              <w:rPr>
                <w:rFonts w:asciiTheme="minorHAnsi" w:eastAsia="Times New Roman" w:hAnsiTheme="minorHAnsi" w:cs="Times New Roman"/>
                <w:color w:val="000000"/>
                <w:sz w:val="24"/>
                <w:szCs w:val="24"/>
                <w:u w:val="single"/>
              </w:rPr>
            </w:pPr>
            <w:r w:rsidRPr="00D80606">
              <w:rPr>
                <w:rFonts w:asciiTheme="minorHAnsi" w:hAnsiTheme="minorHAnsi"/>
                <w:color w:val="000000"/>
                <w:sz w:val="24"/>
                <w:szCs w:val="24"/>
                <w:u w:val="single"/>
              </w:rPr>
              <w:t>Planowane zaangażowanie w trakcie realizacji programu Interreg EUROPA ŚRODKOWA 2021-27:</w:t>
            </w:r>
          </w:p>
          <w:p w14:paraId="2D400381" w14:textId="77777777" w:rsidR="000F5AC4" w:rsidRPr="00D80606" w:rsidRDefault="000F5AC4">
            <w:pPr>
              <w:pStyle w:val="CE-BulletPoint1"/>
              <w:ind w:left="0"/>
              <w:jc w:val="both"/>
              <w:rPr>
                <w:rFonts w:asciiTheme="minorHAnsi" w:eastAsia="Times New Roman" w:hAnsiTheme="minorHAnsi" w:cs="Times New Roman"/>
                <w:color w:val="000000"/>
                <w:sz w:val="24"/>
                <w:szCs w:val="24"/>
              </w:rPr>
            </w:pPr>
            <w:r w:rsidRPr="00D80606">
              <w:rPr>
                <w:rFonts w:asciiTheme="minorHAnsi" w:hAnsiTheme="minorHAnsi"/>
                <w:color w:val="000000"/>
                <w:sz w:val="24"/>
                <w:szCs w:val="24"/>
              </w:rPr>
              <w:t>Stałe zaangażowanie odpowiednich partnerów w realizację Programu Interreg EUROPA ŚRODKOWA jest przewidziane z dwóch powodów:</w:t>
            </w:r>
          </w:p>
          <w:p w14:paraId="0BD325DC" w14:textId="77777777" w:rsidR="000F5AC4" w:rsidRPr="00D80606" w:rsidRDefault="000F5AC4">
            <w:pPr>
              <w:pStyle w:val="CE-BulletPoint1"/>
              <w:numPr>
                <w:ilvl w:val="0"/>
                <w:numId w:val="67"/>
              </w:numPr>
              <w:jc w:val="both"/>
              <w:rPr>
                <w:rFonts w:asciiTheme="minorHAnsi" w:eastAsia="Times New Roman" w:hAnsiTheme="minorHAnsi" w:cs="Times New Roman"/>
                <w:color w:val="000000"/>
                <w:sz w:val="24"/>
                <w:szCs w:val="24"/>
              </w:rPr>
            </w:pPr>
            <w:r w:rsidRPr="00D80606">
              <w:rPr>
                <w:rFonts w:asciiTheme="minorHAnsi" w:hAnsiTheme="minorHAnsi"/>
                <w:color w:val="000000"/>
                <w:sz w:val="24"/>
                <w:szCs w:val="24"/>
              </w:rPr>
              <w:t>aby zwiększyć poczucie odpowiedzialności za program wśród partnerów, aby wykorzystać ich wiedzę i doświadczenie oraz zwiększyć przejrzystość procesów decyzyjnych</w:t>
            </w:r>
          </w:p>
          <w:p w14:paraId="3E603307" w14:textId="677557E0" w:rsidR="000F5AC4" w:rsidRPr="00D80606" w:rsidRDefault="000F5AC4">
            <w:pPr>
              <w:pStyle w:val="CE-BulletPoint1"/>
              <w:numPr>
                <w:ilvl w:val="0"/>
                <w:numId w:val="67"/>
              </w:numPr>
              <w:jc w:val="both"/>
              <w:rPr>
                <w:rFonts w:asciiTheme="minorHAnsi" w:eastAsia="Times New Roman" w:hAnsiTheme="minorHAnsi" w:cs="Times New Roman"/>
                <w:color w:val="000000"/>
                <w:sz w:val="24"/>
                <w:szCs w:val="24"/>
              </w:rPr>
            </w:pPr>
            <w:r w:rsidRPr="00D80606">
              <w:rPr>
                <w:rFonts w:asciiTheme="minorHAnsi" w:hAnsiTheme="minorHAnsi"/>
                <w:color w:val="000000"/>
                <w:sz w:val="24"/>
                <w:szCs w:val="24"/>
              </w:rPr>
              <w:t xml:space="preserve">aby usprawnić koordynację z innymi funduszami ESI, jak również z odpowiednimi </w:t>
            </w:r>
            <w:r w:rsidRPr="00D80606">
              <w:rPr>
                <w:rFonts w:asciiTheme="minorHAnsi" w:hAnsiTheme="minorHAnsi"/>
                <w:color w:val="000000"/>
                <w:sz w:val="24"/>
                <w:szCs w:val="24"/>
              </w:rPr>
              <w:lastRenderedPageBreak/>
              <w:t>instrumentami finansowania i MRS</w:t>
            </w:r>
          </w:p>
          <w:p w14:paraId="3CF988DC" w14:textId="14C6DD12" w:rsidR="00581DA3" w:rsidRPr="00D80606" w:rsidRDefault="000F5AC4" w:rsidP="00474CE7">
            <w:pPr>
              <w:pStyle w:val="CE-BulletPoint1"/>
              <w:ind w:left="0"/>
              <w:rPr>
                <w:rFonts w:asciiTheme="minorHAnsi" w:eastAsia="Times New Roman" w:hAnsiTheme="minorHAnsi" w:cs="Times New Roman"/>
                <w:color w:val="000000"/>
                <w:sz w:val="24"/>
                <w:szCs w:val="24"/>
              </w:rPr>
            </w:pPr>
            <w:r w:rsidRPr="00D80606">
              <w:rPr>
                <w:rFonts w:asciiTheme="minorHAnsi" w:hAnsiTheme="minorHAnsi"/>
                <w:color w:val="000000"/>
                <w:sz w:val="24"/>
                <w:szCs w:val="24"/>
              </w:rPr>
              <w:t>Podczas gdy konkretne środki będą organizowane w celu zaangażowania konkretnych odbiorców z bardziej szczegółowymi celami, stałe zaangażowanie odpowiednich partnerów w komitecie monitorującym Interreg EUROPA ŚRODKOWA (KM) będzie zapewnione przede wszystkim poprzez komitety krajowe lub podobne mechanizmy i organy. Podobnie jak w fazie programowania, stanowią one platformy, w ramach których odpowiedni partnerzy krajowi (w tym interesariusze MRS) mogą przedstawiać swoje stanowiska w strategicznych kwestiach dotyczących realizacji programu.</w:t>
            </w:r>
          </w:p>
          <w:p w14:paraId="0B925FAC" w14:textId="378F3F86" w:rsidR="000F5AC4" w:rsidRPr="00D80606" w:rsidRDefault="00903BF3" w:rsidP="00474CE7">
            <w:pPr>
              <w:pStyle w:val="CE-BulletPoint1"/>
              <w:ind w:left="0"/>
              <w:rPr>
                <w:rFonts w:asciiTheme="minorHAnsi" w:eastAsia="Times New Roman" w:hAnsiTheme="minorHAnsi" w:cs="Times New Roman"/>
                <w:color w:val="000000"/>
                <w:sz w:val="24"/>
                <w:szCs w:val="24"/>
              </w:rPr>
            </w:pPr>
            <w:r w:rsidRPr="00D80606">
              <w:rPr>
                <w:rFonts w:asciiTheme="minorHAnsi" w:hAnsiTheme="minorHAnsi"/>
                <w:color w:val="000000"/>
                <w:sz w:val="24"/>
                <w:szCs w:val="24"/>
              </w:rPr>
              <w:t xml:space="preserve">W trakcie realizacji wspierają członków KM w wykonywaniu zadań KM, w tym w przygotowaniu zaproszeń do składania wniosków i sprawozdań z postępów w realizacji programu, a także w monitorowaniu i ewaluacji programu. Zostaną one zorganizowane zgodnie z obowiązującymi wymogami krajowymi dotyczącymi ich składu, funkcjonowania i zarządzania zobowiązaniami w zakresie ochrony danych, poufności i konfliktu interesów. </w:t>
            </w:r>
          </w:p>
          <w:p w14:paraId="096D11F2" w14:textId="2231631F" w:rsidR="000F5AC4" w:rsidRPr="00D80606" w:rsidRDefault="003F731B" w:rsidP="00474CE7">
            <w:pPr>
              <w:pStyle w:val="CE-BulletPoint1"/>
              <w:ind w:left="0"/>
              <w:rPr>
                <w:rFonts w:asciiTheme="minorHAnsi" w:eastAsia="Times New Roman" w:hAnsiTheme="minorHAnsi" w:cs="Times New Roman"/>
                <w:color w:val="000000"/>
                <w:sz w:val="24"/>
                <w:szCs w:val="24"/>
              </w:rPr>
            </w:pPr>
            <w:r w:rsidRPr="00D80606">
              <w:rPr>
                <w:rFonts w:asciiTheme="minorHAnsi" w:hAnsiTheme="minorHAnsi"/>
                <w:color w:val="000000"/>
                <w:sz w:val="24"/>
                <w:szCs w:val="24"/>
              </w:rPr>
              <w:t>W stosownych przypadkach komitety krajowe lub podobne mechanizmy i organy ustanowione zgodnie z przepisami krajowymi będą dążyły do koordynacji z programami polityki spójności i innymi krajowymi instrumentami finansowania, na przykład poprzez zapraszanie przedstawicieli instytucji uczestniczących w realizacji odpowiednich programów krajowych lub regionalnych.</w:t>
            </w:r>
          </w:p>
          <w:p w14:paraId="385616D4" w14:textId="1D778E65" w:rsidR="000F5AC4" w:rsidRPr="00D80606" w:rsidRDefault="000F5AC4">
            <w:pPr>
              <w:pStyle w:val="CE-BulletPoint1"/>
              <w:numPr>
                <w:ilvl w:val="0"/>
                <w:numId w:val="0"/>
              </w:numPr>
              <w:jc w:val="both"/>
              <w:rPr>
                <w:rFonts w:asciiTheme="minorHAnsi" w:eastAsia="Times New Roman" w:hAnsiTheme="minorHAnsi" w:cs="Times New Roman"/>
                <w:color w:val="000000"/>
                <w:sz w:val="24"/>
                <w:szCs w:val="24"/>
              </w:rPr>
            </w:pPr>
            <w:r w:rsidRPr="00D80606">
              <w:rPr>
                <w:rFonts w:asciiTheme="minorHAnsi" w:hAnsiTheme="minorHAnsi"/>
                <w:color w:val="000000"/>
                <w:sz w:val="24"/>
                <w:szCs w:val="24"/>
              </w:rPr>
              <w:t>W programie mogą również uczestniczyć, na zaproszenie, odpowiednie instytucje i organizacje parasolowe UE, takie jak Komitet Regionów, z rolą obserwatora w KM.</w:t>
            </w:r>
          </w:p>
          <w:p w14:paraId="270C5C5E" w14:textId="668612FE" w:rsidR="000F5AC4" w:rsidRPr="00D80606" w:rsidRDefault="000F5AC4">
            <w:pPr>
              <w:spacing w:after="120"/>
              <w:ind w:left="0"/>
              <w:rPr>
                <w:rFonts w:asciiTheme="minorHAnsi" w:eastAsia="Times New Roman" w:hAnsiTheme="minorHAnsi" w:cs="Times New Roman"/>
                <w:i/>
                <w:color w:val="000000"/>
                <w:sz w:val="24"/>
                <w:szCs w:val="24"/>
              </w:rPr>
            </w:pPr>
          </w:p>
        </w:tc>
      </w:tr>
    </w:tbl>
    <w:p w14:paraId="7E84CD31" w14:textId="77777777" w:rsidR="00EB444C" w:rsidRPr="00680741" w:rsidRDefault="00EB444C" w:rsidP="009D6035">
      <w:pPr>
        <w:spacing w:before="240" w:after="240" w:line="240" w:lineRule="auto"/>
        <w:ind w:left="360" w:right="0"/>
        <w:rPr>
          <w:rFonts w:asciiTheme="minorHAnsi" w:hAnsiTheme="minorHAnsi"/>
          <w:b/>
          <w:sz w:val="24"/>
          <w:szCs w:val="24"/>
        </w:rPr>
      </w:pPr>
    </w:p>
    <w:p w14:paraId="6C5E8EDD" w14:textId="77777777" w:rsidR="008727F2" w:rsidRPr="00EB444C" w:rsidRDefault="008727F2" w:rsidP="00D80606">
      <w:pPr>
        <w:pStyle w:val="CE-Headline1"/>
      </w:pPr>
      <w:bookmarkStart w:id="118" w:name="_Toc71036616"/>
      <w:r>
        <w:t>Sposób podejścia do komunikacji i widoczności programu Interreg (celów, docelowych odbiorców, kanałów komunikacji, w tym zasięgu kampanii w mediach społecznościowych, jeżeli odpowiednie, planowy budżet i właściwe wskaźniki monitorowania i oceny)</w:t>
      </w:r>
      <w:bookmarkEnd w:id="118"/>
      <w:r>
        <w:t xml:space="preserve"> </w:t>
      </w:r>
    </w:p>
    <w:p w14:paraId="029BB265" w14:textId="77777777" w:rsidR="008727F2" w:rsidRPr="00D80606" w:rsidRDefault="008727F2" w:rsidP="00454550">
      <w:pPr>
        <w:ind w:left="0"/>
        <w:rPr>
          <w:rFonts w:asciiTheme="minorHAnsi" w:hAnsiTheme="minorHAnsi"/>
          <w:color w:val="000000"/>
        </w:rPr>
      </w:pPr>
      <w:r w:rsidRPr="00D80606">
        <w:rPr>
          <w:rFonts w:asciiTheme="minorHAnsi" w:hAnsiTheme="minorHAnsi"/>
          <w:color w:val="000000"/>
        </w:rPr>
        <w:t>Podstawa: art. 17 ust. 4 lit. i</w:t>
      </w:r>
    </w:p>
    <w:p w14:paraId="2A1774C8" w14:textId="75EB6417" w:rsidR="009D6035" w:rsidRPr="0063232B" w:rsidRDefault="009D6035" w:rsidP="00454550">
      <w:pPr>
        <w:ind w:left="0"/>
        <w:rPr>
          <w:rFonts w:asciiTheme="minorHAnsi" w:hAnsiTheme="minorHAnsi"/>
          <w:i/>
          <w:color w:val="000000"/>
        </w:rPr>
      </w:pPr>
      <w:r w:rsidRPr="00D80606">
        <w:rPr>
          <w:rFonts w:asciiTheme="minorHAnsi" w:hAnsiTheme="minorHAnsi"/>
          <w:color w:val="000000"/>
        </w:rPr>
        <w:t>Pole tekstowe [4 500]</w:t>
      </w:r>
    </w:p>
    <w:tbl>
      <w:tblPr>
        <w:tblStyle w:val="Tabela-Siatka"/>
        <w:tblW w:w="0" w:type="auto"/>
        <w:tblLook w:val="04A0" w:firstRow="1" w:lastRow="0" w:firstColumn="1" w:lastColumn="0" w:noHBand="0" w:noVBand="1"/>
      </w:tblPr>
      <w:tblGrid>
        <w:gridCol w:w="9498"/>
      </w:tblGrid>
      <w:tr w:rsidR="00F839D0" w:rsidRPr="00AD28AF" w14:paraId="5924570F" w14:textId="77777777" w:rsidTr="00D80606">
        <w:tc>
          <w:tcPr>
            <w:tcW w:w="9498" w:type="dxa"/>
          </w:tcPr>
          <w:p w14:paraId="60E7D6F3" w14:textId="6B42C87A" w:rsidR="00F839D0" w:rsidRPr="00D80606" w:rsidRDefault="00F839D0" w:rsidP="00474CE7">
            <w:pPr>
              <w:ind w:left="0" w:right="0"/>
              <w:jc w:val="left"/>
              <w:rPr>
                <w:rFonts w:asciiTheme="minorHAnsi" w:hAnsiTheme="minorHAnsi"/>
                <w:color w:val="000000"/>
                <w:sz w:val="24"/>
                <w:szCs w:val="24"/>
              </w:rPr>
            </w:pPr>
            <w:r w:rsidRPr="00D80606">
              <w:rPr>
                <w:rFonts w:asciiTheme="minorHAnsi" w:hAnsiTheme="minorHAnsi"/>
                <w:color w:val="000000"/>
                <w:sz w:val="24"/>
                <w:szCs w:val="24"/>
              </w:rPr>
              <w:t>Komunikacja nie polega jedynie na przesyłaniu informacji lub zwiększaniu świadomości. Koncentruje się także na tworzeniu wspólnot, wzmacnianiu poczucia własności i pogłębianiu dialogu z właściwymi partnerami na rzecz zwiększania efektywności, skuteczności i trwałego charakteru programu.</w:t>
            </w:r>
          </w:p>
          <w:p w14:paraId="392E2542" w14:textId="77777777" w:rsidR="00F839D0" w:rsidRPr="00D80606" w:rsidRDefault="00F839D0" w:rsidP="00F97E96">
            <w:pPr>
              <w:ind w:left="0" w:right="0"/>
              <w:rPr>
                <w:rFonts w:asciiTheme="minorHAnsi" w:hAnsiTheme="minorHAnsi"/>
                <w:color w:val="000000"/>
                <w:sz w:val="24"/>
                <w:szCs w:val="24"/>
              </w:rPr>
            </w:pPr>
          </w:p>
          <w:p w14:paraId="3A582DEB" w14:textId="77777777" w:rsidR="00F839D0" w:rsidRPr="00D80606" w:rsidRDefault="00F839D0" w:rsidP="00F97E96">
            <w:pPr>
              <w:ind w:left="0" w:right="0"/>
              <w:rPr>
                <w:rFonts w:asciiTheme="minorHAnsi" w:hAnsiTheme="minorHAnsi"/>
                <w:b/>
                <w:color w:val="000000"/>
                <w:sz w:val="24"/>
                <w:szCs w:val="24"/>
              </w:rPr>
            </w:pPr>
            <w:r w:rsidRPr="00D80606">
              <w:rPr>
                <w:rFonts w:asciiTheme="minorHAnsi" w:hAnsiTheme="minorHAnsi"/>
                <w:b/>
                <w:color w:val="000000"/>
                <w:sz w:val="24"/>
                <w:szCs w:val="24"/>
              </w:rPr>
              <w:t>Cele i odbiorcy</w:t>
            </w:r>
          </w:p>
          <w:p w14:paraId="63E65B26" w14:textId="7DE99890" w:rsidR="00F839D0" w:rsidRPr="00D80606" w:rsidRDefault="00F839D0" w:rsidP="00474CE7">
            <w:pPr>
              <w:ind w:left="0" w:right="0"/>
              <w:jc w:val="left"/>
              <w:rPr>
                <w:rFonts w:asciiTheme="minorHAnsi" w:hAnsiTheme="minorHAnsi"/>
                <w:color w:val="000000"/>
                <w:sz w:val="24"/>
                <w:szCs w:val="24"/>
              </w:rPr>
            </w:pPr>
            <w:r w:rsidRPr="00D80606">
              <w:rPr>
                <w:rFonts w:asciiTheme="minorHAnsi" w:hAnsiTheme="minorHAnsi"/>
                <w:color w:val="000000"/>
                <w:sz w:val="24"/>
                <w:szCs w:val="24"/>
              </w:rPr>
              <w:lastRenderedPageBreak/>
              <w:t xml:space="preserve">Komunikacja stanowi funkcję zarządzania, która dotyczy wszystkich aspektów cyklu życia programu. Determinuje zasób wiedzy na temat programu i sposób, w jaki odbiorcy – definiowani w rozdziałach 2 i 4 – go postrzegają i traktują.  W oparciu o cele programu i zarządzania sformułowane zostały następujące cele komunikacji. </w:t>
            </w:r>
          </w:p>
          <w:p w14:paraId="1743A549" w14:textId="77777777" w:rsidR="00F839D0" w:rsidRPr="00D80606" w:rsidRDefault="00F839D0" w:rsidP="00AA79F9">
            <w:pPr>
              <w:ind w:left="0" w:right="0"/>
              <w:rPr>
                <w:rFonts w:asciiTheme="minorHAnsi" w:hAnsiTheme="minorHAnsi"/>
                <w:color w:val="000000"/>
                <w:sz w:val="24"/>
                <w:szCs w:val="24"/>
                <w:u w:val="single"/>
              </w:rPr>
            </w:pPr>
            <w:r w:rsidRPr="00D80606">
              <w:rPr>
                <w:rFonts w:asciiTheme="minorHAnsi" w:hAnsiTheme="minorHAnsi"/>
                <w:color w:val="000000"/>
                <w:sz w:val="24"/>
                <w:szCs w:val="24"/>
                <w:u w:val="single"/>
              </w:rPr>
              <w:t>Faza wprowadzenia</w:t>
            </w:r>
          </w:p>
          <w:p w14:paraId="1928AB40" w14:textId="77777777" w:rsidR="00F839D0" w:rsidRPr="00D80606" w:rsidRDefault="00F839D0" w:rsidP="00AA79F9">
            <w:pPr>
              <w:pStyle w:val="Akapitzlist"/>
              <w:numPr>
                <w:ilvl w:val="0"/>
                <w:numId w:val="52"/>
              </w:numPr>
              <w:ind w:left="317" w:right="0"/>
              <w:rPr>
                <w:rFonts w:asciiTheme="minorHAnsi" w:hAnsiTheme="minorHAnsi"/>
                <w:color w:val="000000"/>
                <w:sz w:val="24"/>
                <w:szCs w:val="24"/>
              </w:rPr>
            </w:pPr>
            <w:r w:rsidRPr="00D80606">
              <w:rPr>
                <w:rFonts w:asciiTheme="minorHAnsi" w:hAnsiTheme="minorHAnsi"/>
                <w:color w:val="000000"/>
                <w:sz w:val="24"/>
                <w:szCs w:val="24"/>
              </w:rPr>
              <w:t>Zaangażowanie partnerów w zdefiniowanie zaproszeń do składania wniosków i pozostałych interwencji</w:t>
            </w:r>
          </w:p>
          <w:p w14:paraId="483E85E6" w14:textId="77777777" w:rsidR="00F839D0" w:rsidRPr="00D80606" w:rsidRDefault="00F839D0" w:rsidP="005C58DA">
            <w:pPr>
              <w:pStyle w:val="Akapitzlist"/>
              <w:numPr>
                <w:ilvl w:val="0"/>
                <w:numId w:val="52"/>
              </w:numPr>
              <w:spacing w:before="0"/>
              <w:ind w:left="317" w:right="0"/>
              <w:rPr>
                <w:rFonts w:asciiTheme="minorHAnsi" w:hAnsiTheme="minorHAnsi"/>
                <w:color w:val="000000"/>
                <w:sz w:val="24"/>
                <w:szCs w:val="24"/>
              </w:rPr>
            </w:pPr>
            <w:r w:rsidRPr="00D80606">
              <w:rPr>
                <w:rFonts w:asciiTheme="minorHAnsi" w:hAnsiTheme="minorHAnsi"/>
                <w:color w:val="000000"/>
                <w:sz w:val="24"/>
                <w:szCs w:val="24"/>
              </w:rPr>
              <w:t>Zwiększenie wiedzy wszystkich organów programów na rzecz zapewnienia interesariuszom lepszego wsparcia</w:t>
            </w:r>
          </w:p>
          <w:p w14:paraId="21A3A59E" w14:textId="77777777" w:rsidR="00F839D0" w:rsidRPr="00D80606" w:rsidRDefault="00F839D0">
            <w:pPr>
              <w:pStyle w:val="Akapitzlist"/>
              <w:numPr>
                <w:ilvl w:val="0"/>
                <w:numId w:val="52"/>
              </w:numPr>
              <w:spacing w:before="0"/>
              <w:ind w:left="317" w:right="0"/>
              <w:rPr>
                <w:rFonts w:asciiTheme="minorHAnsi" w:hAnsiTheme="minorHAnsi"/>
                <w:color w:val="000000"/>
                <w:sz w:val="24"/>
                <w:szCs w:val="24"/>
              </w:rPr>
            </w:pPr>
            <w:r w:rsidRPr="00D80606">
              <w:rPr>
                <w:rFonts w:asciiTheme="minorHAnsi" w:hAnsiTheme="minorHAnsi"/>
                <w:color w:val="000000"/>
                <w:sz w:val="24"/>
                <w:szCs w:val="24"/>
              </w:rPr>
              <w:t>Wzmocnienie zaangażowania wszystkich organów programu do realizacji nowych procesów i przestrzegania kultury pracy</w:t>
            </w:r>
          </w:p>
          <w:p w14:paraId="1E1568CE" w14:textId="77777777" w:rsidR="00F839D0" w:rsidRPr="00D80606" w:rsidRDefault="00F839D0">
            <w:pPr>
              <w:ind w:left="0" w:right="0"/>
              <w:rPr>
                <w:rFonts w:asciiTheme="minorHAnsi" w:hAnsiTheme="minorHAnsi"/>
                <w:color w:val="000000"/>
                <w:sz w:val="24"/>
                <w:szCs w:val="24"/>
                <w:u w:val="single"/>
              </w:rPr>
            </w:pPr>
            <w:r w:rsidRPr="00D80606">
              <w:rPr>
                <w:rFonts w:asciiTheme="minorHAnsi" w:hAnsiTheme="minorHAnsi"/>
                <w:color w:val="000000"/>
                <w:sz w:val="24"/>
                <w:szCs w:val="24"/>
                <w:u w:val="single"/>
              </w:rPr>
              <w:t>Faza zastosowania</w:t>
            </w:r>
          </w:p>
          <w:p w14:paraId="36626879" w14:textId="77777777" w:rsidR="00F839D0" w:rsidRPr="00D80606" w:rsidRDefault="00F839D0">
            <w:pPr>
              <w:pStyle w:val="Akapitzlist"/>
              <w:numPr>
                <w:ilvl w:val="0"/>
                <w:numId w:val="52"/>
              </w:numPr>
              <w:ind w:left="317" w:right="0"/>
              <w:rPr>
                <w:rFonts w:asciiTheme="minorHAnsi" w:hAnsiTheme="minorHAnsi"/>
                <w:color w:val="000000"/>
                <w:sz w:val="24"/>
                <w:szCs w:val="24"/>
              </w:rPr>
            </w:pPr>
            <w:r w:rsidRPr="00D80606">
              <w:rPr>
                <w:rFonts w:asciiTheme="minorHAnsi" w:hAnsiTheme="minorHAnsi"/>
                <w:color w:val="000000"/>
                <w:sz w:val="24"/>
                <w:szCs w:val="24"/>
              </w:rPr>
              <w:t>Zwiększenie świadomości wnioskodawców (w tym nowych) ze wszystkich terytoriów w zakresie zaproszeń do składania wniosków</w:t>
            </w:r>
          </w:p>
          <w:p w14:paraId="784EC84A" w14:textId="77777777" w:rsidR="00F839D0" w:rsidRPr="00D80606" w:rsidRDefault="00F839D0">
            <w:pPr>
              <w:pStyle w:val="Akapitzlist"/>
              <w:numPr>
                <w:ilvl w:val="0"/>
                <w:numId w:val="52"/>
              </w:numPr>
              <w:ind w:left="317" w:right="0"/>
              <w:rPr>
                <w:rFonts w:asciiTheme="minorHAnsi" w:hAnsiTheme="minorHAnsi"/>
                <w:color w:val="000000"/>
                <w:sz w:val="24"/>
                <w:szCs w:val="24"/>
              </w:rPr>
            </w:pPr>
            <w:r w:rsidRPr="00D80606">
              <w:rPr>
                <w:rFonts w:asciiTheme="minorHAnsi" w:hAnsiTheme="minorHAnsi"/>
                <w:color w:val="000000"/>
                <w:sz w:val="24"/>
                <w:szCs w:val="24"/>
              </w:rPr>
              <w:t>Zwiększenie wiedzy wnioskodawców w celu poprawy jakości wniosków</w:t>
            </w:r>
          </w:p>
          <w:p w14:paraId="0166B307" w14:textId="77777777" w:rsidR="00F839D0" w:rsidRPr="00D80606" w:rsidRDefault="00F839D0">
            <w:pPr>
              <w:ind w:left="0" w:right="0"/>
              <w:rPr>
                <w:rFonts w:asciiTheme="minorHAnsi" w:hAnsiTheme="minorHAnsi"/>
                <w:color w:val="000000"/>
                <w:sz w:val="24"/>
                <w:szCs w:val="24"/>
                <w:u w:val="single"/>
              </w:rPr>
            </w:pPr>
            <w:r w:rsidRPr="00D80606">
              <w:rPr>
                <w:rFonts w:asciiTheme="minorHAnsi" w:hAnsiTheme="minorHAnsi"/>
                <w:color w:val="000000"/>
                <w:sz w:val="24"/>
                <w:szCs w:val="24"/>
                <w:u w:val="single"/>
              </w:rPr>
              <w:t>Faza realizacji</w:t>
            </w:r>
          </w:p>
          <w:p w14:paraId="5BEEB5A2" w14:textId="77777777" w:rsidR="00F839D0" w:rsidRPr="00D80606" w:rsidRDefault="00F839D0">
            <w:pPr>
              <w:pStyle w:val="Akapitzlist"/>
              <w:numPr>
                <w:ilvl w:val="0"/>
                <w:numId w:val="52"/>
              </w:numPr>
              <w:ind w:left="317" w:right="0"/>
              <w:rPr>
                <w:rFonts w:asciiTheme="minorHAnsi" w:hAnsiTheme="minorHAnsi"/>
                <w:color w:val="000000"/>
                <w:sz w:val="24"/>
                <w:szCs w:val="24"/>
              </w:rPr>
            </w:pPr>
            <w:r w:rsidRPr="00D80606">
              <w:rPr>
                <w:rFonts w:asciiTheme="minorHAnsi" w:hAnsiTheme="minorHAnsi"/>
                <w:color w:val="000000"/>
                <w:sz w:val="24"/>
                <w:szCs w:val="24"/>
              </w:rPr>
              <w:t>Zwiększenie wiedzy beneficjentów w celu poprawy realizacji projektów</w:t>
            </w:r>
          </w:p>
          <w:p w14:paraId="6FBAFA7E" w14:textId="77777777" w:rsidR="00F839D0" w:rsidRPr="00D80606" w:rsidRDefault="00F839D0">
            <w:pPr>
              <w:pStyle w:val="Akapitzlist"/>
              <w:numPr>
                <w:ilvl w:val="0"/>
                <w:numId w:val="52"/>
              </w:numPr>
              <w:ind w:left="317" w:right="0"/>
              <w:rPr>
                <w:rFonts w:asciiTheme="minorHAnsi" w:hAnsiTheme="minorHAnsi"/>
                <w:color w:val="000000"/>
                <w:sz w:val="24"/>
                <w:szCs w:val="24"/>
              </w:rPr>
            </w:pPr>
            <w:r w:rsidRPr="00D80606">
              <w:rPr>
                <w:rFonts w:asciiTheme="minorHAnsi" w:hAnsiTheme="minorHAnsi"/>
                <w:color w:val="000000"/>
                <w:sz w:val="24"/>
                <w:szCs w:val="24"/>
              </w:rPr>
              <w:t>Zaangażowanie beneficjentów we wspólnotę Programu Interreg EUROPA ŚRODKOWA na rzecz poprawy uczenia się od kolegów</w:t>
            </w:r>
          </w:p>
          <w:p w14:paraId="732895A1" w14:textId="77777777" w:rsidR="00F839D0" w:rsidRPr="00D80606" w:rsidRDefault="00F839D0">
            <w:pPr>
              <w:ind w:left="0" w:right="0"/>
              <w:rPr>
                <w:rFonts w:asciiTheme="minorHAnsi" w:hAnsiTheme="minorHAnsi"/>
                <w:color w:val="000000"/>
                <w:sz w:val="24"/>
                <w:szCs w:val="24"/>
                <w:u w:val="single"/>
              </w:rPr>
            </w:pPr>
            <w:r w:rsidRPr="00D80606">
              <w:rPr>
                <w:rFonts w:asciiTheme="minorHAnsi" w:hAnsiTheme="minorHAnsi"/>
                <w:color w:val="000000"/>
                <w:sz w:val="24"/>
                <w:szCs w:val="24"/>
                <w:u w:val="single"/>
              </w:rPr>
              <w:t>Faza kapitalizacji</w:t>
            </w:r>
          </w:p>
          <w:p w14:paraId="77012404" w14:textId="058ED835" w:rsidR="00F839D0" w:rsidRPr="00D80606" w:rsidRDefault="00F839D0">
            <w:pPr>
              <w:pStyle w:val="Akapitzlist"/>
              <w:numPr>
                <w:ilvl w:val="0"/>
                <w:numId w:val="52"/>
              </w:numPr>
              <w:ind w:left="317" w:right="0"/>
              <w:rPr>
                <w:rFonts w:asciiTheme="minorHAnsi" w:hAnsiTheme="minorHAnsi"/>
                <w:color w:val="000000"/>
                <w:sz w:val="24"/>
                <w:szCs w:val="24"/>
              </w:rPr>
            </w:pPr>
            <w:r w:rsidRPr="00D80606">
              <w:rPr>
                <w:rFonts w:asciiTheme="minorHAnsi" w:hAnsiTheme="minorHAnsi"/>
                <w:color w:val="000000"/>
                <w:sz w:val="24"/>
                <w:szCs w:val="24"/>
              </w:rPr>
              <w:t>Poprawa nastawienia grup docelowych – zdefiniowanych w rozdziałach 2 i 4 – programu i projektów do (przyjmowania) wyników</w:t>
            </w:r>
          </w:p>
          <w:p w14:paraId="01CFA844" w14:textId="77777777" w:rsidR="00F839D0" w:rsidRPr="00D80606" w:rsidRDefault="00F839D0">
            <w:pPr>
              <w:ind w:left="0" w:right="0"/>
              <w:rPr>
                <w:rFonts w:asciiTheme="minorHAnsi" w:hAnsiTheme="minorHAnsi"/>
                <w:color w:val="000000"/>
                <w:sz w:val="24"/>
                <w:szCs w:val="24"/>
              </w:rPr>
            </w:pPr>
            <w:r w:rsidRPr="00D80606">
              <w:rPr>
                <w:rFonts w:asciiTheme="minorHAnsi" w:hAnsiTheme="minorHAnsi"/>
                <w:color w:val="000000"/>
                <w:sz w:val="24"/>
                <w:szCs w:val="24"/>
              </w:rPr>
              <w:t>Szczegółowe cele roczne zostaną określone w corocznych planach pracy.</w:t>
            </w:r>
          </w:p>
          <w:p w14:paraId="1676E118" w14:textId="77777777" w:rsidR="00F839D0" w:rsidRPr="00D80606" w:rsidRDefault="00F839D0">
            <w:pPr>
              <w:ind w:left="0" w:right="0"/>
              <w:rPr>
                <w:rFonts w:asciiTheme="minorHAnsi" w:hAnsiTheme="minorHAnsi"/>
                <w:color w:val="000000"/>
                <w:sz w:val="24"/>
                <w:szCs w:val="24"/>
              </w:rPr>
            </w:pPr>
          </w:p>
          <w:p w14:paraId="69A60586" w14:textId="77777777" w:rsidR="00F839D0" w:rsidRPr="00D80606" w:rsidRDefault="00F839D0">
            <w:pPr>
              <w:ind w:left="0" w:right="0"/>
              <w:rPr>
                <w:rFonts w:asciiTheme="minorHAnsi" w:hAnsiTheme="minorHAnsi"/>
                <w:b/>
                <w:color w:val="000000"/>
                <w:sz w:val="24"/>
                <w:szCs w:val="24"/>
              </w:rPr>
            </w:pPr>
            <w:r w:rsidRPr="00D80606">
              <w:rPr>
                <w:rFonts w:asciiTheme="minorHAnsi" w:hAnsiTheme="minorHAnsi"/>
                <w:b/>
                <w:color w:val="000000"/>
                <w:sz w:val="24"/>
                <w:szCs w:val="24"/>
              </w:rPr>
              <w:t>Taktyki, kanały i przesłania</w:t>
            </w:r>
          </w:p>
          <w:p w14:paraId="212ED22E" w14:textId="7AC26B5C" w:rsidR="00F839D0" w:rsidRPr="00D80606" w:rsidRDefault="00F839D0" w:rsidP="00474CE7">
            <w:pPr>
              <w:ind w:left="0" w:right="0"/>
              <w:jc w:val="left"/>
              <w:rPr>
                <w:rFonts w:asciiTheme="minorHAnsi" w:hAnsiTheme="minorHAnsi"/>
                <w:color w:val="000000"/>
                <w:sz w:val="24"/>
                <w:szCs w:val="24"/>
              </w:rPr>
            </w:pPr>
            <w:r w:rsidRPr="00D80606">
              <w:rPr>
                <w:rFonts w:asciiTheme="minorHAnsi" w:hAnsiTheme="minorHAnsi"/>
                <w:color w:val="000000"/>
                <w:sz w:val="24"/>
                <w:szCs w:val="24"/>
              </w:rPr>
              <w:t xml:space="preserve">Dzięki bliskiemu powiązaniu z ugruntowaną marką Interreg zwiększy się widoczność i pojawią się synergie z pozostałymi programami. Przyczyni się to do poprawy nastawienia ludzi i zmiany ich sposobu postępowania wobec programu w wyniku </w:t>
            </w:r>
            <w:r w:rsidRPr="00D80606">
              <w:rPr>
                <w:rFonts w:asciiTheme="minorHAnsi" w:hAnsiTheme="minorHAnsi"/>
                <w:i/>
                <w:color w:val="000000"/>
                <w:sz w:val="24"/>
                <w:szCs w:val="24"/>
              </w:rPr>
              <w:t>„</w:t>
            </w:r>
            <w:r w:rsidRPr="00D80606">
              <w:rPr>
                <w:rFonts w:asciiTheme="minorHAnsi" w:hAnsiTheme="minorHAnsi"/>
                <w:color w:val="000000"/>
                <w:sz w:val="24"/>
                <w:szCs w:val="24"/>
              </w:rPr>
              <w:t xml:space="preserve">efektu ekspozycji”, zgodnie z którym ludzie rozwijają swoje preferencje dla określonych rzeczy tylko dlatego, że są one im lepiej znane. </w:t>
            </w:r>
          </w:p>
          <w:p w14:paraId="1C41E2CA" w14:textId="171C9575" w:rsidR="00F839D0" w:rsidRPr="00D80606" w:rsidRDefault="00F839D0" w:rsidP="00474CE7">
            <w:pPr>
              <w:ind w:left="0" w:right="0"/>
              <w:jc w:val="left"/>
              <w:rPr>
                <w:rFonts w:asciiTheme="minorHAnsi" w:hAnsiTheme="minorHAnsi"/>
                <w:color w:val="000000"/>
                <w:sz w:val="24"/>
                <w:szCs w:val="24"/>
              </w:rPr>
            </w:pPr>
            <w:r w:rsidRPr="00D80606">
              <w:rPr>
                <w:rFonts w:asciiTheme="minorHAnsi" w:hAnsiTheme="minorHAnsi"/>
                <w:color w:val="000000"/>
                <w:sz w:val="24"/>
                <w:szCs w:val="24"/>
              </w:rPr>
              <w:t xml:space="preserve">Przy wykorzystaniu spójnej marki główna taktyka będzie oparta na marketingu treści przez realizację kampanii różnymi kanałami. Praktyka ta łączy wykorzystanie wielu różnych kanałów w celu elastycznego połączenia i zaangażowania interesariuszy. Cyfrowe i nieinternetowe kanały łączy się ze sobą, często w hybrydowy sposób. Jako kanały komunikacji będą zasadniczo służyć portal internetowy, przesyłki reklamowe i media społecznościowe (w tym LinkedIn, Facebook i Twitter), materiały papierowe (w tym </w:t>
            </w:r>
            <w:r w:rsidR="002374E7" w:rsidRPr="00D80606">
              <w:rPr>
                <w:rFonts w:asciiTheme="minorHAnsi" w:hAnsiTheme="minorHAnsi"/>
                <w:color w:val="000000"/>
                <w:sz w:val="24"/>
                <w:szCs w:val="24"/>
              </w:rPr>
              <w:t xml:space="preserve"> tablice</w:t>
            </w:r>
            <w:r w:rsidRPr="00D80606">
              <w:rPr>
                <w:rFonts w:asciiTheme="minorHAnsi" w:hAnsiTheme="minorHAnsi"/>
                <w:color w:val="000000"/>
                <w:sz w:val="24"/>
                <w:szCs w:val="24"/>
              </w:rPr>
              <w:t>), wydarzenia i spotkania.</w:t>
            </w:r>
          </w:p>
          <w:p w14:paraId="26A61C14" w14:textId="3E9E5AE2" w:rsidR="00F839D0" w:rsidRPr="00D80606" w:rsidRDefault="00F839D0" w:rsidP="00474CE7">
            <w:pPr>
              <w:ind w:left="0" w:right="0"/>
              <w:jc w:val="left"/>
              <w:rPr>
                <w:rFonts w:asciiTheme="minorHAnsi" w:hAnsiTheme="minorHAnsi"/>
                <w:color w:val="000000"/>
                <w:sz w:val="24"/>
                <w:szCs w:val="24"/>
              </w:rPr>
            </w:pPr>
            <w:r w:rsidRPr="00D80606">
              <w:rPr>
                <w:rFonts w:asciiTheme="minorHAnsi" w:hAnsiTheme="minorHAnsi"/>
                <w:color w:val="000000"/>
                <w:sz w:val="24"/>
                <w:szCs w:val="24"/>
              </w:rPr>
              <w:t xml:space="preserve">Istotne znaczenie będą miały przejrzystość i wiarygodność treści. Sprawy, które powinny zostać przekazane w programie w celu osiągnięcia celu, należy podzielić na </w:t>
            </w:r>
            <w:r w:rsidRPr="00D80606">
              <w:rPr>
                <w:rFonts w:asciiTheme="minorHAnsi" w:hAnsiTheme="minorHAnsi"/>
                <w:color w:val="000000"/>
                <w:sz w:val="24"/>
                <w:szCs w:val="24"/>
              </w:rPr>
              <w:lastRenderedPageBreak/>
              <w:t>przesłania.  Przesłania będą wynikać z narracji programu (por. sekcja 1).  Będą one stanowić podstawę opracowania treści tematycznych w elastycznych formatach - tekstowym, w formie wizualizacji danych lub nagrań video - także żeby pasowały one do różnych kanałów i zapewniały spójność.</w:t>
            </w:r>
          </w:p>
          <w:p w14:paraId="4D8FE3B0" w14:textId="0B71AC79" w:rsidR="00F839D0" w:rsidRPr="00D80606" w:rsidRDefault="00F839D0">
            <w:pPr>
              <w:ind w:left="0" w:right="0"/>
              <w:rPr>
                <w:rFonts w:asciiTheme="minorHAnsi" w:hAnsiTheme="minorHAnsi"/>
                <w:color w:val="000000"/>
                <w:sz w:val="24"/>
                <w:szCs w:val="24"/>
              </w:rPr>
            </w:pPr>
            <w:r w:rsidRPr="00D80606">
              <w:rPr>
                <w:rFonts w:asciiTheme="minorHAnsi" w:hAnsiTheme="minorHAnsi"/>
                <w:color w:val="000000"/>
                <w:sz w:val="24"/>
                <w:szCs w:val="24"/>
              </w:rPr>
              <w:t>Jeżeli chodzi o doświadczenia użytkowników, treści dotyczące programu będą dostarczane zarówno w możliwym do przeglądania (interaktywnym i osobistym), jak i ustrukturyzowanym formacie (zagregowanym i możliwym do przeszukiwania).  Różne sposoby podejścia będą się często wzajemnie uzupełniać, np. na stronie internetowej lista operacji będzie dostarczać ustrukturyzowanych informacji, podczas gdy właściwości prezentacji multimedialnej będą umożliwiać ich przeglądanie</w:t>
            </w:r>
            <w:r w:rsidR="00A72BD3" w:rsidRPr="00D80606">
              <w:rPr>
                <w:rFonts w:asciiTheme="minorHAnsi" w:hAnsiTheme="minorHAnsi"/>
                <w:color w:val="000000"/>
                <w:sz w:val="24"/>
                <w:szCs w:val="24"/>
              </w:rPr>
              <w:t>.</w:t>
            </w:r>
            <w:r w:rsidRPr="00D80606">
              <w:rPr>
                <w:rFonts w:asciiTheme="minorHAnsi" w:hAnsiTheme="minorHAnsi"/>
                <w:color w:val="000000"/>
                <w:sz w:val="24"/>
                <w:szCs w:val="24"/>
              </w:rPr>
              <w:t xml:space="preserve">  </w:t>
            </w:r>
          </w:p>
          <w:p w14:paraId="241EA829" w14:textId="22F25F39" w:rsidR="00F839D0" w:rsidRPr="00D80606" w:rsidRDefault="00F839D0">
            <w:pPr>
              <w:ind w:left="0" w:right="0"/>
              <w:rPr>
                <w:rFonts w:asciiTheme="minorHAnsi" w:hAnsiTheme="minorHAnsi"/>
                <w:color w:val="000000"/>
                <w:sz w:val="24"/>
                <w:szCs w:val="24"/>
              </w:rPr>
            </w:pPr>
            <w:r w:rsidRPr="00D80606">
              <w:rPr>
                <w:rFonts w:asciiTheme="minorHAnsi" w:hAnsiTheme="minorHAnsi"/>
                <w:color w:val="000000"/>
                <w:sz w:val="24"/>
                <w:szCs w:val="24"/>
              </w:rPr>
              <w:t xml:space="preserve">W programie będą ponadto wykorzystywani ambasadorzy wybrani z jego społeczności. Dzięki ich </w:t>
            </w:r>
            <w:r w:rsidR="00A72BD3" w:rsidRPr="00D80606">
              <w:rPr>
                <w:rFonts w:asciiTheme="minorHAnsi" w:hAnsiTheme="minorHAnsi"/>
                <w:color w:val="000000"/>
                <w:sz w:val="24"/>
                <w:szCs w:val="24"/>
              </w:rPr>
              <w:t>l</w:t>
            </w:r>
            <w:r w:rsidRPr="00D80606">
              <w:rPr>
                <w:rFonts w:asciiTheme="minorHAnsi" w:hAnsiTheme="minorHAnsi"/>
                <w:color w:val="000000"/>
                <w:sz w:val="24"/>
                <w:szCs w:val="24"/>
              </w:rPr>
              <w:t xml:space="preserve">okalnemu zakotwiczeniu beneficjenci programu będą docierać w mediach (społecznościowych) do obywateli i użytkowników końcowych, posługując się hashtagiem społeczności </w:t>
            </w:r>
            <w:r w:rsidRPr="00D80606">
              <w:rPr>
                <w:rFonts w:asciiTheme="minorHAnsi" w:hAnsiTheme="minorHAnsi"/>
                <w:i/>
                <w:color w:val="000000"/>
                <w:sz w:val="24"/>
                <w:szCs w:val="24"/>
              </w:rPr>
              <w:t>#</w:t>
            </w:r>
            <w:r w:rsidRPr="008A72BA">
              <w:rPr>
                <w:rFonts w:asciiTheme="minorHAnsi" w:hAnsiTheme="minorHAnsi"/>
                <w:color w:val="000000"/>
                <w:sz w:val="24"/>
                <w:szCs w:val="24"/>
              </w:rPr>
              <w:t>cooperationiscentral</w:t>
            </w:r>
            <w:r w:rsidRPr="00D80606">
              <w:rPr>
                <w:rFonts w:asciiTheme="minorHAnsi" w:hAnsiTheme="minorHAnsi"/>
                <w:color w:val="000000"/>
                <w:sz w:val="24"/>
                <w:szCs w:val="24"/>
              </w:rPr>
              <w:t>.</w:t>
            </w:r>
          </w:p>
          <w:p w14:paraId="472602D6" w14:textId="77777777" w:rsidR="00F839D0" w:rsidRPr="00D80606" w:rsidRDefault="00F839D0">
            <w:pPr>
              <w:ind w:left="0" w:right="0"/>
              <w:rPr>
                <w:rFonts w:asciiTheme="minorHAnsi" w:hAnsiTheme="minorHAnsi"/>
                <w:color w:val="000000"/>
                <w:sz w:val="24"/>
                <w:szCs w:val="24"/>
              </w:rPr>
            </w:pPr>
            <w:r w:rsidRPr="00D80606">
              <w:rPr>
                <w:rFonts w:asciiTheme="minorHAnsi" w:hAnsiTheme="minorHAnsi"/>
                <w:color w:val="000000"/>
                <w:sz w:val="24"/>
                <w:szCs w:val="24"/>
              </w:rPr>
              <w:t>Wdrożenie kanałów, przesłań i treści zostanie określone w późniejszym czasie w corocznych planach pracy.</w:t>
            </w:r>
          </w:p>
          <w:p w14:paraId="1847B2B2" w14:textId="77777777" w:rsidR="00F839D0" w:rsidRPr="00D80606" w:rsidRDefault="00F839D0">
            <w:pPr>
              <w:ind w:left="0" w:right="0"/>
              <w:rPr>
                <w:rFonts w:asciiTheme="minorHAnsi" w:hAnsiTheme="minorHAnsi"/>
                <w:color w:val="000000"/>
                <w:sz w:val="24"/>
                <w:szCs w:val="24"/>
              </w:rPr>
            </w:pPr>
          </w:p>
          <w:p w14:paraId="119F202C" w14:textId="77777777" w:rsidR="00F839D0" w:rsidRPr="00D80606" w:rsidRDefault="00F839D0">
            <w:pPr>
              <w:ind w:left="0" w:right="0"/>
              <w:rPr>
                <w:rFonts w:asciiTheme="minorHAnsi" w:hAnsiTheme="minorHAnsi"/>
                <w:b/>
                <w:color w:val="000000"/>
                <w:sz w:val="24"/>
                <w:szCs w:val="24"/>
              </w:rPr>
            </w:pPr>
            <w:r w:rsidRPr="00D80606">
              <w:rPr>
                <w:rFonts w:asciiTheme="minorHAnsi" w:hAnsiTheme="minorHAnsi"/>
                <w:b/>
                <w:color w:val="000000"/>
                <w:sz w:val="24"/>
                <w:szCs w:val="24"/>
              </w:rPr>
              <w:t>Monitoring i ocena</w:t>
            </w:r>
          </w:p>
          <w:p w14:paraId="7FE9B2FE" w14:textId="77777777" w:rsidR="00F839D0" w:rsidRPr="00D80606" w:rsidRDefault="00F839D0">
            <w:pPr>
              <w:ind w:left="0" w:right="0"/>
              <w:rPr>
                <w:rFonts w:asciiTheme="minorHAnsi" w:hAnsiTheme="minorHAnsi"/>
                <w:color w:val="000000"/>
                <w:sz w:val="24"/>
                <w:szCs w:val="24"/>
              </w:rPr>
            </w:pPr>
            <w:r w:rsidRPr="00D80606">
              <w:rPr>
                <w:rFonts w:asciiTheme="minorHAnsi" w:hAnsiTheme="minorHAnsi"/>
                <w:color w:val="000000"/>
                <w:sz w:val="24"/>
                <w:szCs w:val="24"/>
              </w:rPr>
              <w:t>Postęp realizacji i osiągnięcia będą mierzone następującymi wskaźnikami produktów i wyników.</w:t>
            </w:r>
          </w:p>
          <w:p w14:paraId="4384A9EB" w14:textId="77777777" w:rsidR="00F839D0" w:rsidRPr="00D80606" w:rsidRDefault="00F839D0">
            <w:pPr>
              <w:ind w:left="0" w:right="0"/>
              <w:rPr>
                <w:rFonts w:asciiTheme="minorHAnsi" w:hAnsiTheme="minorHAnsi"/>
                <w:color w:val="000000"/>
                <w:sz w:val="24"/>
                <w:szCs w:val="24"/>
                <w:u w:val="single"/>
              </w:rPr>
            </w:pPr>
            <w:r w:rsidRPr="00D80606">
              <w:rPr>
                <w:rFonts w:asciiTheme="minorHAnsi" w:hAnsiTheme="minorHAnsi"/>
                <w:color w:val="000000"/>
                <w:sz w:val="24"/>
                <w:szCs w:val="24"/>
                <w:u w:val="single"/>
              </w:rPr>
              <w:t>Faza wprowadzenia i zastosowania</w:t>
            </w:r>
          </w:p>
          <w:p w14:paraId="537768B9" w14:textId="77777777" w:rsidR="00F839D0" w:rsidRPr="00D80606" w:rsidRDefault="00F839D0" w:rsidP="00474CE7">
            <w:pPr>
              <w:pStyle w:val="Akapitzlist"/>
              <w:numPr>
                <w:ilvl w:val="0"/>
                <w:numId w:val="52"/>
              </w:numPr>
              <w:ind w:left="317" w:right="0"/>
              <w:jc w:val="left"/>
              <w:rPr>
                <w:rFonts w:asciiTheme="minorHAnsi" w:hAnsiTheme="minorHAnsi"/>
                <w:color w:val="000000"/>
                <w:sz w:val="24"/>
                <w:szCs w:val="24"/>
              </w:rPr>
            </w:pPr>
            <w:r w:rsidRPr="00D80606">
              <w:rPr>
                <w:rFonts w:asciiTheme="minorHAnsi" w:hAnsiTheme="minorHAnsi"/>
                <w:color w:val="000000"/>
                <w:sz w:val="24"/>
                <w:szCs w:val="24"/>
              </w:rPr>
              <w:t>Produkt: Ruch sieciowy i konwersje, zaangażowanie w mediach społecznościowych, udział w wydarzeniach (dane statystyczne)</w:t>
            </w:r>
          </w:p>
          <w:p w14:paraId="26F95E92" w14:textId="77777777" w:rsidR="00F839D0" w:rsidRPr="00D80606" w:rsidRDefault="00F839D0">
            <w:pPr>
              <w:pStyle w:val="Akapitzlist"/>
              <w:numPr>
                <w:ilvl w:val="0"/>
                <w:numId w:val="52"/>
              </w:numPr>
              <w:ind w:left="317" w:right="0"/>
              <w:rPr>
                <w:rFonts w:asciiTheme="minorHAnsi" w:hAnsiTheme="minorHAnsi"/>
                <w:color w:val="000000"/>
                <w:sz w:val="24"/>
                <w:szCs w:val="24"/>
              </w:rPr>
            </w:pPr>
            <w:r w:rsidRPr="00D80606">
              <w:rPr>
                <w:rFonts w:asciiTheme="minorHAnsi" w:hAnsiTheme="minorHAnsi"/>
                <w:color w:val="000000"/>
                <w:sz w:val="24"/>
                <w:szCs w:val="24"/>
              </w:rPr>
              <w:t>Wynik: Zadowolenie wnioskodawców z informacji i wsparcia ze strony programu (badanie)</w:t>
            </w:r>
          </w:p>
          <w:p w14:paraId="47ADC6F4" w14:textId="77777777" w:rsidR="00F839D0" w:rsidRPr="00D80606" w:rsidRDefault="00F839D0">
            <w:pPr>
              <w:ind w:left="0" w:right="0"/>
              <w:rPr>
                <w:rFonts w:asciiTheme="minorHAnsi" w:hAnsiTheme="minorHAnsi"/>
                <w:color w:val="000000"/>
                <w:sz w:val="24"/>
                <w:szCs w:val="24"/>
                <w:u w:val="single"/>
              </w:rPr>
            </w:pPr>
            <w:r w:rsidRPr="00D80606">
              <w:rPr>
                <w:rFonts w:asciiTheme="minorHAnsi" w:hAnsiTheme="minorHAnsi"/>
                <w:color w:val="000000"/>
                <w:sz w:val="24"/>
                <w:szCs w:val="24"/>
                <w:u w:val="single"/>
              </w:rPr>
              <w:t>Faza realizacji</w:t>
            </w:r>
          </w:p>
          <w:p w14:paraId="70B65627" w14:textId="77777777" w:rsidR="00F839D0" w:rsidRPr="00D80606" w:rsidRDefault="00F839D0" w:rsidP="00474CE7">
            <w:pPr>
              <w:pStyle w:val="Akapitzlist"/>
              <w:numPr>
                <w:ilvl w:val="0"/>
                <w:numId w:val="52"/>
              </w:numPr>
              <w:ind w:left="317" w:right="0"/>
              <w:jc w:val="left"/>
              <w:rPr>
                <w:rFonts w:asciiTheme="minorHAnsi" w:hAnsiTheme="minorHAnsi"/>
                <w:color w:val="000000"/>
                <w:sz w:val="24"/>
                <w:szCs w:val="24"/>
              </w:rPr>
            </w:pPr>
            <w:r w:rsidRPr="00D80606">
              <w:rPr>
                <w:rFonts w:asciiTheme="minorHAnsi" w:hAnsiTheme="minorHAnsi"/>
                <w:color w:val="000000"/>
                <w:sz w:val="24"/>
                <w:szCs w:val="24"/>
              </w:rPr>
              <w:t>Produkt: Ruch sieciowy i konwersje, zaangażowanie w mediach społecznościowych, udział w wydarzeniach (dane statystyczne)</w:t>
            </w:r>
          </w:p>
          <w:p w14:paraId="1E141C5E" w14:textId="77777777" w:rsidR="00F839D0" w:rsidRPr="00D80606" w:rsidRDefault="00F839D0">
            <w:pPr>
              <w:pStyle w:val="Akapitzlist"/>
              <w:numPr>
                <w:ilvl w:val="0"/>
                <w:numId w:val="52"/>
              </w:numPr>
              <w:ind w:left="317" w:right="0"/>
              <w:rPr>
                <w:rFonts w:asciiTheme="minorHAnsi" w:hAnsiTheme="minorHAnsi"/>
                <w:color w:val="000000"/>
                <w:sz w:val="24"/>
                <w:szCs w:val="24"/>
              </w:rPr>
            </w:pPr>
            <w:r w:rsidRPr="00D80606">
              <w:rPr>
                <w:rFonts w:asciiTheme="minorHAnsi" w:hAnsiTheme="minorHAnsi"/>
                <w:color w:val="000000"/>
                <w:sz w:val="24"/>
                <w:szCs w:val="24"/>
              </w:rPr>
              <w:t>Wynik: Zadowolenie beneficjentów z informacji i wsparcia ze strony programu i pozytywne nastawienie wobec społeczności programu (badanie)</w:t>
            </w:r>
          </w:p>
          <w:p w14:paraId="049101EB" w14:textId="77777777" w:rsidR="00F839D0" w:rsidRPr="00D80606" w:rsidRDefault="00F839D0">
            <w:pPr>
              <w:ind w:left="0" w:right="0"/>
              <w:rPr>
                <w:rFonts w:asciiTheme="minorHAnsi" w:hAnsiTheme="minorHAnsi"/>
                <w:color w:val="000000"/>
                <w:sz w:val="24"/>
                <w:szCs w:val="24"/>
                <w:u w:val="single"/>
              </w:rPr>
            </w:pPr>
            <w:r w:rsidRPr="00D80606">
              <w:rPr>
                <w:rFonts w:asciiTheme="minorHAnsi" w:hAnsiTheme="minorHAnsi"/>
                <w:color w:val="000000"/>
                <w:sz w:val="24"/>
                <w:szCs w:val="24"/>
                <w:u w:val="single"/>
              </w:rPr>
              <w:t>Faza kapitalizacji</w:t>
            </w:r>
          </w:p>
          <w:p w14:paraId="4A033796" w14:textId="77777777" w:rsidR="00F839D0" w:rsidRPr="00D80606" w:rsidRDefault="00F839D0" w:rsidP="00474CE7">
            <w:pPr>
              <w:pStyle w:val="Akapitzlist"/>
              <w:numPr>
                <w:ilvl w:val="0"/>
                <w:numId w:val="52"/>
              </w:numPr>
              <w:ind w:left="317" w:right="0"/>
              <w:jc w:val="left"/>
              <w:rPr>
                <w:rFonts w:asciiTheme="minorHAnsi" w:hAnsiTheme="minorHAnsi"/>
                <w:color w:val="000000"/>
                <w:sz w:val="24"/>
                <w:szCs w:val="24"/>
              </w:rPr>
            </w:pPr>
            <w:r w:rsidRPr="00D80606">
              <w:rPr>
                <w:rFonts w:asciiTheme="minorHAnsi" w:hAnsiTheme="minorHAnsi"/>
                <w:color w:val="000000"/>
                <w:sz w:val="24"/>
                <w:szCs w:val="24"/>
              </w:rPr>
              <w:t>Produkt: Ruch sieciowy i konwersje, zaangażowanie w mediach społecznościowych, udział w wydarzeniach (dane statystyczne)</w:t>
            </w:r>
          </w:p>
          <w:p w14:paraId="78785D91" w14:textId="77777777" w:rsidR="00F839D0" w:rsidRPr="00D80606" w:rsidRDefault="00F839D0">
            <w:pPr>
              <w:pStyle w:val="Akapitzlist"/>
              <w:numPr>
                <w:ilvl w:val="0"/>
                <w:numId w:val="52"/>
              </w:numPr>
              <w:ind w:left="317" w:right="0"/>
              <w:rPr>
                <w:rFonts w:asciiTheme="minorHAnsi" w:hAnsiTheme="minorHAnsi"/>
                <w:color w:val="000000"/>
                <w:sz w:val="24"/>
                <w:szCs w:val="24"/>
              </w:rPr>
            </w:pPr>
            <w:r w:rsidRPr="00D80606">
              <w:rPr>
                <w:rFonts w:asciiTheme="minorHAnsi" w:hAnsiTheme="minorHAnsi"/>
                <w:color w:val="000000"/>
                <w:sz w:val="24"/>
                <w:szCs w:val="24"/>
              </w:rPr>
              <w:t>Wynik: Zadowolenie interesariuszy z wyników i oddziaływania programu (badanie)</w:t>
            </w:r>
          </w:p>
          <w:p w14:paraId="3CAA68FB" w14:textId="77777777" w:rsidR="00F839D0" w:rsidRPr="00D80606" w:rsidRDefault="00F839D0">
            <w:pPr>
              <w:ind w:left="0" w:right="0"/>
              <w:rPr>
                <w:rFonts w:asciiTheme="minorHAnsi" w:hAnsiTheme="minorHAnsi"/>
                <w:color w:val="000000"/>
                <w:sz w:val="24"/>
                <w:szCs w:val="24"/>
              </w:rPr>
            </w:pPr>
            <w:r w:rsidRPr="00D80606">
              <w:rPr>
                <w:rFonts w:asciiTheme="minorHAnsi" w:hAnsiTheme="minorHAnsi"/>
                <w:color w:val="000000"/>
                <w:sz w:val="24"/>
                <w:szCs w:val="24"/>
              </w:rPr>
              <w:t>Wskaźniki, w tym wartości bazowe i docelowe, zostaną ustalone w późniejszym czasie w rocznych planach pracy.</w:t>
            </w:r>
          </w:p>
          <w:p w14:paraId="351123ED" w14:textId="77777777" w:rsidR="00EB444C" w:rsidRPr="00D80606" w:rsidRDefault="00EB444C">
            <w:pPr>
              <w:ind w:left="0" w:right="0"/>
              <w:rPr>
                <w:rFonts w:asciiTheme="minorHAnsi" w:hAnsiTheme="minorHAnsi"/>
                <w:color w:val="000000"/>
                <w:sz w:val="24"/>
                <w:szCs w:val="24"/>
              </w:rPr>
            </w:pPr>
          </w:p>
          <w:p w14:paraId="0033B6CA" w14:textId="77777777" w:rsidR="00F839D0" w:rsidRPr="00D80606" w:rsidRDefault="00F839D0">
            <w:pPr>
              <w:ind w:left="0" w:right="0"/>
              <w:rPr>
                <w:rFonts w:asciiTheme="minorHAnsi" w:hAnsiTheme="minorHAnsi"/>
                <w:b/>
                <w:color w:val="000000"/>
                <w:sz w:val="24"/>
                <w:szCs w:val="24"/>
              </w:rPr>
            </w:pPr>
            <w:r w:rsidRPr="00D80606">
              <w:rPr>
                <w:rFonts w:asciiTheme="minorHAnsi" w:hAnsiTheme="minorHAnsi"/>
                <w:b/>
                <w:color w:val="000000"/>
                <w:sz w:val="24"/>
                <w:szCs w:val="24"/>
              </w:rPr>
              <w:t>Budżet i zasoby</w:t>
            </w:r>
          </w:p>
          <w:p w14:paraId="5AF81E5A" w14:textId="268180D9" w:rsidR="00F839D0" w:rsidRPr="00D80606" w:rsidRDefault="00F839D0" w:rsidP="00474CE7">
            <w:pPr>
              <w:ind w:left="0" w:right="0"/>
              <w:jc w:val="left"/>
              <w:rPr>
                <w:rFonts w:asciiTheme="minorHAnsi" w:hAnsiTheme="minorHAnsi"/>
                <w:color w:val="000000"/>
                <w:sz w:val="24"/>
                <w:szCs w:val="24"/>
              </w:rPr>
            </w:pPr>
            <w:r w:rsidRPr="00D80606">
              <w:rPr>
                <w:rFonts w:asciiTheme="minorHAnsi" w:hAnsiTheme="minorHAnsi"/>
                <w:color w:val="000000"/>
                <w:sz w:val="24"/>
                <w:szCs w:val="24"/>
              </w:rPr>
              <w:lastRenderedPageBreak/>
              <w:t>Komunikacja stanowi zadanie zarządcze o charakterze horyzontalnym, które koordynuje jednostka ds. komunikacji programu i budowania zdolności. Realizację będą wspierać w szczególności wszystkie organy programu i sieć krajowych punktów kontaktowych. Budżet na komunikację, z wyłączeniem kosztów wynagrodzeń, będzie nie mniejszy niż równowartość 0,3% całkowitego budżetu programu.</w:t>
            </w:r>
          </w:p>
          <w:p w14:paraId="7BB13AA9" w14:textId="77777777" w:rsidR="00F839D0" w:rsidRPr="00D80606" w:rsidRDefault="00F839D0">
            <w:pPr>
              <w:ind w:left="0" w:right="0"/>
              <w:rPr>
                <w:rFonts w:asciiTheme="minorHAnsi" w:hAnsiTheme="minorHAnsi"/>
                <w:color w:val="000000"/>
                <w:sz w:val="24"/>
                <w:szCs w:val="24"/>
              </w:rPr>
            </w:pPr>
            <w:r w:rsidRPr="00D80606">
              <w:rPr>
                <w:rFonts w:asciiTheme="minorHAnsi" w:hAnsiTheme="minorHAnsi"/>
                <w:color w:val="000000"/>
                <w:sz w:val="24"/>
                <w:szCs w:val="24"/>
              </w:rPr>
              <w:t>Niezbędne środki budżetowe i zasoby zostaną ustalone w późniejszym czasie w rocznych planach pracy.</w:t>
            </w:r>
          </w:p>
        </w:tc>
      </w:tr>
    </w:tbl>
    <w:p w14:paraId="399D8D1A" w14:textId="77777777" w:rsidR="00534567" w:rsidRPr="00680741" w:rsidRDefault="00534567" w:rsidP="008727F2">
      <w:pPr>
        <w:spacing w:before="240" w:after="240" w:line="240" w:lineRule="auto"/>
        <w:ind w:left="709" w:hanging="709"/>
        <w:rPr>
          <w:rFonts w:asciiTheme="minorHAnsi" w:hAnsiTheme="minorHAnsi"/>
          <w:b/>
          <w:sz w:val="24"/>
          <w:szCs w:val="24"/>
        </w:rPr>
      </w:pPr>
    </w:p>
    <w:p w14:paraId="1101AFC5" w14:textId="0B8790DE" w:rsidR="00534567" w:rsidRPr="00FF5781" w:rsidRDefault="00534567" w:rsidP="00D80606">
      <w:pPr>
        <w:pStyle w:val="CE-Headline1"/>
      </w:pPr>
      <w:bookmarkStart w:id="119" w:name="_Toc71036617"/>
      <w:r>
        <w:t>Wskazanie wsparcia dla projektów na małą skalę, w tym małych projektów w ramach funduszy małych projektów</w:t>
      </w:r>
      <w:bookmarkEnd w:id="119"/>
    </w:p>
    <w:p w14:paraId="72E2D8C0" w14:textId="40E056E7" w:rsidR="00534567" w:rsidRPr="00D80606" w:rsidRDefault="00534567" w:rsidP="00534567">
      <w:pPr>
        <w:ind w:left="0"/>
        <w:rPr>
          <w:rFonts w:asciiTheme="minorHAnsi" w:hAnsiTheme="minorHAnsi"/>
          <w:color w:val="000000"/>
          <w:szCs w:val="24"/>
        </w:rPr>
      </w:pPr>
      <w:r w:rsidRPr="00D80606">
        <w:rPr>
          <w:rFonts w:asciiTheme="minorHAnsi" w:hAnsiTheme="minorHAnsi"/>
          <w:color w:val="000000"/>
        </w:rPr>
        <w:t>Podstawa: art. 17 ust. 4 lit. (nowe j), art. 24</w:t>
      </w:r>
    </w:p>
    <w:p w14:paraId="622CC96B" w14:textId="73784505" w:rsidR="00864A6D" w:rsidRPr="00D80606" w:rsidRDefault="00AD28AF" w:rsidP="00534567">
      <w:pPr>
        <w:ind w:left="0"/>
        <w:rPr>
          <w:rFonts w:asciiTheme="minorHAnsi" w:hAnsiTheme="minorHAnsi"/>
        </w:rPr>
      </w:pPr>
      <w:r w:rsidRPr="00D80606">
        <w:rPr>
          <w:rFonts w:asciiTheme="minorHAnsi" w:hAnsiTheme="minorHAnsi"/>
        </w:rPr>
        <w:t>Pole tekstowe [7 000]</w:t>
      </w:r>
    </w:p>
    <w:p w14:paraId="5DF2C670" w14:textId="77777777" w:rsidR="009C7A1E" w:rsidRPr="00D80606" w:rsidRDefault="009C7A1E" w:rsidP="00474CE7">
      <w:pPr>
        <w:pBdr>
          <w:top w:val="single" w:sz="4" w:space="1" w:color="000000"/>
          <w:left w:val="single" w:sz="4" w:space="4" w:color="000000"/>
          <w:bottom w:val="single" w:sz="4" w:space="1" w:color="000000"/>
          <w:right w:val="single" w:sz="4" w:space="4" w:color="000000"/>
        </w:pBdr>
        <w:spacing w:after="120"/>
        <w:ind w:left="0"/>
        <w:jc w:val="left"/>
        <w:rPr>
          <w:rFonts w:asciiTheme="minorHAnsi" w:hAnsiTheme="minorHAnsi"/>
          <w:color w:val="000000"/>
          <w:sz w:val="24"/>
          <w:szCs w:val="24"/>
        </w:rPr>
      </w:pPr>
      <w:r w:rsidRPr="00D80606">
        <w:rPr>
          <w:rFonts w:asciiTheme="minorHAnsi" w:hAnsiTheme="minorHAnsi"/>
          <w:color w:val="000000"/>
          <w:sz w:val="24"/>
          <w:szCs w:val="24"/>
        </w:rPr>
        <w:t xml:space="preserve">Program Interreg EUROPA ŚRODKOWA obejmuje dziewięć państw członkowskich UE i 81 regionów NUTS2. Ten rozległy obszar charakteryzuje się szerokim zakresem wspólnych wyzwań, które dotyczą wszystkich regionów Europy Środkowej. Z tymi wyzwaniami i odpowiednimi potrzebami można się odpowiednio zmierzyć tylko wtedy, gdy partnerstwa w ramach projektów będą miały szeroki zasięg geograficzny, wykraczając tym samym wyraźnie poza minimalne wymogi współpracy transnarodowej określone w ramach regulacyjnych. </w:t>
      </w:r>
    </w:p>
    <w:p w14:paraId="45B3965F" w14:textId="77777777" w:rsidR="009C7A1E" w:rsidRPr="00D80606" w:rsidRDefault="009C7A1E" w:rsidP="00D80606">
      <w:pPr>
        <w:pBdr>
          <w:top w:val="single" w:sz="4" w:space="1" w:color="000000"/>
          <w:left w:val="single" w:sz="4" w:space="4" w:color="000000"/>
          <w:bottom w:val="single" w:sz="4" w:space="1" w:color="000000"/>
          <w:right w:val="single" w:sz="4" w:space="4" w:color="000000"/>
        </w:pBdr>
        <w:spacing w:after="120"/>
        <w:ind w:left="0"/>
        <w:jc w:val="left"/>
        <w:rPr>
          <w:rFonts w:asciiTheme="minorHAnsi" w:hAnsiTheme="minorHAnsi"/>
          <w:color w:val="000000"/>
          <w:sz w:val="24"/>
          <w:szCs w:val="24"/>
        </w:rPr>
      </w:pPr>
      <w:r w:rsidRPr="00D80606">
        <w:rPr>
          <w:rFonts w:asciiTheme="minorHAnsi" w:hAnsiTheme="minorHAnsi"/>
          <w:color w:val="000000"/>
          <w:sz w:val="24"/>
          <w:szCs w:val="24"/>
        </w:rPr>
        <w:t>Zgodnie z danymi historycznymi z poprzedniego okresu programowania 2014-20 EUROPA ŚRODKOWA, projekty są realizowane przez partnerstwa projektowe skupiające średnio 11 partnerów z sześciu krajów, ze średnim budżetem 1,8 mln EUR EFRR.</w:t>
      </w:r>
    </w:p>
    <w:p w14:paraId="159C92A1" w14:textId="21624803" w:rsidR="009C7A1E" w:rsidRPr="00D80606" w:rsidRDefault="009C7A1E" w:rsidP="00D80606">
      <w:pPr>
        <w:pBdr>
          <w:top w:val="single" w:sz="4" w:space="1" w:color="000000"/>
          <w:left w:val="single" w:sz="4" w:space="4" w:color="000000"/>
          <w:bottom w:val="single" w:sz="4" w:space="1" w:color="000000"/>
          <w:right w:val="single" w:sz="4" w:space="4" w:color="000000"/>
        </w:pBdr>
        <w:spacing w:after="120"/>
        <w:ind w:left="0"/>
        <w:jc w:val="left"/>
        <w:rPr>
          <w:rFonts w:asciiTheme="minorHAnsi" w:hAnsiTheme="minorHAnsi"/>
          <w:color w:val="000000"/>
          <w:sz w:val="24"/>
          <w:szCs w:val="24"/>
        </w:rPr>
      </w:pPr>
      <w:r w:rsidRPr="00D80606">
        <w:rPr>
          <w:rFonts w:asciiTheme="minorHAnsi" w:hAnsiTheme="minorHAnsi"/>
          <w:color w:val="000000"/>
          <w:sz w:val="24"/>
          <w:szCs w:val="24"/>
        </w:rPr>
        <w:t xml:space="preserve">Biorąc powyższe pod uwagę, w okresie programowania 2021-2027 zdecydowana większość funduszy programu zostanie przeznaczona na projekty z udziałem do </w:t>
      </w:r>
      <w:r w:rsidR="00A130D9" w:rsidRPr="00D80606">
        <w:rPr>
          <w:rFonts w:asciiTheme="minorHAnsi" w:hAnsiTheme="minorHAnsi"/>
          <w:color w:val="000000"/>
          <w:sz w:val="24"/>
          <w:szCs w:val="24"/>
        </w:rPr>
        <w:t xml:space="preserve">około </w:t>
      </w:r>
      <w:r w:rsidRPr="00D80606">
        <w:rPr>
          <w:rFonts w:asciiTheme="minorHAnsi" w:hAnsiTheme="minorHAnsi"/>
          <w:color w:val="000000"/>
          <w:sz w:val="24"/>
          <w:szCs w:val="24"/>
        </w:rPr>
        <w:t xml:space="preserve">12 partnerów i o łącznym budżecie </w:t>
      </w:r>
      <w:r w:rsidR="00A130D9" w:rsidRPr="00D80606">
        <w:rPr>
          <w:rFonts w:asciiTheme="minorHAnsi" w:hAnsiTheme="minorHAnsi"/>
          <w:color w:val="000000"/>
          <w:sz w:val="24"/>
          <w:szCs w:val="24"/>
        </w:rPr>
        <w:t xml:space="preserve">ok. </w:t>
      </w:r>
      <w:r w:rsidRPr="00D80606">
        <w:rPr>
          <w:rFonts w:asciiTheme="minorHAnsi" w:hAnsiTheme="minorHAnsi"/>
          <w:color w:val="000000"/>
          <w:sz w:val="24"/>
          <w:szCs w:val="24"/>
        </w:rPr>
        <w:t xml:space="preserve">2 mln EUR. </w:t>
      </w:r>
    </w:p>
    <w:p w14:paraId="32B1F558" w14:textId="24AB0BFF" w:rsidR="009C7A1E" w:rsidRPr="00D80606" w:rsidRDefault="009C7A1E" w:rsidP="00D80606">
      <w:pPr>
        <w:pBdr>
          <w:top w:val="single" w:sz="4" w:space="1" w:color="000000"/>
          <w:left w:val="single" w:sz="4" w:space="4" w:color="000000"/>
          <w:bottom w:val="single" w:sz="4" w:space="1" w:color="000000"/>
          <w:right w:val="single" w:sz="4" w:space="4" w:color="000000"/>
        </w:pBdr>
        <w:spacing w:after="120"/>
        <w:ind w:left="0"/>
        <w:jc w:val="left"/>
        <w:rPr>
          <w:rFonts w:asciiTheme="minorHAnsi" w:hAnsiTheme="minorHAnsi"/>
          <w:color w:val="000000"/>
          <w:sz w:val="24"/>
          <w:szCs w:val="24"/>
        </w:rPr>
      </w:pPr>
      <w:r w:rsidRPr="00D80606">
        <w:rPr>
          <w:rFonts w:asciiTheme="minorHAnsi" w:hAnsiTheme="minorHAnsi"/>
          <w:color w:val="000000"/>
          <w:sz w:val="24"/>
          <w:szCs w:val="24"/>
        </w:rPr>
        <w:t xml:space="preserve">Ponadto program Interreg EUROPA ŚRODKOWA będzie wspierał również projekty o mniejszej skali. Projekty te będą </w:t>
      </w:r>
      <w:r w:rsidR="00A130D9" w:rsidRPr="00D80606">
        <w:rPr>
          <w:rFonts w:asciiTheme="minorHAnsi" w:hAnsiTheme="minorHAnsi"/>
          <w:color w:val="000000"/>
          <w:sz w:val="24"/>
          <w:szCs w:val="24"/>
        </w:rPr>
        <w:t xml:space="preserve">mogły </w:t>
      </w:r>
      <w:r w:rsidRPr="00D80606">
        <w:rPr>
          <w:rFonts w:asciiTheme="minorHAnsi" w:hAnsiTheme="minorHAnsi"/>
          <w:color w:val="000000"/>
          <w:sz w:val="24"/>
          <w:szCs w:val="24"/>
        </w:rPr>
        <w:t>obejmowa</w:t>
      </w:r>
      <w:r w:rsidR="00A130D9" w:rsidRPr="00D80606">
        <w:rPr>
          <w:rFonts w:asciiTheme="minorHAnsi" w:hAnsiTheme="minorHAnsi"/>
          <w:color w:val="000000"/>
          <w:sz w:val="24"/>
          <w:szCs w:val="24"/>
        </w:rPr>
        <w:t>ć</w:t>
      </w:r>
      <w:r w:rsidRPr="00D80606">
        <w:rPr>
          <w:rFonts w:asciiTheme="minorHAnsi" w:hAnsiTheme="minorHAnsi"/>
          <w:color w:val="000000"/>
          <w:sz w:val="24"/>
          <w:szCs w:val="24"/>
        </w:rPr>
        <w:t xml:space="preserve"> </w:t>
      </w:r>
      <w:r w:rsidR="006B2957" w:rsidRPr="00D80606">
        <w:rPr>
          <w:rFonts w:asciiTheme="minorHAnsi" w:hAnsiTheme="minorHAnsi"/>
          <w:color w:val="000000"/>
          <w:sz w:val="24"/>
          <w:szCs w:val="24"/>
        </w:rPr>
        <w:t xml:space="preserve">około </w:t>
      </w:r>
      <w:r w:rsidRPr="00D80606">
        <w:rPr>
          <w:rFonts w:asciiTheme="minorHAnsi" w:hAnsiTheme="minorHAnsi"/>
          <w:color w:val="000000"/>
          <w:sz w:val="24"/>
          <w:szCs w:val="24"/>
        </w:rPr>
        <w:t>3 do 6 partnerów, a ich całkowity budżet wyniesie od</w:t>
      </w:r>
      <w:r w:rsidR="00CD5285" w:rsidRPr="00D80606">
        <w:rPr>
          <w:rFonts w:asciiTheme="minorHAnsi" w:hAnsiTheme="minorHAnsi"/>
          <w:color w:val="000000"/>
          <w:sz w:val="24"/>
          <w:szCs w:val="24"/>
        </w:rPr>
        <w:t xml:space="preserve"> około</w:t>
      </w:r>
      <w:r w:rsidRPr="00D80606">
        <w:rPr>
          <w:rFonts w:asciiTheme="minorHAnsi" w:hAnsiTheme="minorHAnsi"/>
          <w:color w:val="000000"/>
          <w:sz w:val="24"/>
          <w:szCs w:val="24"/>
        </w:rPr>
        <w:t xml:space="preserve"> 400 000 do 800 000 EUR. Projekty takie będą testować konkretne i wysoce innowacyjne rozwiązania poprzez działania pilotażowe prowadzone na małą skalę. Ponadto projekty te będą koncentrować się na nowych podejściach do zintegrowanego rozwoju terytorialnego, np. na poprawie procesów wielopoziomowego zarządzania poprzez lepszą integrację sektorów polityki i większe zaangażowanie obywateli (np. w ramach priorytetu 4). Projekty te będą wykorzystywać istniejące narzędzia i metody w celu ograniczenia prac przygotowawczych, co skróci czas ich trwania do </w:t>
      </w:r>
      <w:r w:rsidR="00DA2EB3" w:rsidRPr="00D80606">
        <w:rPr>
          <w:rFonts w:asciiTheme="minorHAnsi" w:hAnsiTheme="minorHAnsi"/>
          <w:color w:val="000000"/>
          <w:sz w:val="24"/>
          <w:szCs w:val="24"/>
        </w:rPr>
        <w:t xml:space="preserve">około </w:t>
      </w:r>
      <w:r w:rsidRPr="00D80606">
        <w:rPr>
          <w:rFonts w:asciiTheme="minorHAnsi" w:hAnsiTheme="minorHAnsi"/>
          <w:color w:val="000000"/>
          <w:sz w:val="24"/>
          <w:szCs w:val="24"/>
        </w:rPr>
        <w:t xml:space="preserve">12-18 miesięcy. Pozwoli to ostatecznie na zastosowanie podejścia do projektów modułowych, w ramach którego udane projekty będą mogły zostać objęte kapitalizacją. </w:t>
      </w:r>
    </w:p>
    <w:p w14:paraId="151F7578" w14:textId="516FD404" w:rsidR="00534567" w:rsidRPr="00D80606" w:rsidRDefault="009C7A1E" w:rsidP="00D80606">
      <w:pPr>
        <w:pBdr>
          <w:top w:val="single" w:sz="4" w:space="1" w:color="000000"/>
          <w:left w:val="single" w:sz="4" w:space="4" w:color="000000"/>
          <w:bottom w:val="single" w:sz="4" w:space="1" w:color="000000"/>
          <w:right w:val="single" w:sz="4" w:space="4" w:color="000000"/>
        </w:pBdr>
        <w:spacing w:after="120"/>
        <w:ind w:left="0"/>
        <w:jc w:val="left"/>
        <w:rPr>
          <w:rFonts w:asciiTheme="minorHAnsi" w:hAnsiTheme="minorHAnsi"/>
          <w:color w:val="000000"/>
          <w:sz w:val="24"/>
          <w:szCs w:val="24"/>
        </w:rPr>
      </w:pPr>
      <w:r w:rsidRPr="00D80606">
        <w:rPr>
          <w:rFonts w:asciiTheme="minorHAnsi" w:hAnsiTheme="minorHAnsi"/>
          <w:color w:val="000000"/>
          <w:sz w:val="24"/>
          <w:szCs w:val="24"/>
        </w:rPr>
        <w:lastRenderedPageBreak/>
        <w:t>Uwaga: Wsparcie dla małych projektów w ramach Funduszy Małych Projektów (</w:t>
      </w:r>
      <w:r w:rsidRPr="008A72BA">
        <w:rPr>
          <w:rFonts w:asciiTheme="minorHAnsi" w:hAnsiTheme="minorHAnsi"/>
          <w:color w:val="000000"/>
          <w:sz w:val="24"/>
          <w:szCs w:val="24"/>
        </w:rPr>
        <w:t>Small Projects Fund</w:t>
      </w:r>
      <w:r w:rsidRPr="00D80606">
        <w:rPr>
          <w:rFonts w:asciiTheme="minorHAnsi" w:hAnsiTheme="minorHAnsi"/>
          <w:color w:val="000000"/>
          <w:sz w:val="24"/>
          <w:szCs w:val="24"/>
        </w:rPr>
        <w:t>), zgodnie z definicją zawartą w art. 2 ust. 9 rozporządzenia w sprawie wspólnych przepisów oraz art. 25 rozporządzenia Interreg, nie jest planowane w ramach programu Interreg EUROPA ŚRODKOWA. Takie projekty nie są istotne ze względu na transnarodowy charakter współpracy, charakter wspieranych działań oraz szeroką skalę geograficzną partnerstw projektowych finansowanych w ramach programu Interreg EUROPA ŚRODKOWA.</w:t>
      </w:r>
    </w:p>
    <w:p w14:paraId="4CC7FBFB" w14:textId="1B6A6611" w:rsidR="00534567" w:rsidRPr="00680741" w:rsidRDefault="00534567" w:rsidP="00534567">
      <w:pPr>
        <w:ind w:left="0"/>
        <w:rPr>
          <w:rFonts w:asciiTheme="minorHAnsi" w:hAnsiTheme="minorHAnsi"/>
          <w:b/>
          <w:sz w:val="24"/>
          <w:szCs w:val="24"/>
        </w:rPr>
      </w:pPr>
    </w:p>
    <w:p w14:paraId="5BDA633B" w14:textId="77777777" w:rsidR="007C7C8E" w:rsidRPr="00680741" w:rsidRDefault="007C7C8E" w:rsidP="00534567">
      <w:pPr>
        <w:ind w:left="0"/>
        <w:rPr>
          <w:rFonts w:asciiTheme="minorHAnsi" w:hAnsiTheme="minorHAnsi"/>
          <w:b/>
          <w:sz w:val="24"/>
          <w:szCs w:val="24"/>
        </w:rPr>
      </w:pPr>
    </w:p>
    <w:p w14:paraId="6B37E815" w14:textId="5B05AC58" w:rsidR="008727F2" w:rsidRPr="00BB57C0" w:rsidRDefault="008727F2" w:rsidP="00D80606">
      <w:pPr>
        <w:pStyle w:val="CE-Headline1"/>
      </w:pPr>
      <w:bookmarkStart w:id="120" w:name="_Toc71036618"/>
      <w:r>
        <w:t>Przepisy wykonawcze</w:t>
      </w:r>
      <w:bookmarkEnd w:id="120"/>
      <w:r>
        <w:t xml:space="preserve"> </w:t>
      </w:r>
    </w:p>
    <w:p w14:paraId="5ACF6224" w14:textId="214AF85A" w:rsidR="008727F2" w:rsidRPr="00BB57C0" w:rsidRDefault="008727F2" w:rsidP="00D80606">
      <w:pPr>
        <w:pStyle w:val="CE-Headline2"/>
      </w:pPr>
      <w:bookmarkStart w:id="121" w:name="_Toc71036619"/>
      <w:r>
        <w:t>Instytucje programu</w:t>
      </w:r>
      <w:bookmarkEnd w:id="121"/>
      <w:r>
        <w:t xml:space="preserve"> </w:t>
      </w:r>
    </w:p>
    <w:p w14:paraId="60F4EA4C" w14:textId="77777777" w:rsidR="008727F2" w:rsidRPr="00D80606" w:rsidRDefault="008727F2" w:rsidP="00454550">
      <w:pPr>
        <w:ind w:left="0"/>
        <w:rPr>
          <w:rFonts w:asciiTheme="minorHAnsi" w:hAnsiTheme="minorHAnsi"/>
          <w:b/>
          <w:szCs w:val="24"/>
        </w:rPr>
      </w:pPr>
      <w:r w:rsidRPr="00D80606">
        <w:rPr>
          <w:rFonts w:asciiTheme="minorHAnsi" w:hAnsiTheme="minorHAnsi"/>
          <w:color w:val="000000"/>
        </w:rPr>
        <w:t>Podstawa: Artykuł 17 ust. 7 lit. a</w:t>
      </w:r>
    </w:p>
    <w:p w14:paraId="2ECD630A" w14:textId="77777777" w:rsidR="008727F2" w:rsidRPr="00D80606" w:rsidRDefault="008727F2" w:rsidP="00454550">
      <w:pPr>
        <w:pBdr>
          <w:top w:val="nil"/>
          <w:left w:val="nil"/>
          <w:bottom w:val="nil"/>
          <w:right w:val="nil"/>
          <w:between w:val="nil"/>
        </w:pBdr>
        <w:ind w:left="360" w:hanging="360"/>
        <w:rPr>
          <w:rFonts w:asciiTheme="minorHAnsi" w:hAnsiTheme="minorHAnsi"/>
          <w:b/>
          <w:color w:val="000000"/>
          <w:szCs w:val="24"/>
        </w:rPr>
      </w:pPr>
      <w:r w:rsidRPr="00D80606">
        <w:rPr>
          <w:rFonts w:asciiTheme="minorHAnsi" w:hAnsiTheme="minorHAnsi"/>
          <w:b/>
          <w:color w:val="000000"/>
        </w:rPr>
        <w:t>Tabela 10</w:t>
      </w:r>
    </w:p>
    <w:tbl>
      <w:tblPr>
        <w:tblStyle w:val="7"/>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0"/>
        <w:gridCol w:w="2630"/>
        <w:gridCol w:w="2348"/>
        <w:gridCol w:w="2046"/>
      </w:tblGrid>
      <w:tr w:rsidR="008727F2" w:rsidRPr="008727F2" w14:paraId="14E04B08" w14:textId="77777777" w:rsidTr="00DD5D09">
        <w:tc>
          <w:tcPr>
            <w:tcW w:w="2610" w:type="dxa"/>
          </w:tcPr>
          <w:p w14:paraId="185D5306"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20"/>
                <w:szCs w:val="16"/>
              </w:rPr>
            </w:pPr>
            <w:r>
              <w:rPr>
                <w:rFonts w:asciiTheme="minorHAnsi" w:hAnsiTheme="minorHAnsi"/>
                <w:b/>
                <w:color w:val="000000"/>
                <w:sz w:val="20"/>
              </w:rPr>
              <w:t xml:space="preserve">Instytucje programu </w:t>
            </w:r>
          </w:p>
        </w:tc>
        <w:tc>
          <w:tcPr>
            <w:tcW w:w="2630" w:type="dxa"/>
          </w:tcPr>
          <w:p w14:paraId="4F46BF3B"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20"/>
                <w:szCs w:val="16"/>
              </w:rPr>
            </w:pPr>
            <w:r>
              <w:rPr>
                <w:rFonts w:asciiTheme="minorHAnsi" w:hAnsiTheme="minorHAnsi"/>
                <w:b/>
                <w:color w:val="000000"/>
                <w:sz w:val="20"/>
              </w:rPr>
              <w:t xml:space="preserve">Nazwa instytucji </w:t>
            </w:r>
            <w:r>
              <w:rPr>
                <w:rFonts w:asciiTheme="minorHAnsi" w:hAnsiTheme="minorHAnsi"/>
                <w:color w:val="000000"/>
                <w:sz w:val="20"/>
              </w:rPr>
              <w:t>[255]</w:t>
            </w:r>
          </w:p>
        </w:tc>
        <w:tc>
          <w:tcPr>
            <w:tcW w:w="2348" w:type="dxa"/>
          </w:tcPr>
          <w:p w14:paraId="68232128"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20"/>
                <w:szCs w:val="16"/>
              </w:rPr>
            </w:pPr>
            <w:r>
              <w:rPr>
                <w:rFonts w:asciiTheme="minorHAnsi" w:hAnsiTheme="minorHAnsi"/>
                <w:b/>
                <w:color w:val="000000"/>
                <w:sz w:val="20"/>
              </w:rPr>
              <w:t>Imię i nazwisko osoby upoważnionej do kontaktów</w:t>
            </w:r>
            <w:r>
              <w:rPr>
                <w:rFonts w:asciiTheme="minorHAnsi" w:hAnsiTheme="minorHAnsi"/>
                <w:color w:val="000000"/>
                <w:sz w:val="20"/>
              </w:rPr>
              <w:t xml:space="preserve"> [200]</w:t>
            </w:r>
          </w:p>
        </w:tc>
        <w:tc>
          <w:tcPr>
            <w:tcW w:w="2046" w:type="dxa"/>
          </w:tcPr>
          <w:p w14:paraId="26BBFCDC"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20"/>
                <w:szCs w:val="16"/>
              </w:rPr>
            </w:pPr>
            <w:r>
              <w:rPr>
                <w:rFonts w:asciiTheme="minorHAnsi" w:hAnsiTheme="minorHAnsi"/>
                <w:b/>
                <w:color w:val="000000"/>
                <w:sz w:val="20"/>
              </w:rPr>
              <w:t xml:space="preserve">Adres e-mail </w:t>
            </w:r>
            <w:r>
              <w:rPr>
                <w:rFonts w:asciiTheme="minorHAnsi" w:hAnsiTheme="minorHAnsi"/>
                <w:color w:val="000000"/>
                <w:sz w:val="20"/>
              </w:rPr>
              <w:t>[200]</w:t>
            </w:r>
          </w:p>
        </w:tc>
      </w:tr>
      <w:tr w:rsidR="00DD5D09" w:rsidRPr="00A557D8" w14:paraId="5B88B3C4" w14:textId="77777777" w:rsidTr="00DD5D09">
        <w:tc>
          <w:tcPr>
            <w:tcW w:w="2610" w:type="dxa"/>
          </w:tcPr>
          <w:p w14:paraId="7BAB33D7" w14:textId="77777777" w:rsidR="00DD5D09" w:rsidRPr="00454550" w:rsidRDefault="00DD5D09" w:rsidP="00DD5D09">
            <w:pPr>
              <w:spacing w:after="120" w:line="240" w:lineRule="auto"/>
              <w:ind w:left="0" w:right="0"/>
              <w:jc w:val="left"/>
              <w:rPr>
                <w:rFonts w:asciiTheme="minorHAnsi" w:eastAsia="Times New Roman" w:hAnsiTheme="minorHAnsi" w:cs="Times New Roman"/>
                <w:color w:val="000000"/>
                <w:sz w:val="20"/>
                <w:szCs w:val="16"/>
              </w:rPr>
            </w:pPr>
            <w:r>
              <w:rPr>
                <w:rFonts w:asciiTheme="minorHAnsi" w:hAnsiTheme="minorHAnsi"/>
                <w:color w:val="000000"/>
                <w:sz w:val="20"/>
              </w:rPr>
              <w:t>Instytucja Zarządzająca</w:t>
            </w:r>
          </w:p>
        </w:tc>
        <w:tc>
          <w:tcPr>
            <w:tcW w:w="2630" w:type="dxa"/>
          </w:tcPr>
          <w:p w14:paraId="71F0B950" w14:textId="77777777" w:rsidR="00DD5D09" w:rsidRPr="008674D6" w:rsidRDefault="00DD5D09" w:rsidP="00DD5D09">
            <w:pPr>
              <w:spacing w:after="120" w:line="240" w:lineRule="auto"/>
              <w:ind w:left="0" w:right="0"/>
              <w:rPr>
                <w:rFonts w:asciiTheme="minorHAnsi" w:eastAsia="Times New Roman" w:hAnsiTheme="minorHAnsi" w:cs="Times New Roman"/>
                <w:color w:val="000000"/>
                <w:sz w:val="20"/>
                <w:szCs w:val="20"/>
              </w:rPr>
            </w:pPr>
            <w:r>
              <w:rPr>
                <w:rFonts w:asciiTheme="minorHAnsi" w:hAnsiTheme="minorHAnsi"/>
                <w:color w:val="000000"/>
                <w:sz w:val="20"/>
              </w:rPr>
              <w:t>Miasto Wiedeń</w:t>
            </w:r>
          </w:p>
          <w:p w14:paraId="3B0215CB" w14:textId="77777777" w:rsidR="00DD5D09" w:rsidRPr="00454550" w:rsidRDefault="00DD5D09" w:rsidP="00DD5D09">
            <w:pPr>
              <w:spacing w:after="120" w:line="240" w:lineRule="auto"/>
              <w:ind w:left="0" w:right="0"/>
              <w:jc w:val="left"/>
              <w:rPr>
                <w:rFonts w:asciiTheme="minorHAnsi" w:eastAsia="Times New Roman" w:hAnsiTheme="minorHAnsi" w:cs="Times New Roman"/>
                <w:b/>
                <w:color w:val="000000"/>
                <w:sz w:val="20"/>
                <w:szCs w:val="16"/>
              </w:rPr>
            </w:pPr>
            <w:r>
              <w:rPr>
                <w:rFonts w:asciiTheme="minorHAnsi" w:hAnsiTheme="minorHAnsi"/>
                <w:color w:val="000000"/>
                <w:sz w:val="20"/>
              </w:rPr>
              <w:t>Wydział Spraw Europejskich</w:t>
            </w:r>
          </w:p>
        </w:tc>
        <w:tc>
          <w:tcPr>
            <w:tcW w:w="2348" w:type="dxa"/>
          </w:tcPr>
          <w:p w14:paraId="5A0ADD98" w14:textId="77777777" w:rsidR="00DD5D09" w:rsidRPr="00454550" w:rsidRDefault="00DD5D09" w:rsidP="00DD5D09">
            <w:pPr>
              <w:spacing w:after="120" w:line="240" w:lineRule="auto"/>
              <w:ind w:left="0" w:right="0"/>
              <w:rPr>
                <w:rFonts w:asciiTheme="minorHAnsi" w:eastAsia="Times New Roman" w:hAnsiTheme="minorHAnsi" w:cs="Times New Roman"/>
                <w:b/>
                <w:color w:val="000000"/>
                <w:sz w:val="20"/>
                <w:szCs w:val="16"/>
              </w:rPr>
            </w:pPr>
            <w:r>
              <w:rPr>
                <w:rFonts w:asciiTheme="minorHAnsi" w:hAnsiTheme="minorHAnsi"/>
                <w:color w:val="000000"/>
                <w:sz w:val="20"/>
              </w:rPr>
              <w:t>Christiane Breznik</w:t>
            </w:r>
          </w:p>
        </w:tc>
        <w:tc>
          <w:tcPr>
            <w:tcW w:w="2046" w:type="dxa"/>
          </w:tcPr>
          <w:p w14:paraId="6DE3E9AE" w14:textId="0E031E08" w:rsidR="00DD5D09" w:rsidRPr="00454550" w:rsidRDefault="00ED61BA" w:rsidP="00DD5D09">
            <w:pPr>
              <w:spacing w:after="120" w:line="240" w:lineRule="auto"/>
              <w:ind w:left="0" w:right="0"/>
              <w:rPr>
                <w:rFonts w:asciiTheme="minorHAnsi" w:eastAsia="Times New Roman" w:hAnsiTheme="minorHAnsi" w:cs="Times New Roman"/>
                <w:b/>
                <w:color w:val="000000"/>
                <w:sz w:val="20"/>
                <w:szCs w:val="16"/>
              </w:rPr>
            </w:pPr>
            <w:hyperlink r:id="rId34" w:history="1">
              <w:r w:rsidR="008816B5">
                <w:rPr>
                  <w:rStyle w:val="Hipercze"/>
                  <w:rFonts w:asciiTheme="minorHAnsi" w:hAnsiTheme="minorHAnsi"/>
                  <w:sz w:val="20"/>
                </w:rPr>
                <w:t>christiane.breznik@wien.gv.at</w:t>
              </w:r>
            </w:hyperlink>
          </w:p>
        </w:tc>
      </w:tr>
      <w:tr w:rsidR="008727F2" w:rsidRPr="00A557D8" w14:paraId="42452A4F" w14:textId="77777777" w:rsidTr="00DD5D09">
        <w:tc>
          <w:tcPr>
            <w:tcW w:w="2610" w:type="dxa"/>
          </w:tcPr>
          <w:p w14:paraId="26655446" w14:textId="75D9FA9C" w:rsidR="008727F2" w:rsidRPr="00454550" w:rsidRDefault="008727F2" w:rsidP="00454550">
            <w:pPr>
              <w:spacing w:after="120" w:line="240" w:lineRule="auto"/>
              <w:ind w:left="0" w:right="0"/>
              <w:jc w:val="left"/>
              <w:rPr>
                <w:rFonts w:asciiTheme="minorHAnsi" w:eastAsia="Times New Roman" w:hAnsiTheme="minorHAnsi" w:cs="Times New Roman"/>
                <w:color w:val="000000"/>
                <w:sz w:val="20"/>
                <w:szCs w:val="16"/>
              </w:rPr>
            </w:pPr>
            <w:r>
              <w:rPr>
                <w:rFonts w:asciiTheme="minorHAnsi" w:hAnsiTheme="minorHAnsi"/>
                <w:color w:val="000000"/>
                <w:sz w:val="20"/>
              </w:rPr>
              <w:t>Instytucja krajowa (w przypadku programów odpowiednio z udziałem państw trzecich)</w:t>
            </w:r>
          </w:p>
        </w:tc>
        <w:tc>
          <w:tcPr>
            <w:tcW w:w="2630" w:type="dxa"/>
          </w:tcPr>
          <w:p w14:paraId="185ED4C1"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20"/>
                <w:szCs w:val="16"/>
              </w:rPr>
            </w:pPr>
          </w:p>
        </w:tc>
        <w:tc>
          <w:tcPr>
            <w:tcW w:w="2348" w:type="dxa"/>
          </w:tcPr>
          <w:p w14:paraId="0914A2FE"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20"/>
                <w:szCs w:val="16"/>
              </w:rPr>
            </w:pPr>
          </w:p>
        </w:tc>
        <w:tc>
          <w:tcPr>
            <w:tcW w:w="2046" w:type="dxa"/>
          </w:tcPr>
          <w:p w14:paraId="77BDAA8F"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20"/>
                <w:szCs w:val="16"/>
              </w:rPr>
            </w:pPr>
          </w:p>
        </w:tc>
      </w:tr>
      <w:tr w:rsidR="008727F2" w:rsidRPr="00A557D8" w14:paraId="3C0B22EA" w14:textId="77777777" w:rsidTr="00DD5D09">
        <w:tc>
          <w:tcPr>
            <w:tcW w:w="2610" w:type="dxa"/>
          </w:tcPr>
          <w:p w14:paraId="7274E400" w14:textId="77777777" w:rsidR="008727F2" w:rsidRPr="00454550" w:rsidRDefault="008727F2" w:rsidP="00454550">
            <w:pPr>
              <w:spacing w:after="120" w:line="240" w:lineRule="auto"/>
              <w:ind w:left="0" w:right="0"/>
              <w:jc w:val="left"/>
              <w:rPr>
                <w:rFonts w:asciiTheme="minorHAnsi" w:eastAsia="Times New Roman" w:hAnsiTheme="minorHAnsi" w:cs="Times New Roman"/>
                <w:color w:val="000000"/>
                <w:sz w:val="20"/>
                <w:szCs w:val="16"/>
              </w:rPr>
            </w:pPr>
            <w:r>
              <w:rPr>
                <w:rFonts w:asciiTheme="minorHAnsi" w:hAnsiTheme="minorHAnsi"/>
                <w:color w:val="000000"/>
                <w:sz w:val="20"/>
              </w:rPr>
              <w:t>Instytucja Audytowa</w:t>
            </w:r>
          </w:p>
        </w:tc>
        <w:tc>
          <w:tcPr>
            <w:tcW w:w="2630" w:type="dxa"/>
          </w:tcPr>
          <w:p w14:paraId="095BC2E6" w14:textId="77777777" w:rsidR="00DD5D09" w:rsidRPr="008674D6" w:rsidRDefault="00DD5D09" w:rsidP="00DD5D09">
            <w:pPr>
              <w:spacing w:after="120" w:line="240" w:lineRule="auto"/>
              <w:ind w:left="0" w:right="0"/>
              <w:jc w:val="left"/>
              <w:rPr>
                <w:rFonts w:asciiTheme="minorHAnsi" w:hAnsiTheme="minorHAnsi"/>
                <w:bCs/>
                <w:sz w:val="20"/>
              </w:rPr>
            </w:pPr>
            <w:r>
              <w:rPr>
                <w:rFonts w:asciiTheme="minorHAnsi" w:hAnsiTheme="minorHAnsi"/>
                <w:sz w:val="20"/>
              </w:rPr>
              <w:t>Federalne Ministerstwo Rolnictwa, Regionów i Turystyki</w:t>
            </w:r>
          </w:p>
          <w:p w14:paraId="20509E70" w14:textId="77777777" w:rsidR="008727F2" w:rsidRPr="00454550" w:rsidRDefault="00DD5D09" w:rsidP="00DD5D09">
            <w:pPr>
              <w:spacing w:after="120" w:line="240" w:lineRule="auto"/>
              <w:ind w:left="0" w:right="0"/>
              <w:rPr>
                <w:rFonts w:asciiTheme="minorHAnsi" w:eastAsia="Times New Roman" w:hAnsiTheme="minorHAnsi" w:cs="Times New Roman"/>
                <w:b/>
                <w:color w:val="000000"/>
                <w:sz w:val="20"/>
                <w:szCs w:val="16"/>
              </w:rPr>
            </w:pPr>
            <w:r>
              <w:rPr>
                <w:rFonts w:asciiTheme="minorHAnsi" w:hAnsiTheme="minorHAnsi"/>
                <w:sz w:val="20"/>
              </w:rPr>
              <w:t>Wydział Audytu EFRR</w:t>
            </w:r>
          </w:p>
        </w:tc>
        <w:tc>
          <w:tcPr>
            <w:tcW w:w="2348" w:type="dxa"/>
          </w:tcPr>
          <w:p w14:paraId="4FDB00F5" w14:textId="77777777" w:rsidR="008727F2" w:rsidRPr="00454550" w:rsidRDefault="00DD5D09" w:rsidP="00454550">
            <w:pPr>
              <w:spacing w:after="120" w:line="240" w:lineRule="auto"/>
              <w:ind w:left="0" w:right="0"/>
              <w:rPr>
                <w:rFonts w:asciiTheme="minorHAnsi" w:eastAsia="Times New Roman" w:hAnsiTheme="minorHAnsi" w:cs="Times New Roman"/>
                <w:b/>
                <w:color w:val="000000"/>
                <w:sz w:val="20"/>
                <w:szCs w:val="16"/>
              </w:rPr>
            </w:pPr>
            <w:r>
              <w:rPr>
                <w:rFonts w:asciiTheme="minorHAnsi" w:hAnsiTheme="minorHAnsi"/>
                <w:color w:val="000000"/>
                <w:sz w:val="20"/>
              </w:rPr>
              <w:t>Sonja Schneeweiss</w:t>
            </w:r>
          </w:p>
        </w:tc>
        <w:tc>
          <w:tcPr>
            <w:tcW w:w="2046" w:type="dxa"/>
          </w:tcPr>
          <w:p w14:paraId="1FC0A1C7" w14:textId="28A3C03F" w:rsidR="008727F2" w:rsidRPr="00454550" w:rsidRDefault="00ED61BA" w:rsidP="00454550">
            <w:pPr>
              <w:spacing w:after="120" w:line="240" w:lineRule="auto"/>
              <w:ind w:left="0" w:right="0"/>
              <w:rPr>
                <w:rFonts w:asciiTheme="minorHAnsi" w:eastAsia="Times New Roman" w:hAnsiTheme="minorHAnsi" w:cs="Times New Roman"/>
                <w:b/>
                <w:color w:val="000000"/>
                <w:sz w:val="20"/>
                <w:szCs w:val="16"/>
              </w:rPr>
            </w:pPr>
            <w:hyperlink r:id="rId35" w:history="1">
              <w:r w:rsidR="008816B5">
                <w:rPr>
                  <w:rStyle w:val="Hipercze"/>
                  <w:rFonts w:asciiTheme="minorHAnsi" w:hAnsiTheme="minorHAnsi"/>
                  <w:sz w:val="20"/>
                </w:rPr>
                <w:t>Sonja.schneeweiss@bmlrt.gv.at</w:t>
              </w:r>
            </w:hyperlink>
          </w:p>
        </w:tc>
      </w:tr>
      <w:tr w:rsidR="008727F2" w:rsidRPr="002E3F00" w14:paraId="43DA503F" w14:textId="77777777" w:rsidTr="00DD5D09">
        <w:tc>
          <w:tcPr>
            <w:tcW w:w="2610" w:type="dxa"/>
          </w:tcPr>
          <w:p w14:paraId="124739C3" w14:textId="77777777" w:rsidR="008727F2" w:rsidRPr="00454550" w:rsidRDefault="008727F2" w:rsidP="00EB3FA8">
            <w:pPr>
              <w:spacing w:after="120" w:line="240" w:lineRule="auto"/>
              <w:ind w:left="0" w:right="0"/>
              <w:jc w:val="left"/>
              <w:rPr>
                <w:rFonts w:asciiTheme="minorHAnsi" w:eastAsia="Times New Roman" w:hAnsiTheme="minorHAnsi" w:cs="Times New Roman"/>
                <w:color w:val="000000"/>
                <w:sz w:val="20"/>
                <w:szCs w:val="16"/>
              </w:rPr>
            </w:pPr>
            <w:r>
              <w:rPr>
                <w:rFonts w:asciiTheme="minorHAnsi" w:hAnsiTheme="minorHAnsi"/>
                <w:color w:val="000000"/>
                <w:sz w:val="20"/>
              </w:rPr>
              <w:t>Grupa przedstawicieli audytorów</w:t>
            </w:r>
          </w:p>
        </w:tc>
        <w:tc>
          <w:tcPr>
            <w:tcW w:w="2630" w:type="dxa"/>
          </w:tcPr>
          <w:p w14:paraId="517F9DA5"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20"/>
                <w:szCs w:val="16"/>
              </w:rPr>
            </w:pPr>
          </w:p>
        </w:tc>
        <w:tc>
          <w:tcPr>
            <w:tcW w:w="2348" w:type="dxa"/>
          </w:tcPr>
          <w:p w14:paraId="27CF9870"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20"/>
                <w:szCs w:val="16"/>
              </w:rPr>
            </w:pPr>
          </w:p>
        </w:tc>
        <w:tc>
          <w:tcPr>
            <w:tcW w:w="2046" w:type="dxa"/>
          </w:tcPr>
          <w:p w14:paraId="6217BDD4" w14:textId="77777777" w:rsidR="008727F2" w:rsidRPr="00454550" w:rsidRDefault="008727F2" w:rsidP="00454550">
            <w:pPr>
              <w:spacing w:after="120" w:line="240" w:lineRule="auto"/>
              <w:ind w:left="0" w:right="0"/>
              <w:rPr>
                <w:rFonts w:asciiTheme="minorHAnsi" w:eastAsia="Times New Roman" w:hAnsiTheme="minorHAnsi" w:cs="Times New Roman"/>
                <w:b/>
                <w:color w:val="000000"/>
                <w:sz w:val="20"/>
                <w:szCs w:val="16"/>
              </w:rPr>
            </w:pPr>
          </w:p>
        </w:tc>
      </w:tr>
      <w:tr w:rsidR="008727F2" w:rsidRPr="00A557D8" w14:paraId="58610DEE" w14:textId="77777777" w:rsidTr="00DD5D09">
        <w:tc>
          <w:tcPr>
            <w:tcW w:w="2610" w:type="dxa"/>
          </w:tcPr>
          <w:p w14:paraId="29455FBF" w14:textId="77777777" w:rsidR="008727F2" w:rsidRPr="00454550" w:rsidRDefault="008727F2" w:rsidP="00454550">
            <w:pPr>
              <w:spacing w:after="120" w:line="240" w:lineRule="auto"/>
              <w:ind w:left="0" w:right="0"/>
              <w:jc w:val="left"/>
              <w:rPr>
                <w:rFonts w:asciiTheme="minorHAnsi" w:eastAsia="Times New Roman" w:hAnsiTheme="minorHAnsi" w:cs="Times New Roman"/>
                <w:color w:val="000000"/>
                <w:sz w:val="20"/>
                <w:szCs w:val="16"/>
              </w:rPr>
            </w:pPr>
            <w:r>
              <w:rPr>
                <w:rFonts w:asciiTheme="minorHAnsi" w:hAnsiTheme="minorHAnsi"/>
                <w:color w:val="000000"/>
                <w:sz w:val="20"/>
              </w:rPr>
              <w:t>Organ, na rzecz którego Komisja będzie dokonywać płatności</w:t>
            </w:r>
          </w:p>
        </w:tc>
        <w:tc>
          <w:tcPr>
            <w:tcW w:w="2630" w:type="dxa"/>
          </w:tcPr>
          <w:p w14:paraId="6576FA93" w14:textId="77777777" w:rsidR="00DD5D09" w:rsidRPr="008674D6" w:rsidRDefault="00DD5D09" w:rsidP="00DD5D09">
            <w:pPr>
              <w:spacing w:after="120" w:line="240" w:lineRule="auto"/>
              <w:ind w:left="0" w:right="0"/>
              <w:rPr>
                <w:rFonts w:asciiTheme="minorHAnsi" w:eastAsia="Times New Roman" w:hAnsiTheme="minorHAnsi" w:cs="Times New Roman"/>
                <w:color w:val="000000"/>
                <w:sz w:val="20"/>
                <w:szCs w:val="20"/>
              </w:rPr>
            </w:pPr>
            <w:r>
              <w:rPr>
                <w:rFonts w:asciiTheme="minorHAnsi" w:hAnsiTheme="minorHAnsi"/>
                <w:color w:val="000000"/>
                <w:sz w:val="20"/>
              </w:rPr>
              <w:t>Miasto Wiedeń</w:t>
            </w:r>
          </w:p>
          <w:p w14:paraId="2077D197" w14:textId="77777777" w:rsidR="008727F2" w:rsidRPr="00454550" w:rsidRDefault="00DD5D09" w:rsidP="00DD5D09">
            <w:pPr>
              <w:spacing w:after="120" w:line="240" w:lineRule="auto"/>
              <w:ind w:left="0" w:right="0"/>
              <w:rPr>
                <w:rFonts w:asciiTheme="minorHAnsi" w:eastAsia="Times New Roman" w:hAnsiTheme="minorHAnsi" w:cs="Times New Roman"/>
                <w:b/>
                <w:color w:val="000000"/>
                <w:sz w:val="20"/>
                <w:szCs w:val="16"/>
              </w:rPr>
            </w:pPr>
            <w:r>
              <w:rPr>
                <w:rFonts w:asciiTheme="minorHAnsi" w:hAnsiTheme="minorHAnsi"/>
                <w:color w:val="000000"/>
                <w:sz w:val="20"/>
              </w:rPr>
              <w:t>Wydział Spraw Europejskich</w:t>
            </w:r>
          </w:p>
        </w:tc>
        <w:tc>
          <w:tcPr>
            <w:tcW w:w="2348" w:type="dxa"/>
          </w:tcPr>
          <w:p w14:paraId="2FB04ED2" w14:textId="77777777" w:rsidR="008727F2" w:rsidRPr="00454550" w:rsidRDefault="00DD5D09" w:rsidP="00454550">
            <w:pPr>
              <w:spacing w:after="120" w:line="240" w:lineRule="auto"/>
              <w:ind w:left="0" w:right="0"/>
              <w:rPr>
                <w:rFonts w:asciiTheme="minorHAnsi" w:eastAsia="Times New Roman" w:hAnsiTheme="minorHAnsi" w:cs="Times New Roman"/>
                <w:b/>
                <w:color w:val="000000"/>
                <w:sz w:val="20"/>
                <w:szCs w:val="16"/>
              </w:rPr>
            </w:pPr>
            <w:r>
              <w:rPr>
                <w:rFonts w:asciiTheme="minorHAnsi" w:hAnsiTheme="minorHAnsi"/>
                <w:color w:val="000000"/>
                <w:sz w:val="20"/>
              </w:rPr>
              <w:t>Petra Wallner</w:t>
            </w:r>
          </w:p>
        </w:tc>
        <w:tc>
          <w:tcPr>
            <w:tcW w:w="2046" w:type="dxa"/>
          </w:tcPr>
          <w:p w14:paraId="19CC9446" w14:textId="2D12F23A" w:rsidR="008727F2" w:rsidRPr="00A00D6D" w:rsidRDefault="00ED61BA" w:rsidP="00454550">
            <w:pPr>
              <w:spacing w:after="120" w:line="240" w:lineRule="auto"/>
              <w:ind w:left="0" w:right="0"/>
              <w:rPr>
                <w:rFonts w:asciiTheme="minorHAnsi" w:eastAsia="Times New Roman" w:hAnsiTheme="minorHAnsi" w:cs="Times New Roman"/>
                <w:color w:val="000000"/>
                <w:sz w:val="20"/>
                <w:szCs w:val="16"/>
              </w:rPr>
            </w:pPr>
            <w:hyperlink r:id="rId36" w:history="1">
              <w:r w:rsidR="008816B5">
                <w:rPr>
                  <w:rStyle w:val="Hipercze"/>
                  <w:rFonts w:asciiTheme="minorHAnsi" w:hAnsiTheme="minorHAnsi"/>
                  <w:sz w:val="20"/>
                </w:rPr>
                <w:t>petra.wallner@wien.gv.at</w:t>
              </w:r>
            </w:hyperlink>
            <w:r w:rsidR="008816B5">
              <w:rPr>
                <w:rFonts w:asciiTheme="minorHAnsi" w:hAnsiTheme="minorHAnsi"/>
                <w:color w:val="000000"/>
                <w:sz w:val="20"/>
              </w:rPr>
              <w:t xml:space="preserve">    </w:t>
            </w:r>
          </w:p>
        </w:tc>
      </w:tr>
    </w:tbl>
    <w:p w14:paraId="460389B9" w14:textId="59F8ECC2" w:rsidR="00BB57C0" w:rsidRPr="00680741" w:rsidRDefault="00BB57C0" w:rsidP="00BB57C0">
      <w:pPr>
        <w:ind w:left="0"/>
        <w:rPr>
          <w:rFonts w:asciiTheme="minorHAnsi" w:hAnsiTheme="minorHAnsi"/>
          <w:i/>
          <w:color w:val="000000"/>
          <w:szCs w:val="24"/>
        </w:rPr>
      </w:pPr>
    </w:p>
    <w:p w14:paraId="3D9FA5EB" w14:textId="77777777" w:rsidR="00671549" w:rsidRPr="00680741" w:rsidRDefault="00671549" w:rsidP="00BB57C0">
      <w:pPr>
        <w:ind w:left="0"/>
        <w:rPr>
          <w:rFonts w:asciiTheme="minorHAnsi" w:hAnsiTheme="minorHAnsi"/>
          <w:i/>
          <w:color w:val="000000"/>
          <w:szCs w:val="24"/>
        </w:rPr>
      </w:pPr>
    </w:p>
    <w:p w14:paraId="1E604EC3" w14:textId="6F310116" w:rsidR="008727F2" w:rsidRPr="00BB57C0" w:rsidRDefault="008727F2" w:rsidP="00173920">
      <w:pPr>
        <w:pStyle w:val="CE-Headline2"/>
      </w:pPr>
      <w:bookmarkStart w:id="122" w:name="_Toc71036620"/>
      <w:r>
        <w:t>Procedura utworzenia wspólnego sekretariatu</w:t>
      </w:r>
      <w:bookmarkEnd w:id="122"/>
      <w:r>
        <w:t xml:space="preserve"> </w:t>
      </w:r>
    </w:p>
    <w:p w14:paraId="6FBA4682" w14:textId="5633E4FF" w:rsidR="008727F2" w:rsidRDefault="008727F2" w:rsidP="00454550">
      <w:pPr>
        <w:ind w:left="0"/>
        <w:rPr>
          <w:rFonts w:asciiTheme="minorHAnsi" w:hAnsiTheme="minorHAnsi"/>
          <w:color w:val="000000"/>
        </w:rPr>
      </w:pPr>
      <w:r w:rsidRPr="00D80606">
        <w:rPr>
          <w:rFonts w:asciiTheme="minorHAnsi" w:hAnsiTheme="minorHAnsi"/>
          <w:color w:val="000000"/>
        </w:rPr>
        <w:t xml:space="preserve">Podstawa: art. 17 ust. 7 lit. </w:t>
      </w:r>
      <w:r w:rsidR="00F97E96" w:rsidRPr="00F97E96">
        <w:rPr>
          <w:rFonts w:asciiTheme="minorHAnsi" w:hAnsiTheme="minorHAnsi"/>
          <w:color w:val="000000"/>
        </w:rPr>
        <w:t>B</w:t>
      </w:r>
    </w:p>
    <w:p w14:paraId="38D60881" w14:textId="6D348BF2" w:rsidR="00F97E96" w:rsidRPr="00D80606" w:rsidRDefault="00F97E96" w:rsidP="00454550">
      <w:pPr>
        <w:ind w:left="0"/>
        <w:rPr>
          <w:rFonts w:asciiTheme="minorHAnsi" w:hAnsiTheme="minorHAnsi"/>
          <w:color w:val="000000"/>
        </w:rPr>
      </w:pPr>
      <w:r>
        <w:rPr>
          <w:rFonts w:asciiTheme="minorHAnsi" w:hAnsiTheme="minorHAnsi"/>
          <w:color w:val="000000"/>
        </w:rPr>
        <w:t>Pole tekstowe [3 500]</w:t>
      </w:r>
    </w:p>
    <w:p w14:paraId="2CBD0CA0" w14:textId="77777777" w:rsidR="004C1C63" w:rsidRPr="00D80606" w:rsidRDefault="004C1C63" w:rsidP="00D80606">
      <w:pPr>
        <w:pBdr>
          <w:top w:val="single" w:sz="4" w:space="1" w:color="000000"/>
          <w:left w:val="single" w:sz="4" w:space="4" w:color="000000"/>
          <w:bottom w:val="single" w:sz="4" w:space="1" w:color="000000"/>
          <w:right w:val="single" w:sz="4" w:space="4" w:color="000000"/>
        </w:pBdr>
        <w:spacing w:after="120"/>
        <w:ind w:left="0"/>
        <w:jc w:val="left"/>
        <w:rPr>
          <w:rFonts w:asciiTheme="minorHAnsi" w:hAnsiTheme="minorHAnsi"/>
          <w:color w:val="000000"/>
          <w:sz w:val="24"/>
          <w:szCs w:val="24"/>
        </w:rPr>
      </w:pPr>
      <w:r w:rsidRPr="00D80606">
        <w:rPr>
          <w:rFonts w:asciiTheme="minorHAnsi" w:hAnsiTheme="minorHAnsi"/>
          <w:color w:val="000000"/>
          <w:sz w:val="24"/>
          <w:szCs w:val="24"/>
        </w:rPr>
        <w:t xml:space="preserve">Zgodnie z art. 17 ust. 7 lit. b rozporządzenia w sprawie programów Interreg i biorąc pod uwagę udane wdrożenie dwóch poprzednich programów w okresach programowania 2007-2013 i 2014-2020, Instytucja Zarządzająca zapewni ciągłość </w:t>
      </w:r>
      <w:r w:rsidRPr="00D80606">
        <w:rPr>
          <w:rFonts w:asciiTheme="minorHAnsi" w:hAnsiTheme="minorHAnsi"/>
          <w:color w:val="000000"/>
          <w:sz w:val="24"/>
          <w:szCs w:val="24"/>
        </w:rPr>
        <w:lastRenderedPageBreak/>
        <w:t xml:space="preserve">funkcjonowania Wspólnego Sekretariatu poprzez utrzymanie podstawowych, już istniejących ustaleń strukturalnych i wdrożeniowych. </w:t>
      </w:r>
    </w:p>
    <w:p w14:paraId="53337AF4" w14:textId="77777777" w:rsidR="00FC6D5C" w:rsidRDefault="004C1C63" w:rsidP="00FC6D5C">
      <w:pPr>
        <w:pBdr>
          <w:top w:val="single" w:sz="4" w:space="1" w:color="000000"/>
          <w:left w:val="single" w:sz="4" w:space="4" w:color="000000"/>
          <w:bottom w:val="single" w:sz="4" w:space="1" w:color="000000"/>
          <w:right w:val="single" w:sz="4" w:space="4" w:color="000000"/>
        </w:pBdr>
        <w:spacing w:after="120"/>
        <w:ind w:left="0"/>
        <w:jc w:val="left"/>
        <w:rPr>
          <w:rFonts w:asciiTheme="minorHAnsi" w:hAnsiTheme="minorHAnsi"/>
          <w:color w:val="000000"/>
          <w:sz w:val="24"/>
          <w:szCs w:val="24"/>
        </w:rPr>
      </w:pPr>
      <w:r w:rsidRPr="00D80606">
        <w:rPr>
          <w:rFonts w:asciiTheme="minorHAnsi" w:hAnsiTheme="minorHAnsi"/>
          <w:color w:val="000000"/>
          <w:sz w:val="24"/>
          <w:szCs w:val="24"/>
        </w:rPr>
        <w:t>Wspólny Sekretariat będzie nadal wspierał i pomagał:</w:t>
      </w:r>
    </w:p>
    <w:p w14:paraId="56F02F43" w14:textId="2EBE472B" w:rsidR="00FC6D5C" w:rsidRDefault="00FC6D5C" w:rsidP="00FC6D5C">
      <w:pPr>
        <w:pBdr>
          <w:top w:val="single" w:sz="4" w:space="1" w:color="000000"/>
          <w:left w:val="single" w:sz="4" w:space="4" w:color="000000"/>
          <w:bottom w:val="single" w:sz="4" w:space="1" w:color="000000"/>
          <w:right w:val="single" w:sz="4" w:space="4" w:color="000000"/>
        </w:pBdr>
        <w:spacing w:after="120"/>
        <w:ind w:left="0"/>
        <w:jc w:val="left"/>
        <w:rPr>
          <w:rFonts w:asciiTheme="minorHAnsi" w:hAnsiTheme="minorHAnsi"/>
          <w:color w:val="000000"/>
          <w:sz w:val="24"/>
          <w:szCs w:val="24"/>
        </w:rPr>
      </w:pPr>
      <w:r>
        <w:rPr>
          <w:rFonts w:asciiTheme="minorHAnsi" w:hAnsiTheme="minorHAnsi"/>
          <w:color w:val="000000"/>
          <w:sz w:val="24"/>
          <w:szCs w:val="24"/>
        </w:rPr>
        <w:t>- Instytucji Zarządzającej i Komitetowi Monitorującemu w wykonywaniu swoich funkcji</w:t>
      </w:r>
    </w:p>
    <w:p w14:paraId="5752118D" w14:textId="54BCFCFC" w:rsidR="00FC6D5C" w:rsidRDefault="00FC6D5C" w:rsidP="00D80606">
      <w:pPr>
        <w:pBdr>
          <w:top w:val="single" w:sz="4" w:space="1" w:color="000000"/>
          <w:left w:val="single" w:sz="4" w:space="4" w:color="000000"/>
          <w:bottom w:val="single" w:sz="4" w:space="1" w:color="000000"/>
          <w:right w:val="single" w:sz="4" w:space="4" w:color="000000"/>
        </w:pBdr>
        <w:spacing w:after="120"/>
        <w:ind w:left="0"/>
        <w:jc w:val="left"/>
        <w:rPr>
          <w:rFonts w:asciiTheme="minorHAnsi" w:hAnsiTheme="minorHAnsi"/>
          <w:color w:val="000000"/>
          <w:sz w:val="24"/>
          <w:szCs w:val="24"/>
        </w:rPr>
      </w:pPr>
      <w:r>
        <w:rPr>
          <w:rFonts w:asciiTheme="minorHAnsi" w:hAnsiTheme="minorHAnsi"/>
          <w:color w:val="000000"/>
          <w:sz w:val="24"/>
          <w:szCs w:val="24"/>
        </w:rPr>
        <w:t>- Wnioskodawcom i beneficjentom w efektywnym uczestnictwie w programie</w:t>
      </w:r>
    </w:p>
    <w:p w14:paraId="5FAEF209" w14:textId="51F4D744" w:rsidR="00BB57C0" w:rsidRPr="00FC6D5C" w:rsidRDefault="00FC6D5C" w:rsidP="009D1372">
      <w:pPr>
        <w:pBdr>
          <w:top w:val="single" w:sz="4" w:space="1" w:color="000000"/>
          <w:left w:val="single" w:sz="4" w:space="4" w:color="000000"/>
          <w:bottom w:val="single" w:sz="4" w:space="1" w:color="000000"/>
          <w:right w:val="single" w:sz="4" w:space="4" w:color="000000"/>
        </w:pBdr>
        <w:spacing w:after="120"/>
        <w:ind w:left="0"/>
        <w:jc w:val="left"/>
        <w:rPr>
          <w:rFonts w:asciiTheme="minorHAnsi" w:hAnsiTheme="minorHAnsi"/>
          <w:color w:val="000000"/>
          <w:sz w:val="24"/>
          <w:szCs w:val="24"/>
        </w:rPr>
      </w:pPr>
      <w:r>
        <w:rPr>
          <w:rFonts w:asciiTheme="minorHAnsi" w:hAnsiTheme="minorHAnsi"/>
          <w:color w:val="000000"/>
          <w:sz w:val="24"/>
          <w:szCs w:val="24"/>
        </w:rPr>
        <w:t xml:space="preserve">Wspólny Sekretariat będzie mieścił się w Wiedniu i pozostanie częścią </w:t>
      </w:r>
      <w:r w:rsidRPr="00FC6D5C">
        <w:rPr>
          <w:rFonts w:asciiTheme="minorHAnsi" w:hAnsiTheme="minorHAnsi"/>
          <w:color w:val="000000"/>
          <w:sz w:val="24"/>
          <w:szCs w:val="24"/>
        </w:rPr>
        <w:t>EU-Förderagentur GmbH</w:t>
      </w:r>
      <w:r w:rsidR="009D1372">
        <w:rPr>
          <w:rFonts w:asciiTheme="minorHAnsi" w:hAnsiTheme="minorHAnsi"/>
          <w:color w:val="000000"/>
          <w:sz w:val="24"/>
          <w:szCs w:val="24"/>
        </w:rPr>
        <w:t xml:space="preserve">, spółki zależnej miasta Wiedeń. </w:t>
      </w:r>
    </w:p>
    <w:p w14:paraId="483F4299" w14:textId="77777777" w:rsidR="004C1C63" w:rsidRPr="00680741" w:rsidRDefault="004C1C63" w:rsidP="00BB57C0">
      <w:pPr>
        <w:ind w:left="0"/>
        <w:rPr>
          <w:rFonts w:asciiTheme="minorHAnsi" w:hAnsiTheme="minorHAnsi"/>
          <w:i/>
          <w:color w:val="000000"/>
          <w:szCs w:val="24"/>
        </w:rPr>
      </w:pPr>
    </w:p>
    <w:p w14:paraId="361A1A48" w14:textId="0820BA13" w:rsidR="008727F2" w:rsidRPr="00BB57C0" w:rsidRDefault="008727F2" w:rsidP="00173920">
      <w:pPr>
        <w:pStyle w:val="CE-Headline2"/>
      </w:pPr>
      <w:bookmarkStart w:id="123" w:name="_Toc71036621"/>
      <w:r>
        <w:t>Podział odpowiedzialności między zaangażowane państwa członkowskie i odpowiednio państwa trzecie i KTZ na wypadek korekt finansowych nakładanych przez instytucję zarządzającą lub Komisję</w:t>
      </w:r>
      <w:bookmarkEnd w:id="123"/>
    </w:p>
    <w:p w14:paraId="226EFA46" w14:textId="731C7946" w:rsidR="008727F2" w:rsidRPr="00D80606" w:rsidRDefault="008727F2" w:rsidP="00454550">
      <w:pPr>
        <w:ind w:left="0"/>
        <w:rPr>
          <w:rFonts w:asciiTheme="minorHAnsi" w:hAnsiTheme="minorHAnsi"/>
          <w:color w:val="000000"/>
        </w:rPr>
      </w:pPr>
      <w:r w:rsidRPr="00D80606">
        <w:rPr>
          <w:rFonts w:asciiTheme="minorHAnsi" w:hAnsiTheme="minorHAnsi"/>
          <w:color w:val="000000"/>
        </w:rPr>
        <w:t>Podstawa: Artykuł 17 ust. 7 lit. c</w:t>
      </w:r>
    </w:p>
    <w:p w14:paraId="36F30FA4" w14:textId="77777777" w:rsidR="0051123B" w:rsidRPr="00D80606" w:rsidRDefault="0051123B" w:rsidP="0051123B">
      <w:pPr>
        <w:spacing w:after="120"/>
        <w:ind w:left="0"/>
        <w:rPr>
          <w:rFonts w:asciiTheme="minorHAnsi" w:hAnsiTheme="minorHAnsi"/>
          <w:color w:val="000000"/>
        </w:rPr>
      </w:pPr>
      <w:r w:rsidRPr="00D80606">
        <w:rPr>
          <w:rFonts w:asciiTheme="minorHAnsi" w:hAnsiTheme="minorHAnsi"/>
          <w:color w:val="000000"/>
        </w:rPr>
        <w:t>Pole tekstowe [10 500]</w:t>
      </w:r>
    </w:p>
    <w:p w14:paraId="29EF3847" w14:textId="77777777" w:rsidR="0051123B" w:rsidRPr="00D80606" w:rsidRDefault="0051123B" w:rsidP="00D80606">
      <w:pPr>
        <w:pBdr>
          <w:top w:val="single" w:sz="4" w:space="1" w:color="000000"/>
          <w:left w:val="single" w:sz="4" w:space="4" w:color="000000"/>
          <w:bottom w:val="single" w:sz="4" w:space="1" w:color="000000"/>
          <w:right w:val="single" w:sz="4" w:space="4" w:color="000000"/>
        </w:pBdr>
        <w:spacing w:after="120"/>
        <w:ind w:left="0"/>
        <w:jc w:val="left"/>
        <w:rPr>
          <w:rFonts w:asciiTheme="minorHAnsi" w:hAnsiTheme="minorHAnsi"/>
          <w:color w:val="000000"/>
          <w:sz w:val="24"/>
          <w:szCs w:val="24"/>
        </w:rPr>
      </w:pPr>
      <w:r w:rsidRPr="00D80606">
        <w:rPr>
          <w:rFonts w:asciiTheme="minorHAnsi" w:hAnsiTheme="minorHAnsi"/>
          <w:color w:val="000000"/>
          <w:sz w:val="24"/>
          <w:szCs w:val="24"/>
        </w:rPr>
        <w:t>Rozwiązania dotyczące nieprawidłowości i podziału odpowiedzialności, które obowiązywały w okresie programowania 2014-2020, pozostają zasadniczo w mocy prawnej. Jeżeli instytucja zarządzająca podejrzewa lub poweźmie wiedzę o nieprawidłowym wykorzystaniu przyznanych środków finansowych, podejmuje niezbędne działania następcze, np. zawiesza zwrot środków finansowych na rzecz partnera wiodącego lub partnera projektu, wycofuje lub odzyskuje nieprawidłowe kwoty.</w:t>
      </w:r>
    </w:p>
    <w:p w14:paraId="594EC1ED" w14:textId="799C0ED5" w:rsidR="0051123B" w:rsidRPr="00D80606" w:rsidRDefault="0051123B" w:rsidP="00D80606">
      <w:pPr>
        <w:pBdr>
          <w:top w:val="single" w:sz="4" w:space="1" w:color="000000"/>
          <w:left w:val="single" w:sz="4" w:space="4" w:color="000000"/>
          <w:bottom w:val="single" w:sz="4" w:space="1" w:color="000000"/>
          <w:right w:val="single" w:sz="4" w:space="4" w:color="000000"/>
        </w:pBdr>
        <w:spacing w:after="120"/>
        <w:ind w:left="0"/>
        <w:jc w:val="left"/>
        <w:rPr>
          <w:rFonts w:asciiTheme="minorHAnsi" w:hAnsiTheme="minorHAnsi"/>
          <w:color w:val="000000"/>
          <w:sz w:val="24"/>
          <w:szCs w:val="24"/>
        </w:rPr>
      </w:pPr>
      <w:r w:rsidRPr="00D80606">
        <w:rPr>
          <w:rFonts w:asciiTheme="minorHAnsi" w:hAnsiTheme="minorHAnsi"/>
          <w:color w:val="000000"/>
          <w:sz w:val="24"/>
          <w:szCs w:val="24"/>
        </w:rPr>
        <w:t xml:space="preserve">Bez uszczerbku dla odpowiedzialności państw członkowskich za wykrywanie i korygowanie nieprawidłowości i odzyskiwanie kwot nienależnie wypłaconych zgodnie z art. 63 ust. 2 rozporządzenia w sprawie wspólnych przepisów, jak mowa w art. 50 ust. 1 rozporządzenia w sprawie programów Interreg, instytucja zarządzająca zapewnia odzyskanie wszelkich kwot, które zostały wypłacone partnerowi wiodącemu w wyniku zaistnienia nieprawidłowości. Partnerzy projektu dokonują następnie zwrotu na rzecz partnera wiodącego kwot nienależnie wypłaconych.  Zgodnie z art. 50 ust. 1 lit. a instytucja zarządzająca nie będzie prowadzić postępowania w celu odzyskania kwoty nienależnie wypłaconej, jeżeli nie przekracza ona kwoty 250 euro z EFRR (z wyłączeniem odsetek), wypłaconej na daną operację w danym roku finansowym. </w:t>
      </w:r>
    </w:p>
    <w:p w14:paraId="3D727B89" w14:textId="22FA05E6" w:rsidR="0051123B" w:rsidRPr="00D80606" w:rsidRDefault="0051123B" w:rsidP="00D80606">
      <w:pPr>
        <w:pBdr>
          <w:top w:val="single" w:sz="4" w:space="1" w:color="000000"/>
          <w:left w:val="single" w:sz="4" w:space="4" w:color="000000"/>
          <w:bottom w:val="single" w:sz="4" w:space="1" w:color="000000"/>
          <w:right w:val="single" w:sz="4" w:space="4" w:color="000000"/>
        </w:pBdr>
        <w:spacing w:after="120"/>
        <w:ind w:left="0"/>
        <w:jc w:val="left"/>
        <w:rPr>
          <w:rFonts w:asciiTheme="minorHAnsi" w:hAnsiTheme="minorHAnsi"/>
          <w:color w:val="000000"/>
          <w:sz w:val="24"/>
          <w:szCs w:val="24"/>
        </w:rPr>
      </w:pPr>
      <w:r w:rsidRPr="00D80606">
        <w:rPr>
          <w:rFonts w:asciiTheme="minorHAnsi" w:hAnsiTheme="minorHAnsi"/>
          <w:color w:val="000000"/>
          <w:sz w:val="24"/>
          <w:szCs w:val="24"/>
        </w:rPr>
        <w:t xml:space="preserve">Jeżeli partner wiodący nie otrzyma zwrotu płatności od partnera projektu lub jeżeli instytucja zarządzająca nie otrzyma zwrotu płatności od partnera wiodącego, państwo członkowskie, na terytorium którego partner wiodący lub partner projektu ma siedzibę (w przypadku EUWT miejsce rejestracji), zwraca na rzecz instytucji zarządzającej kwotę nienależnie wypłaconą danemu partnerowi projektu zgodnie z art. 50 ust. 3 rozporządzenia w sprawie programów Interreg. Instytucja zarządzająca ponosi odpowiedzialność za zwrot odzyskanych kwot do ogólnego budżetu Unii zgodnie z podziałem odpowiedzialności między zaangażowane państwa członkowskie, jak mowa poniżej. Instytucja zarządzająca dokonuje zwrotu środków finansowych na </w:t>
      </w:r>
      <w:r w:rsidRPr="00D80606">
        <w:rPr>
          <w:rFonts w:asciiTheme="minorHAnsi" w:hAnsiTheme="minorHAnsi"/>
          <w:color w:val="000000"/>
          <w:sz w:val="24"/>
          <w:szCs w:val="24"/>
        </w:rPr>
        <w:lastRenderedPageBreak/>
        <w:t>rzecz Unii po ich odzyskaniu od partnera wiodącego lub partnera projektu lub państwa członkowskiego.</w:t>
      </w:r>
    </w:p>
    <w:p w14:paraId="6BFA19D3" w14:textId="77777777" w:rsidR="0051123B" w:rsidRPr="00D80606" w:rsidRDefault="0051123B" w:rsidP="00D80606">
      <w:pPr>
        <w:pBdr>
          <w:top w:val="single" w:sz="4" w:space="1" w:color="000000"/>
          <w:left w:val="single" w:sz="4" w:space="4" w:color="000000"/>
          <w:bottom w:val="single" w:sz="4" w:space="1" w:color="000000"/>
          <w:right w:val="single" w:sz="4" w:space="4" w:color="000000"/>
        </w:pBdr>
        <w:spacing w:after="120"/>
        <w:ind w:left="0"/>
        <w:jc w:val="left"/>
        <w:rPr>
          <w:rFonts w:asciiTheme="minorHAnsi" w:hAnsiTheme="minorHAnsi"/>
          <w:color w:val="000000"/>
          <w:sz w:val="24"/>
          <w:szCs w:val="24"/>
        </w:rPr>
      </w:pPr>
      <w:r w:rsidRPr="00D80606">
        <w:rPr>
          <w:rFonts w:asciiTheme="minorHAnsi" w:hAnsiTheme="minorHAnsi"/>
          <w:color w:val="000000"/>
          <w:sz w:val="24"/>
          <w:szCs w:val="24"/>
        </w:rPr>
        <w:t>Jeżeli instytucja zarządzająca ponosi koszty obsługi prawnej postępowań regresyjnych i windykacyjnych, wszczętych po konsultacji i w porozumieniu z odpowiednim państwem członkowskim, otrzyma zwrot od państwa członkowskiego, w którym partner wiodący lub partner projektu odpowiedzialny za wspomniane postępowanie ma siedzibę, nawet jeżeli postępowanie nie zostanie zakończone z powodzeniem.</w:t>
      </w:r>
    </w:p>
    <w:p w14:paraId="74BD926F" w14:textId="77777777" w:rsidR="0051123B" w:rsidRPr="00D80606" w:rsidRDefault="0051123B" w:rsidP="00D80606">
      <w:pPr>
        <w:pBdr>
          <w:top w:val="single" w:sz="4" w:space="1" w:color="000000"/>
          <w:left w:val="single" w:sz="4" w:space="4" w:color="000000"/>
          <w:bottom w:val="single" w:sz="4" w:space="1" w:color="000000"/>
          <w:right w:val="single" w:sz="4" w:space="4" w:color="000000"/>
        </w:pBdr>
        <w:spacing w:after="120"/>
        <w:ind w:left="0"/>
        <w:jc w:val="left"/>
        <w:rPr>
          <w:rFonts w:asciiTheme="minorHAnsi" w:hAnsiTheme="minorHAnsi"/>
          <w:color w:val="000000"/>
          <w:sz w:val="24"/>
          <w:szCs w:val="24"/>
        </w:rPr>
      </w:pPr>
      <w:r w:rsidRPr="00D80606">
        <w:rPr>
          <w:rFonts w:asciiTheme="minorHAnsi" w:hAnsiTheme="minorHAnsi"/>
          <w:color w:val="000000"/>
          <w:sz w:val="24"/>
          <w:szCs w:val="24"/>
        </w:rPr>
        <w:t xml:space="preserve">Ponieważ państwa członkowskie ponoszą ogólną odpowiedzialność za przyznawane z EFRR wsparcie na rzecz partnerów wiodących lub partnerów projektów z siedzibą na ich terytoriach, powinny zapewnić, że wszelkie wymagane korekty finansowe zostaną zabezpieczone, i powinny dążyć do odzyskania kwot utraconych w konsekwencji nieprawidłowości lub zaniedbania beneficjenta z siedzibą na ich terytorium. Państwo członkowskie może także naliczać odsetki za zwłokę, jeżeli jest to stosowne. </w:t>
      </w:r>
    </w:p>
    <w:p w14:paraId="27A7A3FD" w14:textId="0F9CF2DB" w:rsidR="0051123B" w:rsidRPr="00D80606" w:rsidRDefault="0051123B" w:rsidP="00D80606">
      <w:pPr>
        <w:pBdr>
          <w:top w:val="single" w:sz="4" w:space="1" w:color="000000"/>
          <w:left w:val="single" w:sz="4" w:space="4" w:color="000000"/>
          <w:bottom w:val="single" w:sz="4" w:space="1" w:color="000000"/>
          <w:right w:val="single" w:sz="4" w:space="4" w:color="000000"/>
        </w:pBdr>
        <w:spacing w:after="120"/>
        <w:ind w:left="0"/>
        <w:jc w:val="left"/>
        <w:rPr>
          <w:rFonts w:asciiTheme="minorHAnsi" w:hAnsiTheme="minorHAnsi"/>
          <w:color w:val="000000"/>
          <w:sz w:val="24"/>
          <w:szCs w:val="24"/>
        </w:rPr>
      </w:pPr>
      <w:r w:rsidRPr="00D80606">
        <w:rPr>
          <w:rFonts w:asciiTheme="minorHAnsi" w:hAnsiTheme="minorHAnsi"/>
          <w:color w:val="000000"/>
          <w:sz w:val="24"/>
          <w:szCs w:val="24"/>
        </w:rPr>
        <w:t xml:space="preserve">Zgodnie z art. 52 ust. 4 rozporządzenia w sprawie programów Interreg po dokonaniu zwrotu na rzecz instytucji zarządzającej środków finansowych nienależnie wypłaconych partnerowi, państwo członkowskie może kontynuować lub wszcząć przeciwko takiemu partnerowi procedurę odzyskania środków zgodnie z prawem krajowym. </w:t>
      </w:r>
    </w:p>
    <w:p w14:paraId="033B6636" w14:textId="30950389" w:rsidR="0051123B" w:rsidRPr="00D80606" w:rsidRDefault="00815ACC" w:rsidP="00D80606">
      <w:pPr>
        <w:pBdr>
          <w:top w:val="single" w:sz="4" w:space="1" w:color="000000"/>
          <w:left w:val="single" w:sz="4" w:space="4" w:color="000000"/>
          <w:bottom w:val="single" w:sz="4" w:space="1" w:color="000000"/>
          <w:right w:val="single" w:sz="4" w:space="4" w:color="000000"/>
        </w:pBdr>
        <w:spacing w:after="120"/>
        <w:ind w:left="0"/>
        <w:jc w:val="left"/>
        <w:rPr>
          <w:rFonts w:asciiTheme="minorHAnsi" w:hAnsiTheme="minorHAnsi"/>
          <w:color w:val="000000"/>
          <w:sz w:val="24"/>
          <w:szCs w:val="24"/>
        </w:rPr>
      </w:pPr>
      <w:r w:rsidRPr="00D80606">
        <w:rPr>
          <w:rFonts w:asciiTheme="minorHAnsi" w:hAnsiTheme="minorHAnsi"/>
          <w:sz w:val="24"/>
          <w:szCs w:val="24"/>
        </w:rPr>
        <w:t xml:space="preserve">Jeżeli państwo członkowskie nie zwróci środków instytucji zarządzającej, zgodnie z art. 52 ust. 5, kwoty te będą przedmiotem procedury wydania nakazu zwrotu przez Komisję Europejską, które, tam gdzie to możliwe, zostanie wykonane poprzez potrącenie z kwotami należnymi do wypłaty na rzecz państwa członkowskiego. Takie odzyskanie środków na podstawie nakazu zwrotu nie stanowi korekty finansowej i nie zmniejsza wsparcia z EFRR dla danego programu Interreg. Potrącenie dotyczy kolejnych płatności na rzecz tego samego programu Interreg. W takim przypadku instytucja zarządzająca rozpocznie dwustronne rozmowy z państwem członkowskim, które zawiniło, do momentu znalezienia wspólnego rozwiązania dotyczącego sposobu i miejsca potrącenia kwoty odliczonej przez Komisję Europejską. </w:t>
      </w:r>
    </w:p>
    <w:p w14:paraId="18CCC504" w14:textId="77777777" w:rsidR="0051123B" w:rsidRPr="00D80606" w:rsidRDefault="0051123B" w:rsidP="00D80606">
      <w:pPr>
        <w:pBdr>
          <w:top w:val="single" w:sz="4" w:space="1" w:color="000000"/>
          <w:left w:val="single" w:sz="4" w:space="4" w:color="000000"/>
          <w:bottom w:val="single" w:sz="4" w:space="1" w:color="000000"/>
          <w:right w:val="single" w:sz="4" w:space="4" w:color="000000"/>
        </w:pBdr>
        <w:spacing w:after="120"/>
        <w:ind w:left="0"/>
        <w:jc w:val="left"/>
        <w:rPr>
          <w:rFonts w:asciiTheme="minorHAnsi" w:hAnsiTheme="minorHAnsi"/>
          <w:color w:val="000000"/>
          <w:sz w:val="24"/>
          <w:szCs w:val="24"/>
        </w:rPr>
      </w:pPr>
      <w:r w:rsidRPr="00D80606">
        <w:rPr>
          <w:rFonts w:asciiTheme="minorHAnsi" w:hAnsiTheme="minorHAnsi"/>
          <w:color w:val="000000"/>
          <w:sz w:val="24"/>
          <w:szCs w:val="24"/>
        </w:rPr>
        <w:t>Państwa członkowskie ponoszą następującą odpowiedzialność w związku z wykorzystaniem środków z EFRR w ramach programu:</w:t>
      </w:r>
    </w:p>
    <w:p w14:paraId="02AEE20E" w14:textId="060CD5F0" w:rsidR="0051123B" w:rsidRPr="00D80606" w:rsidRDefault="0051123B" w:rsidP="00D80606">
      <w:pPr>
        <w:pStyle w:val="Akapitzlist"/>
        <w:numPr>
          <w:ilvl w:val="0"/>
          <w:numId w:val="54"/>
        </w:numPr>
        <w:pBdr>
          <w:top w:val="single" w:sz="4" w:space="1" w:color="000000"/>
          <w:left w:val="single" w:sz="4" w:space="4" w:color="000000"/>
          <w:bottom w:val="single" w:sz="4" w:space="1" w:color="000000"/>
          <w:right w:val="single" w:sz="4" w:space="4" w:color="000000"/>
        </w:pBdr>
        <w:spacing w:after="120"/>
        <w:jc w:val="left"/>
        <w:rPr>
          <w:rFonts w:asciiTheme="minorHAnsi" w:hAnsiTheme="minorHAnsi"/>
          <w:color w:val="000000"/>
          <w:sz w:val="24"/>
          <w:szCs w:val="24"/>
        </w:rPr>
      </w:pPr>
      <w:r w:rsidRPr="00D80606">
        <w:rPr>
          <w:rFonts w:asciiTheme="minorHAnsi" w:hAnsiTheme="minorHAnsi"/>
          <w:color w:val="000000"/>
          <w:sz w:val="24"/>
          <w:szCs w:val="24"/>
        </w:rPr>
        <w:t>Każde państwo członkowskie ponosi odpowiedzialność za ewentualne konsekwencje finansowe nieprawidłowości spowodowanych przez partnera wiodącego i partnera projektu mających siedzibę na jego terytorium.</w:t>
      </w:r>
    </w:p>
    <w:p w14:paraId="0A22F507" w14:textId="754076FA" w:rsidR="0051123B" w:rsidRPr="00D80606" w:rsidRDefault="00943F48" w:rsidP="00D80606">
      <w:pPr>
        <w:pStyle w:val="Akapitzlist"/>
        <w:numPr>
          <w:ilvl w:val="0"/>
          <w:numId w:val="54"/>
        </w:numPr>
        <w:pBdr>
          <w:top w:val="single" w:sz="4" w:space="1" w:color="000000"/>
          <w:left w:val="single" w:sz="4" w:space="4" w:color="000000"/>
          <w:bottom w:val="single" w:sz="4" w:space="1" w:color="000000"/>
          <w:right w:val="single" w:sz="4" w:space="4" w:color="000000"/>
        </w:pBdr>
        <w:spacing w:after="120"/>
        <w:jc w:val="left"/>
        <w:rPr>
          <w:rFonts w:asciiTheme="minorHAnsi" w:hAnsiTheme="minorHAnsi"/>
          <w:color w:val="000000"/>
          <w:sz w:val="24"/>
          <w:szCs w:val="24"/>
        </w:rPr>
      </w:pPr>
      <w:r w:rsidRPr="00D80606">
        <w:rPr>
          <w:rFonts w:asciiTheme="minorHAnsi" w:hAnsiTheme="minorHAnsi"/>
          <w:color w:val="000000"/>
          <w:sz w:val="24"/>
          <w:szCs w:val="24"/>
        </w:rPr>
        <w:t xml:space="preserve">W przypadku nieprawidłowości systemowej lub korekty finansowej (na podstawie decyzji władz programu lub Komisji Europejskiej), państwo członkowskie poniesie konsekwencje finansowe proporcjonalnie do danej nieprawidłowości wykrytej na terytorium danego państwa członkowskiego. W przypadku nieprawidłowości systemowej lub korekty finansowej na poziomie programu, której nie można powiązać z konkretnym państwem członkowskim, odpowiedzialność ponoszą wspólnie państwa członkowskie proporcjonalnie do EFRR, o który wystąpiły do Komisji Europejskiej (w odniesieniu do wydatków beneficjentów mających </w:t>
      </w:r>
      <w:r w:rsidRPr="00D80606">
        <w:rPr>
          <w:rFonts w:asciiTheme="minorHAnsi" w:hAnsiTheme="minorHAnsi"/>
          <w:color w:val="000000"/>
          <w:sz w:val="24"/>
          <w:szCs w:val="24"/>
        </w:rPr>
        <w:lastRenderedPageBreak/>
        <w:t xml:space="preserve">siedzibę na terytorium państw członkowskich) w okresie stanowiącym podstawę dla korekty finansowej. </w:t>
      </w:r>
    </w:p>
    <w:p w14:paraId="31FC211F" w14:textId="736FE0A6" w:rsidR="00815ACC" w:rsidRPr="00D80606" w:rsidRDefault="00815ACC" w:rsidP="00D80606">
      <w:pPr>
        <w:pBdr>
          <w:top w:val="single" w:sz="4" w:space="1" w:color="000000"/>
          <w:left w:val="single" w:sz="4" w:space="4" w:color="000000"/>
          <w:bottom w:val="single" w:sz="4" w:space="1" w:color="000000"/>
          <w:right w:val="single" w:sz="4" w:space="4" w:color="000000"/>
        </w:pBdr>
        <w:spacing w:after="120"/>
        <w:ind w:left="0"/>
        <w:jc w:val="left"/>
        <w:rPr>
          <w:rFonts w:asciiTheme="minorHAnsi" w:hAnsiTheme="minorHAnsi"/>
          <w:color w:val="000000"/>
          <w:sz w:val="24"/>
          <w:szCs w:val="24"/>
        </w:rPr>
      </w:pPr>
      <w:r w:rsidRPr="00D80606">
        <w:rPr>
          <w:rFonts w:asciiTheme="minorHAnsi" w:hAnsiTheme="minorHAnsi"/>
          <w:color w:val="000000"/>
          <w:sz w:val="24"/>
          <w:szCs w:val="24"/>
        </w:rPr>
        <w:t xml:space="preserve">Powyższe zasady odpowiedzialności mają również zastosowanie do korekt dotyczących pomocy technicznej wyliczonych zgodnie z art. 27 rozporządzenia dotyczącego programów Interreg, jako że takie korekty byłyby bezpośrednią konsekwencją nieprawidłowości związanych z projektem (niezależnie od tego, czy były one systemowe, czy nie). Jeżeli nie ma możliwości ponownego wykorzystania. Instytucja zarządzająca będzie na bieżąco informować państwa członkowskie o wszystkich nieprawidłowościach i ich wpływie na PT. Najpóźniej na koniec okresu programowania instytucja zarządzająca </w:t>
      </w:r>
      <w:r w:rsidR="00292EFC">
        <w:rPr>
          <w:rFonts w:asciiTheme="minorHAnsi" w:hAnsiTheme="minorHAnsi"/>
          <w:color w:val="000000"/>
          <w:sz w:val="24"/>
          <w:szCs w:val="24"/>
        </w:rPr>
        <w:t>w uzgodnieniu zweryfikuje</w:t>
      </w:r>
      <w:r w:rsidRPr="00D80606">
        <w:rPr>
          <w:rFonts w:asciiTheme="minorHAnsi" w:hAnsiTheme="minorHAnsi"/>
          <w:color w:val="000000"/>
          <w:sz w:val="24"/>
          <w:szCs w:val="24"/>
        </w:rPr>
        <w:t>, czy pozostało saldo nieprawidłowości, które miały wpływ na budżet PT i nie mogło być ponownie wykorzystane. W przypadku pozostałego salda, instytucja zarządzająca poinformuje i poprosi odpowiednie państwo/państwa członkowskie o zwrot odpowiedniej kwoty z EFRR. Kwota ta zostanie przekazana na rachunek PT instytucji zarządzającej.</w:t>
      </w:r>
    </w:p>
    <w:p w14:paraId="547E988D" w14:textId="0E4C131F" w:rsidR="000F24FD" w:rsidRPr="00D80606" w:rsidRDefault="000F24FD" w:rsidP="00D80606">
      <w:pPr>
        <w:pBdr>
          <w:top w:val="single" w:sz="4" w:space="1" w:color="000000"/>
          <w:left w:val="single" w:sz="4" w:space="4" w:color="000000"/>
          <w:bottom w:val="single" w:sz="4" w:space="1" w:color="000000"/>
          <w:right w:val="single" w:sz="4" w:space="4" w:color="000000"/>
        </w:pBdr>
        <w:spacing w:after="120"/>
        <w:ind w:left="0"/>
        <w:jc w:val="left"/>
        <w:rPr>
          <w:rFonts w:asciiTheme="minorHAnsi" w:hAnsiTheme="minorHAnsi"/>
          <w:color w:val="000000"/>
          <w:sz w:val="24"/>
          <w:szCs w:val="24"/>
        </w:rPr>
      </w:pPr>
      <w:r w:rsidRPr="00D80606">
        <w:rPr>
          <w:rFonts w:asciiTheme="minorHAnsi" w:hAnsiTheme="minorHAnsi"/>
          <w:color w:val="000000"/>
          <w:sz w:val="24"/>
          <w:szCs w:val="24"/>
        </w:rPr>
        <w:t>Zgodnie z art. 63 ust. 11 rozporządzenia w sprawie wspólnych przepisów państwo członkowskie zgłasza nieprawidłowości zgodnie z aktem wykonawczym, który zostanie przyjęty przez Komisję, przy czym określony zostanie wzór sprawozdania. Państwo członkowskie powiadamia ponadto instytucję zarządzającą, która powiadamia z kolei instytucję audytową. Szczegółowe procedury w tym zakresie zostaną zawarte w opisie systemu zarządzania i kontroli programu, który zostanie przygotowany zgodnie z art. 63 rozporządzenia w sprawie wspólnych przepisów.</w:t>
      </w:r>
    </w:p>
    <w:p w14:paraId="1C68F68F" w14:textId="284BB60B" w:rsidR="00563968" w:rsidRDefault="00563968" w:rsidP="008727F2">
      <w:pPr>
        <w:rPr>
          <w:rFonts w:asciiTheme="minorHAnsi" w:hAnsiTheme="minorHAnsi"/>
          <w:b/>
        </w:rPr>
      </w:pPr>
      <w:r>
        <w:br w:type="page"/>
      </w:r>
    </w:p>
    <w:p w14:paraId="01C7965B" w14:textId="62FECF0C" w:rsidR="00EB3FA8" w:rsidRPr="00BB57C0" w:rsidRDefault="00EB3FA8" w:rsidP="005A23E6">
      <w:pPr>
        <w:pStyle w:val="CE-Headline1"/>
      </w:pPr>
      <w:bookmarkStart w:id="124" w:name="_Toc71036622"/>
      <w:r>
        <w:lastRenderedPageBreak/>
        <w:t>Stosowanie kosztów jednostkowych, kwot ryczałtowych, stawek stałych i środków finansowych, z wyłączeniem kosztów</w:t>
      </w:r>
      <w:bookmarkEnd w:id="124"/>
    </w:p>
    <w:p w14:paraId="60DFE2B2" w14:textId="50523F2C" w:rsidR="00EB3FA8" w:rsidRPr="00D80606" w:rsidRDefault="00EB3FA8" w:rsidP="00EB3FA8">
      <w:pPr>
        <w:ind w:left="0"/>
        <w:rPr>
          <w:rFonts w:asciiTheme="minorHAnsi" w:hAnsiTheme="minorHAnsi"/>
          <w:color w:val="000000"/>
        </w:rPr>
      </w:pPr>
      <w:r w:rsidRPr="00D80606">
        <w:rPr>
          <w:rFonts w:asciiTheme="minorHAnsi" w:hAnsiTheme="minorHAnsi"/>
          <w:color w:val="000000"/>
        </w:rPr>
        <w:t>Podstawa: art. 88 i 89 rozporządzenia w sprawie wspólnych przepisów</w:t>
      </w:r>
    </w:p>
    <w:p w14:paraId="0808A501" w14:textId="77777777" w:rsidR="00EB3FA8" w:rsidRPr="00F97E96" w:rsidRDefault="00EB3FA8" w:rsidP="00EB3FA8">
      <w:pPr>
        <w:pBdr>
          <w:top w:val="nil"/>
          <w:left w:val="nil"/>
          <w:bottom w:val="nil"/>
          <w:right w:val="nil"/>
          <w:between w:val="nil"/>
        </w:pBdr>
        <w:ind w:left="360" w:hanging="360"/>
        <w:rPr>
          <w:b/>
          <w:bCs/>
          <w:iCs/>
          <w:noProof/>
          <w:szCs w:val="24"/>
          <w:highlight w:val="yellow"/>
          <w:u w:val="single"/>
        </w:rPr>
      </w:pPr>
      <w:r w:rsidRPr="00D80606">
        <w:rPr>
          <w:rFonts w:asciiTheme="minorHAnsi" w:hAnsiTheme="minorHAnsi"/>
          <w:b/>
          <w:color w:val="000000"/>
        </w:rPr>
        <w:t>Tabela 11: Stosowanie kosztów jednostkowych, kwot ryczałtowych, stawek stałych i środków finansowych, z wyłączeniem kosztów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992"/>
        <w:gridCol w:w="1105"/>
      </w:tblGrid>
      <w:tr w:rsidR="00EB3FA8" w:rsidRPr="00EB3FA8" w14:paraId="12C9E768" w14:textId="77777777" w:rsidTr="00EB3FA8">
        <w:tc>
          <w:tcPr>
            <w:tcW w:w="7225" w:type="dxa"/>
          </w:tcPr>
          <w:p w14:paraId="4EAED5C7" w14:textId="77777777" w:rsidR="00EB3FA8" w:rsidRPr="00EB3FA8" w:rsidRDefault="00EB3FA8" w:rsidP="00EB3FA8">
            <w:pPr>
              <w:spacing w:after="200"/>
              <w:ind w:left="0"/>
              <w:rPr>
                <w:rFonts w:asciiTheme="minorHAnsi" w:hAnsiTheme="minorHAnsi"/>
                <w:bCs/>
                <w:noProof/>
                <w:szCs w:val="24"/>
              </w:rPr>
            </w:pPr>
            <w:r>
              <w:rPr>
                <w:rFonts w:asciiTheme="minorHAnsi" w:hAnsiTheme="minorHAnsi"/>
              </w:rPr>
              <w:t>Planowane stosowanie przepisów art. 88 i 89</w:t>
            </w:r>
          </w:p>
        </w:tc>
        <w:tc>
          <w:tcPr>
            <w:tcW w:w="992" w:type="dxa"/>
          </w:tcPr>
          <w:p w14:paraId="244C18E6" w14:textId="77777777" w:rsidR="00EB3FA8" w:rsidRPr="00EB3FA8" w:rsidRDefault="00EB3FA8" w:rsidP="00EB3FA8">
            <w:pPr>
              <w:spacing w:after="200"/>
              <w:ind w:left="0" w:right="0"/>
              <w:jc w:val="center"/>
              <w:rPr>
                <w:rFonts w:asciiTheme="minorHAnsi" w:hAnsiTheme="minorHAnsi"/>
                <w:bCs/>
                <w:noProof/>
                <w:szCs w:val="24"/>
              </w:rPr>
            </w:pPr>
            <w:r>
              <w:rPr>
                <w:rFonts w:asciiTheme="minorHAnsi" w:hAnsiTheme="minorHAnsi"/>
              </w:rPr>
              <w:t>TAK</w:t>
            </w:r>
          </w:p>
        </w:tc>
        <w:tc>
          <w:tcPr>
            <w:tcW w:w="1105" w:type="dxa"/>
          </w:tcPr>
          <w:p w14:paraId="1663EEB9" w14:textId="77777777" w:rsidR="00EB3FA8" w:rsidRPr="00EB3FA8" w:rsidRDefault="00EB3FA8" w:rsidP="00EB3FA8">
            <w:pPr>
              <w:tabs>
                <w:tab w:val="left" w:pos="1441"/>
              </w:tabs>
              <w:spacing w:after="200"/>
              <w:ind w:left="0" w:right="0"/>
              <w:jc w:val="center"/>
              <w:rPr>
                <w:rFonts w:asciiTheme="minorHAnsi" w:hAnsiTheme="minorHAnsi"/>
                <w:bCs/>
                <w:noProof/>
                <w:szCs w:val="24"/>
              </w:rPr>
            </w:pPr>
            <w:r>
              <w:rPr>
                <w:rFonts w:asciiTheme="minorHAnsi" w:hAnsiTheme="minorHAnsi"/>
              </w:rPr>
              <w:t>NIE</w:t>
            </w:r>
          </w:p>
        </w:tc>
      </w:tr>
      <w:tr w:rsidR="00EB3FA8" w:rsidRPr="00EB3FA8" w14:paraId="684FC8D0" w14:textId="77777777" w:rsidTr="00EB3FA8">
        <w:tc>
          <w:tcPr>
            <w:tcW w:w="7225" w:type="dxa"/>
          </w:tcPr>
          <w:p w14:paraId="66BF3D19" w14:textId="77777777" w:rsidR="00EB3FA8" w:rsidRPr="00EB3FA8" w:rsidRDefault="00EB3FA8" w:rsidP="00EB3FA8">
            <w:pPr>
              <w:spacing w:after="200"/>
              <w:ind w:left="0"/>
              <w:rPr>
                <w:rFonts w:asciiTheme="minorHAnsi" w:hAnsiTheme="minorHAnsi"/>
                <w:bCs/>
                <w:noProof/>
                <w:szCs w:val="24"/>
              </w:rPr>
            </w:pPr>
            <w:r>
              <w:rPr>
                <w:rFonts w:asciiTheme="minorHAnsi" w:hAnsiTheme="minorHAnsi"/>
              </w:rPr>
              <w:t>Od chwili przyjęcia w programie będzie wykorzystywany zwrot wydatków kwalifikowalnych w oparciu o koszty jednostkowe, kwoty ryczałtowe i stawki stałe w ramach priorytetu zgodnie z art. 88 rozporządzenia w sprawie wspólnych przepisów (jeżeli tak, wypełnić załącznik 1).</w:t>
            </w:r>
          </w:p>
        </w:tc>
        <w:tc>
          <w:tcPr>
            <w:tcW w:w="992" w:type="dxa"/>
          </w:tcPr>
          <w:p w14:paraId="5197CA63" w14:textId="77777777" w:rsidR="00EB3FA8" w:rsidRPr="00EB3FA8" w:rsidRDefault="00EB3FA8" w:rsidP="00EB3FA8">
            <w:pPr>
              <w:spacing w:after="200"/>
              <w:ind w:left="0" w:right="0"/>
              <w:jc w:val="center"/>
              <w:rPr>
                <w:rFonts w:asciiTheme="minorHAnsi" w:hAnsiTheme="minorHAnsi"/>
                <w:bCs/>
                <w:noProof/>
                <w:szCs w:val="24"/>
              </w:rPr>
            </w:pPr>
            <w:r w:rsidRPr="00EB3FA8">
              <w:rPr>
                <w:rFonts w:asciiTheme="minorHAnsi" w:hAnsiTheme="minorHAnsi"/>
              </w:rPr>
              <w:fldChar w:fldCharType="begin">
                <w:ffData>
                  <w:name w:val="Check2"/>
                  <w:enabled/>
                  <w:calcOnExit w:val="0"/>
                  <w:checkBox>
                    <w:sizeAuto/>
                    <w:default w:val="0"/>
                  </w:checkBox>
                </w:ffData>
              </w:fldChar>
            </w:r>
            <w:r w:rsidRPr="00EB3FA8">
              <w:rPr>
                <w:rFonts w:asciiTheme="minorHAnsi" w:hAnsiTheme="minorHAnsi"/>
              </w:rPr>
              <w:instrText xml:space="preserve"> FORMCHECKBOX </w:instrText>
            </w:r>
            <w:r w:rsidR="00ED61BA">
              <w:rPr>
                <w:rFonts w:asciiTheme="minorHAnsi" w:hAnsiTheme="minorHAnsi"/>
              </w:rPr>
            </w:r>
            <w:r w:rsidR="00ED61BA">
              <w:rPr>
                <w:rFonts w:asciiTheme="minorHAnsi" w:hAnsiTheme="minorHAnsi"/>
              </w:rPr>
              <w:fldChar w:fldCharType="separate"/>
            </w:r>
            <w:r w:rsidRPr="00EB3FA8">
              <w:rPr>
                <w:rFonts w:asciiTheme="minorHAnsi" w:hAnsiTheme="minorHAnsi"/>
              </w:rPr>
              <w:fldChar w:fldCharType="end"/>
            </w:r>
          </w:p>
        </w:tc>
        <w:tc>
          <w:tcPr>
            <w:tcW w:w="1105" w:type="dxa"/>
          </w:tcPr>
          <w:p w14:paraId="473C1DCB" w14:textId="75CC84E7" w:rsidR="00EB3FA8" w:rsidRPr="00EB3FA8" w:rsidRDefault="00F06494" w:rsidP="00EB3FA8">
            <w:pPr>
              <w:tabs>
                <w:tab w:val="left" w:pos="1441"/>
              </w:tabs>
              <w:spacing w:after="200"/>
              <w:ind w:left="0" w:right="0"/>
              <w:jc w:val="center"/>
              <w:rPr>
                <w:rFonts w:asciiTheme="minorHAnsi" w:hAnsiTheme="minorHAnsi"/>
                <w:bCs/>
                <w:noProof/>
                <w:szCs w:val="24"/>
              </w:rPr>
            </w:pPr>
            <w:r>
              <w:rPr>
                <w:rFonts w:asciiTheme="minorHAnsi" w:hAnsiTheme="minorHAnsi"/>
              </w:rPr>
              <w:fldChar w:fldCharType="begin">
                <w:ffData>
                  <w:name w:val="Check1"/>
                  <w:enabled/>
                  <w:calcOnExit w:val="0"/>
                  <w:checkBox>
                    <w:sizeAuto/>
                    <w:default w:val="1"/>
                  </w:checkBox>
                </w:ffData>
              </w:fldChar>
            </w:r>
            <w:r>
              <w:rPr>
                <w:rFonts w:asciiTheme="minorHAnsi" w:hAnsiTheme="minorHAnsi"/>
              </w:rPr>
              <w:instrText xml:space="preserve"> </w:instrText>
            </w:r>
            <w:bookmarkStart w:id="125" w:name="Check1"/>
            <w:r>
              <w:rPr>
                <w:rFonts w:asciiTheme="minorHAnsi" w:hAnsiTheme="minorHAnsi"/>
              </w:rPr>
              <w:instrText xml:space="preserve">FORMCHECKBOX </w:instrText>
            </w:r>
            <w:r w:rsidR="00ED61BA">
              <w:rPr>
                <w:rFonts w:asciiTheme="minorHAnsi" w:hAnsiTheme="minorHAnsi"/>
              </w:rPr>
            </w:r>
            <w:r w:rsidR="00ED61BA">
              <w:rPr>
                <w:rFonts w:asciiTheme="minorHAnsi" w:hAnsiTheme="minorHAnsi"/>
              </w:rPr>
              <w:fldChar w:fldCharType="separate"/>
            </w:r>
            <w:r>
              <w:rPr>
                <w:rFonts w:asciiTheme="minorHAnsi" w:hAnsiTheme="minorHAnsi"/>
              </w:rPr>
              <w:fldChar w:fldCharType="end"/>
            </w:r>
            <w:bookmarkEnd w:id="125"/>
          </w:p>
        </w:tc>
      </w:tr>
      <w:tr w:rsidR="00EB3FA8" w:rsidRPr="00EB3FA8" w14:paraId="14F989C0" w14:textId="77777777" w:rsidTr="00EB3FA8">
        <w:tc>
          <w:tcPr>
            <w:tcW w:w="7225" w:type="dxa"/>
          </w:tcPr>
          <w:p w14:paraId="57D7CC1F" w14:textId="77777777" w:rsidR="00EB3FA8" w:rsidRPr="00EB3FA8" w:rsidRDefault="00EB3FA8" w:rsidP="00EB3FA8">
            <w:pPr>
              <w:spacing w:before="240" w:after="240"/>
              <w:ind w:left="0"/>
              <w:rPr>
                <w:rFonts w:asciiTheme="minorHAnsi" w:hAnsiTheme="minorHAnsi"/>
                <w:bCs/>
                <w:i/>
                <w:noProof/>
                <w:szCs w:val="24"/>
              </w:rPr>
            </w:pPr>
            <w:r>
              <w:rPr>
                <w:rFonts w:asciiTheme="minorHAnsi" w:hAnsiTheme="minorHAnsi"/>
              </w:rPr>
              <w:t>Od chwili przyjęcia w programie będą wykorzystywane środki finansowe, z wyłączeniem kosztów, zgodnie z art. 89 rozporządzenia w sprawie wspólnych przepisów (jeżeli tak, wypełnić załącznik 2).</w:t>
            </w:r>
          </w:p>
        </w:tc>
        <w:tc>
          <w:tcPr>
            <w:tcW w:w="992" w:type="dxa"/>
          </w:tcPr>
          <w:p w14:paraId="0CBEA512" w14:textId="77777777" w:rsidR="00EB3FA8" w:rsidRPr="00EB3FA8" w:rsidRDefault="00EB3FA8" w:rsidP="00EB3FA8">
            <w:pPr>
              <w:spacing w:after="200"/>
              <w:ind w:left="0" w:right="0"/>
              <w:jc w:val="center"/>
              <w:rPr>
                <w:rFonts w:asciiTheme="minorHAnsi" w:hAnsiTheme="minorHAnsi"/>
                <w:bCs/>
                <w:noProof/>
                <w:szCs w:val="24"/>
              </w:rPr>
            </w:pPr>
            <w:r w:rsidRPr="00EB3FA8">
              <w:rPr>
                <w:rFonts w:asciiTheme="minorHAnsi" w:hAnsiTheme="minorHAnsi"/>
              </w:rPr>
              <w:fldChar w:fldCharType="begin">
                <w:ffData>
                  <w:name w:val="Check2"/>
                  <w:enabled/>
                  <w:calcOnExit w:val="0"/>
                  <w:checkBox>
                    <w:sizeAuto/>
                    <w:default w:val="0"/>
                  </w:checkBox>
                </w:ffData>
              </w:fldChar>
            </w:r>
            <w:r w:rsidRPr="00EB3FA8">
              <w:rPr>
                <w:rFonts w:asciiTheme="minorHAnsi" w:hAnsiTheme="minorHAnsi"/>
              </w:rPr>
              <w:instrText xml:space="preserve"> FORMCHECKBOX </w:instrText>
            </w:r>
            <w:r w:rsidR="00ED61BA">
              <w:rPr>
                <w:rFonts w:asciiTheme="minorHAnsi" w:hAnsiTheme="minorHAnsi"/>
              </w:rPr>
            </w:r>
            <w:r w:rsidR="00ED61BA">
              <w:rPr>
                <w:rFonts w:asciiTheme="minorHAnsi" w:hAnsiTheme="minorHAnsi"/>
              </w:rPr>
              <w:fldChar w:fldCharType="separate"/>
            </w:r>
            <w:r w:rsidRPr="00EB3FA8">
              <w:rPr>
                <w:rFonts w:asciiTheme="minorHAnsi" w:hAnsiTheme="minorHAnsi"/>
              </w:rPr>
              <w:fldChar w:fldCharType="end"/>
            </w:r>
          </w:p>
        </w:tc>
        <w:tc>
          <w:tcPr>
            <w:tcW w:w="1105" w:type="dxa"/>
          </w:tcPr>
          <w:p w14:paraId="08CF54EC" w14:textId="3E6782DF" w:rsidR="00EB3FA8" w:rsidRPr="00EB3FA8" w:rsidRDefault="00F06494" w:rsidP="00EB3FA8">
            <w:pPr>
              <w:tabs>
                <w:tab w:val="left" w:pos="1441"/>
              </w:tabs>
              <w:spacing w:after="200"/>
              <w:ind w:left="0" w:right="0"/>
              <w:jc w:val="center"/>
              <w:rPr>
                <w:rFonts w:asciiTheme="minorHAnsi" w:hAnsiTheme="minorHAnsi"/>
                <w:bCs/>
                <w:noProof/>
                <w:szCs w:val="24"/>
              </w:rPr>
            </w:pPr>
            <w:r>
              <w:rPr>
                <w:rFonts w:asciiTheme="minorHAnsi" w:hAnsiTheme="minorHAnsi"/>
              </w:rPr>
              <w:fldChar w:fldCharType="begin">
                <w:ffData>
                  <w:name w:val="Check2"/>
                  <w:enabled/>
                  <w:calcOnExit w:val="0"/>
                  <w:checkBox>
                    <w:sizeAuto/>
                    <w:default w:val="1"/>
                  </w:checkBox>
                </w:ffData>
              </w:fldChar>
            </w:r>
            <w:r>
              <w:rPr>
                <w:rFonts w:asciiTheme="minorHAnsi" w:hAnsiTheme="minorHAnsi"/>
              </w:rPr>
              <w:instrText xml:space="preserve"> </w:instrText>
            </w:r>
            <w:bookmarkStart w:id="126" w:name="Check2"/>
            <w:r>
              <w:rPr>
                <w:rFonts w:asciiTheme="minorHAnsi" w:hAnsiTheme="minorHAnsi"/>
              </w:rPr>
              <w:instrText xml:space="preserve">FORMCHECKBOX </w:instrText>
            </w:r>
            <w:r w:rsidR="00ED61BA">
              <w:rPr>
                <w:rFonts w:asciiTheme="minorHAnsi" w:hAnsiTheme="minorHAnsi"/>
              </w:rPr>
            </w:r>
            <w:r w:rsidR="00ED61BA">
              <w:rPr>
                <w:rFonts w:asciiTheme="minorHAnsi" w:hAnsiTheme="minorHAnsi"/>
              </w:rPr>
              <w:fldChar w:fldCharType="separate"/>
            </w:r>
            <w:r>
              <w:rPr>
                <w:rFonts w:asciiTheme="minorHAnsi" w:hAnsiTheme="minorHAnsi"/>
              </w:rPr>
              <w:fldChar w:fldCharType="end"/>
            </w:r>
            <w:bookmarkEnd w:id="126"/>
          </w:p>
        </w:tc>
      </w:tr>
    </w:tbl>
    <w:p w14:paraId="44263E13" w14:textId="77777777" w:rsidR="00EB3FA8" w:rsidRDefault="00EB3FA8" w:rsidP="00EB3FA8">
      <w:pPr>
        <w:spacing w:after="200"/>
        <w:rPr>
          <w:b/>
          <w:noProof/>
          <w:sz w:val="22"/>
          <w:lang w:val="en-GB" w:eastAsia="en-GB"/>
        </w:rPr>
      </w:pPr>
    </w:p>
    <w:p w14:paraId="0A284901" w14:textId="77777777" w:rsidR="00EB3FA8" w:rsidRPr="008727F2" w:rsidRDefault="00EB3FA8" w:rsidP="008727F2">
      <w:pPr>
        <w:rPr>
          <w:rFonts w:asciiTheme="minorHAnsi" w:hAnsiTheme="minorHAnsi"/>
          <w:b/>
          <w:lang w:val="en-GB"/>
        </w:rPr>
      </w:pPr>
    </w:p>
    <w:p w14:paraId="468566A2" w14:textId="77777777" w:rsidR="008A5982" w:rsidRDefault="008A5982" w:rsidP="008A5982">
      <w:pPr>
        <w:rPr>
          <w:rFonts w:asciiTheme="minorHAnsi" w:hAnsiTheme="minorHAnsi"/>
          <w:b/>
          <w:lang w:val="en-GB"/>
        </w:rPr>
      </w:pPr>
    </w:p>
    <w:p w14:paraId="06BF2255" w14:textId="77777777" w:rsidR="00CA2DC9" w:rsidRPr="0063232B" w:rsidRDefault="00CA2DC9" w:rsidP="008A5982">
      <w:pPr>
        <w:rPr>
          <w:rFonts w:asciiTheme="minorHAnsi" w:hAnsiTheme="minorHAnsi"/>
          <w:b/>
          <w:lang w:val="en-GB"/>
        </w:rPr>
      </w:pPr>
    </w:p>
    <w:p w14:paraId="6D94C34F" w14:textId="77777777" w:rsidR="00EB3FA8" w:rsidRDefault="00EB3FA8">
      <w:pPr>
        <w:spacing w:before="0" w:line="240" w:lineRule="auto"/>
        <w:ind w:left="0" w:right="0"/>
        <w:jc w:val="left"/>
        <w:rPr>
          <w:rFonts w:asciiTheme="minorHAnsi" w:hAnsiTheme="minorHAnsi"/>
          <w:b/>
          <w:sz w:val="24"/>
        </w:rPr>
      </w:pPr>
      <w:r>
        <w:br w:type="page"/>
      </w:r>
    </w:p>
    <w:p w14:paraId="7F15A2E2" w14:textId="77777777" w:rsidR="008727F2" w:rsidRPr="00BB57C0" w:rsidRDefault="008727F2" w:rsidP="005A23E6">
      <w:pPr>
        <w:pStyle w:val="CE-Headline1"/>
        <w:numPr>
          <w:ilvl w:val="0"/>
          <w:numId w:val="0"/>
        </w:numPr>
      </w:pPr>
      <w:bookmarkStart w:id="127" w:name="_Toc71036623"/>
      <w:r>
        <w:lastRenderedPageBreak/>
        <w:t>ZAŁĄCZNIKI</w:t>
      </w:r>
      <w:bookmarkEnd w:id="127"/>
    </w:p>
    <w:p w14:paraId="7C16BB99" w14:textId="77777777" w:rsidR="008727F2" w:rsidRPr="00BB2536" w:rsidRDefault="008727F2" w:rsidP="00372391">
      <w:pPr>
        <w:pStyle w:val="Akapitzlist"/>
        <w:numPr>
          <w:ilvl w:val="0"/>
          <w:numId w:val="33"/>
        </w:numPr>
        <w:rPr>
          <w:rFonts w:asciiTheme="minorHAnsi" w:hAnsiTheme="minorHAnsi"/>
          <w:b/>
          <w:sz w:val="24"/>
          <w:szCs w:val="24"/>
        </w:rPr>
      </w:pPr>
      <w:r>
        <w:rPr>
          <w:rFonts w:asciiTheme="minorHAnsi" w:hAnsiTheme="minorHAnsi"/>
          <w:b/>
          <w:sz w:val="24"/>
        </w:rPr>
        <w:t>Załącznik 1:</w:t>
      </w:r>
      <w:r>
        <w:rPr>
          <w:rFonts w:asciiTheme="minorHAnsi" w:hAnsiTheme="minorHAnsi"/>
          <w:b/>
          <w:sz w:val="24"/>
        </w:rPr>
        <w:tab/>
        <w:t>Mapa obszaru objętego programem</w:t>
      </w:r>
    </w:p>
    <w:p w14:paraId="0F27D465" w14:textId="77777777" w:rsidR="008727F2" w:rsidRPr="00BB2536" w:rsidRDefault="008727F2" w:rsidP="00372391">
      <w:pPr>
        <w:pStyle w:val="Akapitzlist"/>
        <w:numPr>
          <w:ilvl w:val="0"/>
          <w:numId w:val="33"/>
        </w:numPr>
        <w:rPr>
          <w:rFonts w:asciiTheme="minorHAnsi" w:hAnsiTheme="minorHAnsi"/>
          <w:b/>
          <w:sz w:val="24"/>
          <w:szCs w:val="24"/>
        </w:rPr>
      </w:pPr>
      <w:bookmarkStart w:id="128" w:name="_heading=h.30j0zll"/>
      <w:bookmarkEnd w:id="128"/>
      <w:r>
        <w:rPr>
          <w:rFonts w:asciiTheme="minorHAnsi" w:hAnsiTheme="minorHAnsi"/>
          <w:b/>
          <w:sz w:val="24"/>
        </w:rPr>
        <w:t>Załącznik 2:</w:t>
      </w:r>
      <w:r>
        <w:rPr>
          <w:rFonts w:asciiTheme="minorHAnsi" w:hAnsiTheme="minorHAnsi"/>
          <w:b/>
          <w:sz w:val="24"/>
        </w:rPr>
        <w:tab/>
        <w:t>Wkład Unii w oparciu o koszty jednostkowe, kwoty ryczałtowe i stawki stałe</w:t>
      </w:r>
    </w:p>
    <w:p w14:paraId="060BEB41" w14:textId="77777777" w:rsidR="00CA2DC9" w:rsidRDefault="00CA2DC9" w:rsidP="00372391">
      <w:pPr>
        <w:pStyle w:val="Akapitzlist"/>
        <w:numPr>
          <w:ilvl w:val="0"/>
          <w:numId w:val="33"/>
        </w:numPr>
        <w:rPr>
          <w:rFonts w:asciiTheme="minorHAnsi" w:hAnsiTheme="minorHAnsi"/>
          <w:b/>
          <w:sz w:val="24"/>
          <w:szCs w:val="24"/>
        </w:rPr>
      </w:pPr>
      <w:r>
        <w:rPr>
          <w:rFonts w:asciiTheme="minorHAnsi" w:hAnsiTheme="minorHAnsi"/>
          <w:b/>
          <w:sz w:val="24"/>
        </w:rPr>
        <w:t>Załącznik 3: Wkład Unii w oparciu o środki finansowe, z wyłączeniem kosztów</w:t>
      </w:r>
    </w:p>
    <w:p w14:paraId="124CD7CF" w14:textId="77777777" w:rsidR="00C223C3" w:rsidRPr="00BB2536" w:rsidRDefault="00C223C3" w:rsidP="00372391">
      <w:pPr>
        <w:pStyle w:val="Akapitzlist"/>
        <w:numPr>
          <w:ilvl w:val="0"/>
          <w:numId w:val="33"/>
        </w:numPr>
        <w:rPr>
          <w:rFonts w:asciiTheme="minorHAnsi" w:hAnsiTheme="minorHAnsi"/>
          <w:b/>
          <w:sz w:val="24"/>
          <w:szCs w:val="24"/>
        </w:rPr>
      </w:pPr>
      <w:r>
        <w:rPr>
          <w:rFonts w:asciiTheme="minorHAnsi" w:hAnsiTheme="minorHAnsi"/>
          <w:b/>
          <w:sz w:val="24"/>
        </w:rPr>
        <w:t>Załącznik 3a: Wykaz planowanych operacji o strategicznym znaczeniu wraz z harmonogramem</w:t>
      </w:r>
    </w:p>
    <w:p w14:paraId="28FFE6B5" w14:textId="77777777" w:rsidR="00535911" w:rsidRPr="00680741" w:rsidRDefault="00535911" w:rsidP="008727F2">
      <w:pPr>
        <w:ind w:hanging="1418"/>
        <w:rPr>
          <w:rFonts w:asciiTheme="minorHAnsi" w:hAnsiTheme="minorHAnsi"/>
          <w:b/>
          <w:sz w:val="24"/>
          <w:szCs w:val="24"/>
        </w:rPr>
      </w:pPr>
    </w:p>
    <w:p w14:paraId="7C4284AB" w14:textId="77777777" w:rsidR="00C223C3" w:rsidRDefault="00C223C3">
      <w:pPr>
        <w:spacing w:before="0" w:line="240" w:lineRule="auto"/>
        <w:ind w:left="0" w:right="0"/>
        <w:jc w:val="left"/>
        <w:rPr>
          <w:rFonts w:asciiTheme="minorHAnsi" w:hAnsiTheme="minorHAnsi"/>
          <w:b/>
          <w:sz w:val="24"/>
          <w:szCs w:val="24"/>
        </w:rPr>
      </w:pPr>
      <w:r>
        <w:br w:type="page"/>
      </w:r>
    </w:p>
    <w:p w14:paraId="1EE888F0" w14:textId="77777777" w:rsidR="00C223C3" w:rsidRPr="00882A63" w:rsidRDefault="00C223C3" w:rsidP="00C223C3">
      <w:pPr>
        <w:spacing w:after="200"/>
        <w:ind w:hanging="1418"/>
        <w:rPr>
          <w:rFonts w:asciiTheme="minorHAnsi" w:hAnsiTheme="minorHAnsi"/>
          <w:b/>
          <w:sz w:val="24"/>
        </w:rPr>
      </w:pPr>
      <w:r>
        <w:rPr>
          <w:rFonts w:asciiTheme="minorHAnsi" w:hAnsiTheme="minorHAnsi"/>
          <w:b/>
          <w:sz w:val="24"/>
        </w:rPr>
        <w:lastRenderedPageBreak/>
        <w:t>Załącznik 2:</w:t>
      </w:r>
      <w:r>
        <w:rPr>
          <w:rFonts w:asciiTheme="minorHAnsi" w:hAnsiTheme="minorHAnsi"/>
          <w:b/>
          <w:sz w:val="24"/>
        </w:rPr>
        <w:tab/>
        <w:t>Wkład Unii w oparciu o koszty jednostkowe, kwoty ryczałtowe i stawki stałe</w:t>
      </w:r>
      <w:r w:rsidRPr="00882A63">
        <w:rPr>
          <w:rFonts w:asciiTheme="minorHAnsi" w:hAnsiTheme="minorHAnsi"/>
          <w:b/>
          <w:sz w:val="24"/>
          <w:vertAlign w:val="superscript"/>
        </w:rPr>
        <w:footnoteReference w:id="17"/>
      </w:r>
    </w:p>
    <w:p w14:paraId="59DA198E" w14:textId="77777777" w:rsidR="00C223C3" w:rsidRPr="00882A63" w:rsidRDefault="00C223C3" w:rsidP="00882A63">
      <w:pPr>
        <w:spacing w:after="200"/>
        <w:ind w:hanging="1418"/>
        <w:jc w:val="center"/>
        <w:rPr>
          <w:rFonts w:asciiTheme="minorHAnsi" w:hAnsiTheme="minorHAnsi"/>
          <w:b/>
        </w:rPr>
      </w:pPr>
      <w:r>
        <w:rPr>
          <w:rFonts w:asciiTheme="minorHAnsi" w:hAnsiTheme="minorHAnsi"/>
          <w:b/>
        </w:rPr>
        <w:t>Wzór na potrzeby przesyłania danych do rozpatrzenia przez Komisję</w:t>
      </w:r>
    </w:p>
    <w:p w14:paraId="1F134989" w14:textId="77777777" w:rsidR="00C223C3" w:rsidRPr="00882A63" w:rsidRDefault="00C223C3" w:rsidP="00882A63">
      <w:pPr>
        <w:spacing w:after="200"/>
        <w:ind w:hanging="1418"/>
        <w:jc w:val="center"/>
        <w:rPr>
          <w:rFonts w:asciiTheme="minorHAnsi" w:hAnsiTheme="minorHAnsi"/>
          <w:b/>
        </w:rPr>
      </w:pPr>
      <w:r>
        <w:rPr>
          <w:rFonts w:asciiTheme="minorHAnsi" w:hAnsiTheme="minorHAnsi"/>
          <w:b/>
        </w:rPr>
        <w:t>(art. 88 rozporządzenia w sprawie wspólnych przepisów)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C223C3" w:rsidRPr="00A557D8" w14:paraId="34ED576F" w14:textId="77777777" w:rsidTr="00816A75">
        <w:tc>
          <w:tcPr>
            <w:tcW w:w="4644" w:type="dxa"/>
            <w:shd w:val="clear" w:color="auto" w:fill="auto"/>
          </w:tcPr>
          <w:p w14:paraId="41F8C44B" w14:textId="77777777" w:rsidR="00C223C3" w:rsidRPr="00882A63" w:rsidRDefault="00C223C3" w:rsidP="00882A63">
            <w:pPr>
              <w:spacing w:after="200"/>
              <w:ind w:left="0"/>
              <w:rPr>
                <w:rFonts w:asciiTheme="minorHAnsi" w:hAnsiTheme="minorHAnsi"/>
                <w:noProof/>
                <w:szCs w:val="24"/>
              </w:rPr>
            </w:pPr>
            <w:r>
              <w:rPr>
                <w:rFonts w:asciiTheme="minorHAnsi" w:hAnsiTheme="minorHAnsi"/>
              </w:rPr>
              <w:t>Data złożenia wniosku</w:t>
            </w:r>
          </w:p>
        </w:tc>
        <w:tc>
          <w:tcPr>
            <w:tcW w:w="4644" w:type="dxa"/>
            <w:shd w:val="clear" w:color="auto" w:fill="auto"/>
          </w:tcPr>
          <w:p w14:paraId="7F8F3B92" w14:textId="77777777" w:rsidR="00C223C3" w:rsidRPr="00882A63" w:rsidRDefault="00C223C3" w:rsidP="00816A75">
            <w:pPr>
              <w:spacing w:after="200"/>
              <w:rPr>
                <w:rFonts w:asciiTheme="minorHAnsi" w:hAnsiTheme="minorHAnsi"/>
                <w:noProof/>
                <w:szCs w:val="24"/>
                <w:lang w:val="en-GB"/>
              </w:rPr>
            </w:pPr>
          </w:p>
        </w:tc>
      </w:tr>
      <w:tr w:rsidR="00C223C3" w:rsidRPr="00882A63" w14:paraId="7B7EBA2A" w14:textId="77777777" w:rsidTr="00816A75">
        <w:tc>
          <w:tcPr>
            <w:tcW w:w="4644" w:type="dxa"/>
            <w:shd w:val="clear" w:color="auto" w:fill="auto"/>
          </w:tcPr>
          <w:p w14:paraId="10401FDC" w14:textId="77777777" w:rsidR="00C223C3" w:rsidRPr="00882A63" w:rsidRDefault="00C223C3" w:rsidP="00882A63">
            <w:pPr>
              <w:spacing w:after="200"/>
              <w:ind w:left="0"/>
              <w:rPr>
                <w:rFonts w:asciiTheme="minorHAnsi" w:hAnsiTheme="minorHAnsi"/>
                <w:noProof/>
                <w:szCs w:val="24"/>
              </w:rPr>
            </w:pPr>
            <w:r>
              <w:rPr>
                <w:rFonts w:asciiTheme="minorHAnsi" w:hAnsiTheme="minorHAnsi"/>
              </w:rPr>
              <w:t xml:space="preserve">Obecna wersja </w:t>
            </w:r>
          </w:p>
        </w:tc>
        <w:tc>
          <w:tcPr>
            <w:tcW w:w="4644" w:type="dxa"/>
            <w:shd w:val="clear" w:color="auto" w:fill="auto"/>
          </w:tcPr>
          <w:p w14:paraId="0712E8EF" w14:textId="77777777" w:rsidR="00C223C3" w:rsidRPr="00882A63" w:rsidRDefault="00C223C3" w:rsidP="00816A75">
            <w:pPr>
              <w:spacing w:after="200"/>
              <w:rPr>
                <w:rFonts w:asciiTheme="minorHAnsi" w:hAnsiTheme="minorHAnsi"/>
                <w:noProof/>
                <w:szCs w:val="24"/>
                <w:lang w:val="en-GB"/>
              </w:rPr>
            </w:pPr>
          </w:p>
        </w:tc>
      </w:tr>
    </w:tbl>
    <w:p w14:paraId="47B8D6F1" w14:textId="77777777" w:rsidR="00C223C3" w:rsidRPr="00F50542" w:rsidRDefault="00C223C3" w:rsidP="00C223C3">
      <w:pPr>
        <w:spacing w:after="200"/>
        <w:rPr>
          <w:noProof/>
          <w:szCs w:val="24"/>
          <w:lang w:val="en-GB"/>
        </w:rPr>
      </w:pPr>
    </w:p>
    <w:p w14:paraId="191AB4CB" w14:textId="77777777" w:rsidR="00C223C3" w:rsidRPr="00F50542" w:rsidRDefault="00C223C3" w:rsidP="00C223C3">
      <w:pPr>
        <w:spacing w:after="200"/>
        <w:rPr>
          <w:rFonts w:asciiTheme="minorHAnsi" w:hAnsiTheme="minorHAnsi"/>
          <w:noProof/>
          <w:lang w:val="en-GB"/>
        </w:rPr>
        <w:sectPr w:rsidR="00C223C3" w:rsidRPr="00F50542">
          <w:headerReference w:type="even" r:id="rId37"/>
          <w:headerReference w:type="default" r:id="rId38"/>
          <w:footerReference w:type="even" r:id="rId39"/>
          <w:headerReference w:type="first" r:id="rId40"/>
          <w:pgSz w:w="11906" w:h="16838" w:code="9"/>
          <w:pgMar w:top="567" w:right="1134" w:bottom="567" w:left="1134" w:header="709" w:footer="709" w:gutter="0"/>
          <w:cols w:space="708"/>
          <w:titlePg/>
          <w:docGrid w:linePitch="360"/>
        </w:sectPr>
      </w:pPr>
    </w:p>
    <w:p w14:paraId="30969009" w14:textId="77777777" w:rsidR="00C223C3" w:rsidRPr="00C2573A" w:rsidRDefault="00C223C3" w:rsidP="00C2573A">
      <w:pPr>
        <w:spacing w:after="240"/>
        <w:ind w:left="0"/>
        <w:rPr>
          <w:rFonts w:asciiTheme="minorHAnsi" w:hAnsiTheme="minorHAnsi"/>
          <w:b/>
          <w:color w:val="000000"/>
          <w:sz w:val="14"/>
          <w:szCs w:val="16"/>
        </w:rPr>
      </w:pPr>
      <w:r>
        <w:rPr>
          <w:rFonts w:asciiTheme="minorHAnsi" w:hAnsiTheme="minorHAnsi"/>
          <w:b/>
          <w:sz w:val="22"/>
          <w:u w:val="single"/>
        </w:rPr>
        <w:lastRenderedPageBreak/>
        <w:t>A. Podsumowanie głównych elementów</w:t>
      </w:r>
      <w:r>
        <w:rPr>
          <w:rFonts w:asciiTheme="minorHAnsi" w:hAnsiTheme="minorHAnsi"/>
          <w:b/>
          <w:color w:val="000000"/>
          <w:sz w:val="14"/>
        </w:rPr>
        <w:t xml:space="preserve"> </w:t>
      </w:r>
    </w:p>
    <w:tbl>
      <w:tblPr>
        <w:tblW w:w="45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954"/>
        <w:gridCol w:w="1586"/>
        <w:gridCol w:w="951"/>
        <w:gridCol w:w="1647"/>
        <w:gridCol w:w="951"/>
        <w:gridCol w:w="1701"/>
        <w:gridCol w:w="1934"/>
        <w:gridCol w:w="1446"/>
        <w:gridCol w:w="2003"/>
      </w:tblGrid>
      <w:tr w:rsidR="00C223C3" w:rsidRPr="00A557D8" w14:paraId="788AD4CD" w14:textId="77777777" w:rsidTr="00816A75">
        <w:tc>
          <w:tcPr>
            <w:tcW w:w="416" w:type="pct"/>
          </w:tcPr>
          <w:p w14:paraId="1B207D44" w14:textId="77777777" w:rsidR="00C223C3" w:rsidRPr="00882A63" w:rsidRDefault="00C223C3" w:rsidP="00882A63">
            <w:pP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Priorytet </w:t>
            </w:r>
          </w:p>
        </w:tc>
        <w:tc>
          <w:tcPr>
            <w:tcW w:w="332" w:type="pct"/>
          </w:tcPr>
          <w:p w14:paraId="487264EE" w14:textId="77777777" w:rsidR="00C223C3" w:rsidRPr="00882A63" w:rsidRDefault="00C223C3" w:rsidP="00882A63">
            <w:pPr>
              <w:spacing w:after="120" w:line="240" w:lineRule="auto"/>
              <w:ind w:left="0" w:right="0"/>
              <w:rPr>
                <w:rFonts w:asciiTheme="minorHAnsi" w:hAnsiTheme="minorHAnsi"/>
                <w:b/>
                <w:color w:val="000000"/>
                <w:sz w:val="16"/>
                <w:szCs w:val="16"/>
              </w:rPr>
            </w:pPr>
            <w:r>
              <w:rPr>
                <w:rFonts w:asciiTheme="minorHAnsi" w:hAnsiTheme="minorHAnsi"/>
                <w:b/>
                <w:color w:val="000000"/>
                <w:sz w:val="16"/>
              </w:rPr>
              <w:t>Fundusz</w:t>
            </w:r>
          </w:p>
        </w:tc>
        <w:tc>
          <w:tcPr>
            <w:tcW w:w="552" w:type="pct"/>
          </w:tcPr>
          <w:p w14:paraId="6796E662" w14:textId="77777777" w:rsidR="00C223C3" w:rsidRPr="00882A63" w:rsidRDefault="00C223C3" w:rsidP="00882A63">
            <w:pPr>
              <w:spacing w:after="120" w:line="240" w:lineRule="auto"/>
              <w:ind w:left="0" w:right="0"/>
              <w:rPr>
                <w:rFonts w:asciiTheme="minorHAnsi" w:hAnsiTheme="minorHAnsi"/>
                <w:b/>
                <w:color w:val="000000"/>
                <w:sz w:val="16"/>
                <w:szCs w:val="16"/>
              </w:rPr>
            </w:pPr>
            <w:r>
              <w:rPr>
                <w:rFonts w:asciiTheme="minorHAnsi" w:hAnsiTheme="minorHAnsi"/>
                <w:b/>
                <w:color w:val="000000"/>
                <w:sz w:val="16"/>
              </w:rPr>
              <w:t>Szacunkowy udział całkowitego przydziału finansowego w ramach priorytetu, do którego będzie stosowana SCO, w % (szacunek)</w:t>
            </w:r>
          </w:p>
        </w:tc>
        <w:tc>
          <w:tcPr>
            <w:tcW w:w="904" w:type="pct"/>
            <w:gridSpan w:val="2"/>
            <w:shd w:val="clear" w:color="auto" w:fill="auto"/>
          </w:tcPr>
          <w:p w14:paraId="23113B55" w14:textId="77777777" w:rsidR="00C223C3" w:rsidRPr="00882A63" w:rsidRDefault="00C223C3" w:rsidP="00882A63">
            <w:pPr>
              <w:spacing w:after="120" w:line="240" w:lineRule="auto"/>
              <w:ind w:left="0" w:right="0"/>
              <w:rPr>
                <w:rFonts w:asciiTheme="minorHAnsi" w:hAnsiTheme="minorHAnsi"/>
                <w:b/>
                <w:color w:val="000000"/>
                <w:sz w:val="16"/>
                <w:szCs w:val="16"/>
              </w:rPr>
            </w:pPr>
            <w:r>
              <w:rPr>
                <w:rFonts w:asciiTheme="minorHAnsi" w:hAnsiTheme="minorHAnsi"/>
                <w:b/>
                <w:color w:val="000000"/>
                <w:sz w:val="16"/>
              </w:rPr>
              <w:t>Rodzaj(e) operacji</w:t>
            </w:r>
          </w:p>
        </w:tc>
        <w:tc>
          <w:tcPr>
            <w:tcW w:w="923" w:type="pct"/>
            <w:gridSpan w:val="2"/>
            <w:shd w:val="clear" w:color="auto" w:fill="auto"/>
          </w:tcPr>
          <w:p w14:paraId="671DFDC6" w14:textId="77777777" w:rsidR="00C223C3" w:rsidRPr="00882A63" w:rsidRDefault="00C223C3" w:rsidP="00882A63">
            <w:pPr>
              <w:spacing w:after="120" w:line="240" w:lineRule="auto"/>
              <w:ind w:left="0" w:right="0"/>
              <w:rPr>
                <w:rFonts w:asciiTheme="minorHAnsi" w:hAnsiTheme="minorHAnsi"/>
                <w:b/>
                <w:color w:val="000000"/>
                <w:sz w:val="16"/>
                <w:szCs w:val="16"/>
              </w:rPr>
            </w:pPr>
            <w:r>
              <w:rPr>
                <w:rFonts w:asciiTheme="minorHAnsi" w:hAnsiTheme="minorHAnsi"/>
                <w:b/>
                <w:color w:val="000000"/>
                <w:sz w:val="16"/>
              </w:rPr>
              <w:t>Odpowiednie nazwa(y) wskaźnika</w:t>
            </w:r>
          </w:p>
        </w:tc>
        <w:tc>
          <w:tcPr>
            <w:tcW w:w="673" w:type="pct"/>
            <w:shd w:val="clear" w:color="auto" w:fill="auto"/>
          </w:tcPr>
          <w:p w14:paraId="049D833A" w14:textId="77777777" w:rsidR="00C223C3" w:rsidRPr="00882A63" w:rsidRDefault="00C223C3" w:rsidP="00882A63">
            <w:pPr>
              <w:spacing w:after="120" w:line="240" w:lineRule="auto"/>
              <w:ind w:left="0" w:right="0"/>
              <w:rPr>
                <w:rFonts w:asciiTheme="minorHAnsi" w:hAnsiTheme="minorHAnsi"/>
                <w:b/>
                <w:color w:val="000000"/>
                <w:sz w:val="16"/>
                <w:szCs w:val="16"/>
              </w:rPr>
            </w:pPr>
            <w:r>
              <w:rPr>
                <w:rFonts w:asciiTheme="minorHAnsi" w:hAnsiTheme="minorHAnsi"/>
                <w:b/>
                <w:color w:val="000000"/>
                <w:sz w:val="16"/>
              </w:rPr>
              <w:t>Jednostka miary dla wskaźnika</w:t>
            </w:r>
          </w:p>
        </w:tc>
        <w:tc>
          <w:tcPr>
            <w:tcW w:w="503" w:type="pct"/>
          </w:tcPr>
          <w:p w14:paraId="29C009EF" w14:textId="77777777" w:rsidR="00C223C3" w:rsidRPr="00882A63" w:rsidRDefault="00C223C3" w:rsidP="00882A63">
            <w:pPr>
              <w:spacing w:after="120" w:line="240" w:lineRule="auto"/>
              <w:ind w:left="0" w:right="0"/>
              <w:rPr>
                <w:rFonts w:asciiTheme="minorHAnsi" w:hAnsiTheme="minorHAnsi"/>
                <w:b/>
                <w:color w:val="000000"/>
                <w:sz w:val="16"/>
                <w:szCs w:val="16"/>
              </w:rPr>
            </w:pPr>
            <w:r>
              <w:rPr>
                <w:rFonts w:asciiTheme="minorHAnsi" w:hAnsiTheme="minorHAnsi"/>
                <w:b/>
                <w:color w:val="000000"/>
                <w:sz w:val="16"/>
              </w:rPr>
              <w:t>Rodzaj SCO (standardowej skali kosztów jednostkowych, kwot ryczałtowych lub stawek stałych)</w:t>
            </w:r>
          </w:p>
        </w:tc>
        <w:tc>
          <w:tcPr>
            <w:tcW w:w="697" w:type="pct"/>
            <w:shd w:val="clear" w:color="auto" w:fill="auto"/>
          </w:tcPr>
          <w:p w14:paraId="4749E2B3" w14:textId="77777777" w:rsidR="00C223C3" w:rsidRPr="00882A63" w:rsidRDefault="00C223C3" w:rsidP="00882A63">
            <w:pPr>
              <w:spacing w:after="120" w:line="240" w:lineRule="auto"/>
              <w:ind w:left="0" w:right="0"/>
              <w:rPr>
                <w:rFonts w:asciiTheme="minorHAnsi" w:hAnsiTheme="minorHAnsi"/>
                <w:b/>
                <w:color w:val="000000"/>
                <w:sz w:val="16"/>
                <w:szCs w:val="16"/>
              </w:rPr>
            </w:pPr>
            <w:r>
              <w:rPr>
                <w:rFonts w:asciiTheme="minorHAnsi" w:hAnsiTheme="minorHAnsi"/>
                <w:b/>
                <w:color w:val="000000"/>
                <w:sz w:val="16"/>
              </w:rPr>
              <w:t>Odpowiednie standardowe skale kosztów jednostkowych, kwot ryczałtowych lub stawek stałych</w:t>
            </w:r>
          </w:p>
        </w:tc>
      </w:tr>
      <w:tr w:rsidR="00C223C3" w:rsidRPr="00F50542" w14:paraId="1B9419B0" w14:textId="77777777" w:rsidTr="00816A75">
        <w:tc>
          <w:tcPr>
            <w:tcW w:w="416" w:type="pct"/>
          </w:tcPr>
          <w:p w14:paraId="0112AC45" w14:textId="77777777" w:rsidR="00C223C3" w:rsidRPr="00680741" w:rsidRDefault="00C223C3" w:rsidP="00882A63">
            <w:pPr>
              <w:spacing w:after="120" w:line="240" w:lineRule="auto"/>
              <w:ind w:left="0" w:right="0"/>
              <w:rPr>
                <w:rFonts w:asciiTheme="minorHAnsi" w:hAnsiTheme="minorHAnsi"/>
                <w:b/>
                <w:color w:val="000000"/>
                <w:sz w:val="16"/>
                <w:szCs w:val="16"/>
              </w:rPr>
            </w:pPr>
          </w:p>
        </w:tc>
        <w:tc>
          <w:tcPr>
            <w:tcW w:w="332" w:type="pct"/>
          </w:tcPr>
          <w:p w14:paraId="446786D8" w14:textId="77777777" w:rsidR="00C223C3" w:rsidRPr="00680741" w:rsidRDefault="00C223C3" w:rsidP="00882A63">
            <w:pPr>
              <w:spacing w:after="120" w:line="240" w:lineRule="auto"/>
              <w:ind w:left="0" w:right="0"/>
              <w:rPr>
                <w:rFonts w:asciiTheme="minorHAnsi" w:hAnsiTheme="minorHAnsi"/>
                <w:b/>
                <w:color w:val="000000"/>
                <w:sz w:val="16"/>
                <w:szCs w:val="16"/>
              </w:rPr>
            </w:pPr>
          </w:p>
        </w:tc>
        <w:tc>
          <w:tcPr>
            <w:tcW w:w="552" w:type="pct"/>
          </w:tcPr>
          <w:p w14:paraId="52ACD3A7" w14:textId="77777777" w:rsidR="00C223C3" w:rsidRPr="00680741" w:rsidRDefault="00C223C3" w:rsidP="00882A63">
            <w:pPr>
              <w:spacing w:after="120" w:line="240" w:lineRule="auto"/>
              <w:ind w:left="0" w:right="0"/>
              <w:rPr>
                <w:rFonts w:asciiTheme="minorHAnsi" w:hAnsiTheme="minorHAnsi"/>
                <w:b/>
                <w:color w:val="000000"/>
                <w:sz w:val="16"/>
                <w:szCs w:val="16"/>
              </w:rPr>
            </w:pPr>
          </w:p>
        </w:tc>
        <w:tc>
          <w:tcPr>
            <w:tcW w:w="331" w:type="pct"/>
            <w:shd w:val="clear" w:color="auto" w:fill="auto"/>
          </w:tcPr>
          <w:p w14:paraId="4B408209" w14:textId="77777777" w:rsidR="00C223C3" w:rsidRPr="00882A63" w:rsidRDefault="00C223C3" w:rsidP="00882A63">
            <w:pPr>
              <w:spacing w:after="120" w:line="240" w:lineRule="auto"/>
              <w:ind w:left="0" w:right="0"/>
              <w:rPr>
                <w:rFonts w:asciiTheme="minorHAnsi" w:hAnsiTheme="minorHAnsi"/>
                <w:b/>
                <w:color w:val="000000"/>
                <w:sz w:val="16"/>
                <w:szCs w:val="16"/>
              </w:rPr>
            </w:pPr>
            <w:r>
              <w:rPr>
                <w:rFonts w:asciiTheme="minorHAnsi" w:hAnsiTheme="minorHAnsi"/>
                <w:b/>
                <w:color w:val="000000"/>
                <w:sz w:val="16"/>
              </w:rPr>
              <w:t>Kod</w:t>
            </w:r>
          </w:p>
        </w:tc>
        <w:tc>
          <w:tcPr>
            <w:tcW w:w="573" w:type="pct"/>
          </w:tcPr>
          <w:p w14:paraId="04C98158" w14:textId="77777777" w:rsidR="00C223C3" w:rsidRPr="00882A63" w:rsidRDefault="00C223C3" w:rsidP="00882A63">
            <w:pPr>
              <w:spacing w:after="120" w:line="240" w:lineRule="auto"/>
              <w:ind w:left="0" w:right="0"/>
              <w:rPr>
                <w:rFonts w:asciiTheme="minorHAnsi" w:hAnsiTheme="minorHAnsi"/>
                <w:b/>
                <w:color w:val="000000"/>
                <w:sz w:val="16"/>
                <w:szCs w:val="16"/>
              </w:rPr>
            </w:pPr>
            <w:r>
              <w:rPr>
                <w:rFonts w:asciiTheme="minorHAnsi" w:hAnsiTheme="minorHAnsi"/>
                <w:b/>
                <w:color w:val="000000"/>
                <w:sz w:val="16"/>
              </w:rPr>
              <w:t>Opis</w:t>
            </w:r>
          </w:p>
        </w:tc>
        <w:tc>
          <w:tcPr>
            <w:tcW w:w="331" w:type="pct"/>
            <w:shd w:val="clear" w:color="auto" w:fill="auto"/>
          </w:tcPr>
          <w:p w14:paraId="4173B9ED" w14:textId="77777777" w:rsidR="00C223C3" w:rsidRPr="00882A63" w:rsidRDefault="00C223C3" w:rsidP="00882A63">
            <w:pP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Kod </w:t>
            </w:r>
          </w:p>
        </w:tc>
        <w:tc>
          <w:tcPr>
            <w:tcW w:w="592" w:type="pct"/>
          </w:tcPr>
          <w:p w14:paraId="0FB09257" w14:textId="77777777" w:rsidR="00C223C3" w:rsidRPr="00882A63" w:rsidRDefault="00C223C3" w:rsidP="00882A63">
            <w:pPr>
              <w:spacing w:after="120" w:line="240" w:lineRule="auto"/>
              <w:ind w:left="0" w:right="0"/>
              <w:rPr>
                <w:rFonts w:asciiTheme="minorHAnsi" w:hAnsiTheme="minorHAnsi"/>
                <w:b/>
                <w:color w:val="000000"/>
                <w:sz w:val="16"/>
                <w:szCs w:val="16"/>
              </w:rPr>
            </w:pPr>
            <w:r>
              <w:rPr>
                <w:rFonts w:asciiTheme="minorHAnsi" w:hAnsiTheme="minorHAnsi"/>
                <w:b/>
                <w:color w:val="000000"/>
                <w:sz w:val="16"/>
              </w:rPr>
              <w:t>Opis</w:t>
            </w:r>
          </w:p>
        </w:tc>
        <w:tc>
          <w:tcPr>
            <w:tcW w:w="673" w:type="pct"/>
            <w:shd w:val="clear" w:color="auto" w:fill="auto"/>
          </w:tcPr>
          <w:p w14:paraId="03EAD3E6"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503" w:type="pct"/>
          </w:tcPr>
          <w:p w14:paraId="62CFCC2F"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697" w:type="pct"/>
            <w:shd w:val="clear" w:color="auto" w:fill="auto"/>
          </w:tcPr>
          <w:p w14:paraId="58D918AA"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r>
      <w:tr w:rsidR="00C223C3" w:rsidRPr="00F50542" w14:paraId="711C031C" w14:textId="77777777" w:rsidTr="00816A75">
        <w:tc>
          <w:tcPr>
            <w:tcW w:w="416" w:type="pct"/>
          </w:tcPr>
          <w:p w14:paraId="1BAA25F1"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332" w:type="pct"/>
          </w:tcPr>
          <w:p w14:paraId="697E6072"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552" w:type="pct"/>
          </w:tcPr>
          <w:p w14:paraId="3046E3B6"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331" w:type="pct"/>
            <w:shd w:val="clear" w:color="auto" w:fill="auto"/>
          </w:tcPr>
          <w:p w14:paraId="2A9A7EFB"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573" w:type="pct"/>
          </w:tcPr>
          <w:p w14:paraId="04063010"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331" w:type="pct"/>
            <w:shd w:val="clear" w:color="auto" w:fill="auto"/>
          </w:tcPr>
          <w:p w14:paraId="7C6E9739"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592" w:type="pct"/>
          </w:tcPr>
          <w:p w14:paraId="39AC5580"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673" w:type="pct"/>
            <w:shd w:val="clear" w:color="auto" w:fill="auto"/>
          </w:tcPr>
          <w:p w14:paraId="2358E9A4"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503" w:type="pct"/>
          </w:tcPr>
          <w:p w14:paraId="2507FFC3"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697" w:type="pct"/>
            <w:shd w:val="clear" w:color="auto" w:fill="auto"/>
          </w:tcPr>
          <w:p w14:paraId="3EEBA4BF"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r>
      <w:tr w:rsidR="00C223C3" w:rsidRPr="00F50542" w14:paraId="26089561" w14:textId="77777777" w:rsidTr="00816A75">
        <w:tc>
          <w:tcPr>
            <w:tcW w:w="416" w:type="pct"/>
          </w:tcPr>
          <w:p w14:paraId="5AB02D33"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332" w:type="pct"/>
          </w:tcPr>
          <w:p w14:paraId="33C2EA40"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552" w:type="pct"/>
          </w:tcPr>
          <w:p w14:paraId="57A1623B"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331" w:type="pct"/>
            <w:shd w:val="clear" w:color="auto" w:fill="auto"/>
          </w:tcPr>
          <w:p w14:paraId="65424820"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573" w:type="pct"/>
          </w:tcPr>
          <w:p w14:paraId="3AD5D389"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331" w:type="pct"/>
            <w:shd w:val="clear" w:color="auto" w:fill="auto"/>
          </w:tcPr>
          <w:p w14:paraId="3820F56D"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592" w:type="pct"/>
          </w:tcPr>
          <w:p w14:paraId="63743B73"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673" w:type="pct"/>
            <w:shd w:val="clear" w:color="auto" w:fill="auto"/>
          </w:tcPr>
          <w:p w14:paraId="7D199758"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503" w:type="pct"/>
          </w:tcPr>
          <w:p w14:paraId="59D012BD"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c>
          <w:tcPr>
            <w:tcW w:w="697" w:type="pct"/>
            <w:shd w:val="clear" w:color="auto" w:fill="auto"/>
          </w:tcPr>
          <w:p w14:paraId="1E6BBB99" w14:textId="77777777" w:rsidR="00C223C3" w:rsidRPr="00882A63" w:rsidRDefault="00C223C3" w:rsidP="00882A63">
            <w:pPr>
              <w:spacing w:after="120" w:line="240" w:lineRule="auto"/>
              <w:ind w:left="0" w:right="0"/>
              <w:rPr>
                <w:rFonts w:asciiTheme="minorHAnsi" w:hAnsiTheme="minorHAnsi"/>
                <w:b/>
                <w:color w:val="000000"/>
                <w:sz w:val="16"/>
                <w:szCs w:val="16"/>
                <w:lang w:val="en-GB"/>
              </w:rPr>
            </w:pPr>
          </w:p>
        </w:tc>
      </w:tr>
    </w:tbl>
    <w:p w14:paraId="325777F1" w14:textId="77777777" w:rsidR="00C223C3" w:rsidRPr="00F50542" w:rsidRDefault="00C223C3" w:rsidP="00C223C3">
      <w:pPr>
        <w:spacing w:after="200"/>
        <w:jc w:val="center"/>
        <w:rPr>
          <w:noProof/>
          <w:sz w:val="22"/>
          <w:lang w:val="en-GB"/>
        </w:rPr>
        <w:sectPr w:rsidR="00C223C3" w:rsidRPr="00F50542">
          <w:headerReference w:type="even" r:id="rId41"/>
          <w:headerReference w:type="default" r:id="rId42"/>
          <w:footerReference w:type="even" r:id="rId43"/>
          <w:footerReference w:type="default" r:id="rId44"/>
          <w:headerReference w:type="first" r:id="rId45"/>
          <w:pgSz w:w="16838" w:h="11906" w:orient="landscape" w:code="9"/>
          <w:pgMar w:top="1134" w:right="567" w:bottom="1134" w:left="567" w:header="709" w:footer="709" w:gutter="0"/>
          <w:cols w:space="708"/>
          <w:titlePg/>
          <w:docGrid w:linePitch="360"/>
        </w:sectPr>
      </w:pPr>
    </w:p>
    <w:p w14:paraId="60A119E3" w14:textId="77777777" w:rsidR="00C223C3" w:rsidRPr="00882A63" w:rsidRDefault="00C223C3" w:rsidP="00882A63">
      <w:pPr>
        <w:spacing w:after="200"/>
        <w:ind w:hanging="1418"/>
        <w:rPr>
          <w:rFonts w:asciiTheme="minorHAnsi" w:hAnsiTheme="minorHAnsi"/>
          <w:b/>
          <w:sz w:val="24"/>
        </w:rPr>
      </w:pPr>
      <w:r>
        <w:rPr>
          <w:rFonts w:asciiTheme="minorHAnsi" w:hAnsiTheme="minorHAnsi"/>
          <w:b/>
          <w:sz w:val="24"/>
        </w:rPr>
        <w:lastRenderedPageBreak/>
        <w:t>B. Szczegółowe dane według rodzaju operacji (uzupełnić dla każdego rodzaju operacji)</w:t>
      </w:r>
    </w:p>
    <w:p w14:paraId="1F6B024B" w14:textId="77777777" w:rsidR="00C223C3" w:rsidRPr="00D80606" w:rsidRDefault="00C223C3" w:rsidP="00882A63">
      <w:pPr>
        <w:spacing w:after="200"/>
        <w:ind w:left="0"/>
        <w:rPr>
          <w:rFonts w:asciiTheme="minorHAnsi" w:hAnsiTheme="minorHAnsi"/>
          <w:noProof/>
          <w:sz w:val="24"/>
          <w:szCs w:val="24"/>
        </w:rPr>
      </w:pPr>
      <w:r w:rsidRPr="00D80606">
        <w:rPr>
          <w:rFonts w:asciiTheme="minorHAnsi" w:hAnsiTheme="minorHAnsi"/>
          <w:sz w:val="24"/>
          <w:szCs w:val="24"/>
        </w:rPr>
        <w:t xml:space="preserve">Czy instytucja zarządzająca otrzymała wsparcie ze strony zewnętrznego przedsiębiorstwa przy ustaleniu kosztów uproszczonych, o których mowa poniżej? </w:t>
      </w:r>
    </w:p>
    <w:p w14:paraId="6743AF24" w14:textId="77777777" w:rsidR="00C223C3" w:rsidRPr="00D80606" w:rsidRDefault="00C223C3" w:rsidP="00882A63">
      <w:pPr>
        <w:spacing w:after="200"/>
        <w:ind w:left="0"/>
        <w:rPr>
          <w:rFonts w:asciiTheme="minorHAnsi" w:hAnsiTheme="minorHAnsi"/>
          <w:noProof/>
          <w:sz w:val="24"/>
          <w:szCs w:val="24"/>
        </w:rPr>
      </w:pPr>
      <w:r w:rsidRPr="00D80606">
        <w:rPr>
          <w:rFonts w:asciiTheme="minorHAnsi" w:hAnsiTheme="minorHAnsi"/>
          <w:sz w:val="24"/>
          <w:szCs w:val="24"/>
        </w:rPr>
        <w:t xml:space="preserve">Jeśli tak, proszę określić zewnętrzne przedsiębiorstwo: </w:t>
      </w:r>
      <w:r w:rsidRPr="00D80606">
        <w:rPr>
          <w:rFonts w:asciiTheme="minorHAnsi" w:hAnsiTheme="minorHAnsi"/>
          <w:sz w:val="24"/>
          <w:szCs w:val="24"/>
        </w:rPr>
        <w:tab/>
      </w:r>
      <w:r w:rsidRPr="00D80606">
        <w:rPr>
          <w:rFonts w:asciiTheme="minorHAnsi" w:hAnsiTheme="minorHAnsi"/>
          <w:sz w:val="24"/>
          <w:szCs w:val="24"/>
          <w:bdr w:val="single" w:sz="4" w:space="0" w:color="auto"/>
        </w:rPr>
        <w:t>Tak/Nie – Nazwa zewnętrznego przedsiębiorstwa</w:t>
      </w:r>
    </w:p>
    <w:p w14:paraId="2AA2E540" w14:textId="77777777" w:rsidR="00C223C3" w:rsidRPr="00D80606" w:rsidRDefault="00C223C3" w:rsidP="00882A63">
      <w:pPr>
        <w:spacing w:after="200"/>
        <w:ind w:left="0"/>
        <w:rPr>
          <w:rFonts w:asciiTheme="minorHAnsi" w:hAnsiTheme="minorHAnsi"/>
          <w:noProof/>
          <w:sz w:val="24"/>
          <w:szCs w:val="24"/>
        </w:rPr>
      </w:pPr>
      <w:r w:rsidRPr="00D80606">
        <w:rPr>
          <w:rFonts w:asciiTheme="minorHAnsi" w:hAnsiTheme="minorHAnsi"/>
          <w:sz w:val="24"/>
          <w:szCs w:val="24"/>
        </w:rPr>
        <w:t>Rodzaje operacji:</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7"/>
        <w:gridCol w:w="6379"/>
      </w:tblGrid>
      <w:tr w:rsidR="00C223C3" w:rsidRPr="00A557D8" w14:paraId="3AF4C181" w14:textId="77777777" w:rsidTr="00816A75">
        <w:trPr>
          <w:trHeight w:val="300"/>
        </w:trPr>
        <w:tc>
          <w:tcPr>
            <w:tcW w:w="3417" w:type="dxa"/>
            <w:shd w:val="clear" w:color="auto" w:fill="auto"/>
            <w:noWrap/>
            <w:vAlign w:val="center"/>
          </w:tcPr>
          <w:p w14:paraId="464194AD" w14:textId="77777777" w:rsidR="00C223C3" w:rsidRPr="00882A63" w:rsidRDefault="00C223C3" w:rsidP="00882A63">
            <w:pPr>
              <w:spacing w:after="120" w:line="240" w:lineRule="auto"/>
              <w:ind w:left="0" w:right="0"/>
              <w:rPr>
                <w:rFonts w:asciiTheme="minorHAnsi" w:hAnsiTheme="minorHAnsi"/>
                <w:b/>
                <w:color w:val="000000"/>
                <w:sz w:val="18"/>
                <w:szCs w:val="16"/>
              </w:rPr>
            </w:pPr>
            <w:r>
              <w:rPr>
                <w:rFonts w:asciiTheme="minorHAnsi" w:hAnsiTheme="minorHAnsi"/>
                <w:b/>
                <w:color w:val="000000"/>
                <w:sz w:val="18"/>
              </w:rPr>
              <w:t xml:space="preserve">1.1. Opis rodzaju operacji </w:t>
            </w:r>
          </w:p>
        </w:tc>
        <w:tc>
          <w:tcPr>
            <w:tcW w:w="6379" w:type="dxa"/>
            <w:vAlign w:val="center"/>
          </w:tcPr>
          <w:p w14:paraId="5CF1952D" w14:textId="77777777" w:rsidR="00C223C3" w:rsidRPr="00882A63" w:rsidRDefault="00C223C3" w:rsidP="00882A63">
            <w:pPr>
              <w:spacing w:after="120" w:line="240" w:lineRule="auto"/>
              <w:ind w:left="0" w:right="0"/>
              <w:jc w:val="center"/>
              <w:rPr>
                <w:rFonts w:asciiTheme="minorHAnsi" w:hAnsiTheme="minorHAnsi"/>
                <w:color w:val="000000"/>
                <w:sz w:val="18"/>
                <w:szCs w:val="16"/>
                <w:lang w:val="en-GB"/>
              </w:rPr>
            </w:pPr>
          </w:p>
        </w:tc>
      </w:tr>
      <w:tr w:rsidR="00C223C3" w:rsidRPr="00882A63" w14:paraId="1CE1A936" w14:textId="77777777" w:rsidTr="00816A75">
        <w:trPr>
          <w:trHeight w:val="300"/>
        </w:trPr>
        <w:tc>
          <w:tcPr>
            <w:tcW w:w="3417" w:type="dxa"/>
            <w:shd w:val="clear" w:color="auto" w:fill="auto"/>
            <w:noWrap/>
            <w:vAlign w:val="center"/>
          </w:tcPr>
          <w:p w14:paraId="5AB049C1" w14:textId="77777777" w:rsidR="00C223C3" w:rsidRPr="00882A63" w:rsidRDefault="00C223C3" w:rsidP="00882A63">
            <w:pPr>
              <w:spacing w:after="120" w:line="240" w:lineRule="auto"/>
              <w:ind w:left="0" w:right="0"/>
              <w:rPr>
                <w:rFonts w:asciiTheme="minorHAnsi" w:hAnsiTheme="minorHAnsi"/>
                <w:b/>
                <w:color w:val="000000"/>
                <w:sz w:val="18"/>
                <w:szCs w:val="16"/>
              </w:rPr>
            </w:pPr>
            <w:r>
              <w:rPr>
                <w:rFonts w:asciiTheme="minorHAnsi" w:hAnsiTheme="minorHAnsi"/>
                <w:b/>
                <w:color w:val="000000"/>
                <w:sz w:val="18"/>
              </w:rPr>
              <w:t>1.2 Odpowiedni(e) cel(e) szczegółowy(e)</w:t>
            </w:r>
          </w:p>
        </w:tc>
        <w:tc>
          <w:tcPr>
            <w:tcW w:w="6379" w:type="dxa"/>
            <w:vAlign w:val="center"/>
          </w:tcPr>
          <w:p w14:paraId="380A4D6D" w14:textId="77777777" w:rsidR="00C223C3" w:rsidRPr="00680741" w:rsidRDefault="00C223C3" w:rsidP="00882A63">
            <w:pPr>
              <w:spacing w:after="120" w:line="240" w:lineRule="auto"/>
              <w:ind w:left="0" w:right="0"/>
              <w:jc w:val="center"/>
              <w:rPr>
                <w:rFonts w:asciiTheme="minorHAnsi" w:hAnsiTheme="minorHAnsi"/>
                <w:color w:val="000000"/>
                <w:sz w:val="18"/>
                <w:szCs w:val="16"/>
              </w:rPr>
            </w:pPr>
          </w:p>
          <w:p w14:paraId="7E49200B" w14:textId="77777777" w:rsidR="00C223C3" w:rsidRPr="00680741" w:rsidRDefault="00C223C3" w:rsidP="00882A63">
            <w:pPr>
              <w:spacing w:after="120" w:line="240" w:lineRule="auto"/>
              <w:ind w:left="0" w:right="0"/>
              <w:jc w:val="center"/>
              <w:rPr>
                <w:rFonts w:asciiTheme="minorHAnsi" w:hAnsiTheme="minorHAnsi"/>
                <w:color w:val="000000"/>
                <w:sz w:val="18"/>
                <w:szCs w:val="16"/>
              </w:rPr>
            </w:pPr>
          </w:p>
          <w:p w14:paraId="565F30D8" w14:textId="77777777" w:rsidR="00C223C3" w:rsidRPr="00680741" w:rsidRDefault="00C223C3" w:rsidP="00882A63">
            <w:pPr>
              <w:spacing w:after="120" w:line="240" w:lineRule="auto"/>
              <w:ind w:left="0" w:right="0"/>
              <w:jc w:val="center"/>
              <w:rPr>
                <w:rFonts w:asciiTheme="minorHAnsi" w:hAnsiTheme="minorHAnsi"/>
                <w:color w:val="000000"/>
                <w:sz w:val="18"/>
                <w:szCs w:val="16"/>
              </w:rPr>
            </w:pPr>
          </w:p>
        </w:tc>
      </w:tr>
      <w:tr w:rsidR="00C223C3" w:rsidRPr="00F50542" w14:paraId="46C3FF94" w14:textId="77777777" w:rsidTr="00816A75">
        <w:trPr>
          <w:trHeight w:val="300"/>
        </w:trPr>
        <w:tc>
          <w:tcPr>
            <w:tcW w:w="3417" w:type="dxa"/>
            <w:shd w:val="clear" w:color="auto" w:fill="auto"/>
            <w:noWrap/>
            <w:vAlign w:val="center"/>
          </w:tcPr>
          <w:p w14:paraId="18252ED2" w14:textId="77777777" w:rsidR="00C223C3" w:rsidRPr="00882A63" w:rsidRDefault="00C223C3" w:rsidP="00882A63">
            <w:pPr>
              <w:spacing w:after="120" w:line="240" w:lineRule="auto"/>
              <w:ind w:left="0" w:right="0"/>
              <w:rPr>
                <w:rFonts w:asciiTheme="minorHAnsi" w:hAnsiTheme="minorHAnsi"/>
                <w:b/>
                <w:color w:val="000000"/>
                <w:sz w:val="18"/>
                <w:szCs w:val="16"/>
              </w:rPr>
            </w:pPr>
            <w:r>
              <w:rPr>
                <w:rFonts w:asciiTheme="minorHAnsi" w:hAnsiTheme="minorHAnsi"/>
                <w:b/>
                <w:color w:val="000000"/>
                <w:sz w:val="18"/>
              </w:rPr>
              <w:t>1.3 Nazwa wskaźnika</w:t>
            </w:r>
            <w:r w:rsidRPr="00882A63">
              <w:rPr>
                <w:rFonts w:asciiTheme="minorHAnsi" w:hAnsiTheme="minorHAnsi"/>
                <w:b/>
                <w:color w:val="000000"/>
                <w:sz w:val="18"/>
                <w:szCs w:val="16"/>
                <w:vertAlign w:val="superscript"/>
                <w:lang w:val="en-GB"/>
              </w:rPr>
              <w:footnoteReference w:id="18"/>
            </w:r>
          </w:p>
        </w:tc>
        <w:tc>
          <w:tcPr>
            <w:tcW w:w="6379" w:type="dxa"/>
            <w:vAlign w:val="center"/>
          </w:tcPr>
          <w:p w14:paraId="6581FC96" w14:textId="77777777" w:rsidR="00C223C3" w:rsidRPr="00882A63" w:rsidRDefault="00C223C3" w:rsidP="00882A63">
            <w:pPr>
              <w:spacing w:after="120" w:line="240" w:lineRule="auto"/>
              <w:ind w:left="0" w:right="0"/>
              <w:jc w:val="center"/>
              <w:rPr>
                <w:rFonts w:asciiTheme="minorHAnsi" w:hAnsiTheme="minorHAnsi"/>
                <w:color w:val="000000"/>
                <w:sz w:val="18"/>
                <w:szCs w:val="16"/>
                <w:lang w:val="en-GB"/>
              </w:rPr>
            </w:pPr>
          </w:p>
        </w:tc>
      </w:tr>
      <w:tr w:rsidR="00C223C3" w:rsidRPr="00A557D8" w14:paraId="00A0A9D1" w14:textId="77777777" w:rsidTr="00816A75">
        <w:trPr>
          <w:trHeight w:val="300"/>
        </w:trPr>
        <w:tc>
          <w:tcPr>
            <w:tcW w:w="3417" w:type="dxa"/>
            <w:shd w:val="clear" w:color="auto" w:fill="auto"/>
            <w:noWrap/>
            <w:vAlign w:val="center"/>
          </w:tcPr>
          <w:p w14:paraId="6830989F" w14:textId="77777777" w:rsidR="00C223C3" w:rsidRPr="00882A63" w:rsidRDefault="00C223C3" w:rsidP="00882A63">
            <w:pPr>
              <w:spacing w:after="120" w:line="240" w:lineRule="auto"/>
              <w:ind w:left="0" w:right="0"/>
              <w:rPr>
                <w:rFonts w:asciiTheme="minorHAnsi" w:hAnsiTheme="minorHAnsi"/>
                <w:b/>
                <w:color w:val="000000"/>
                <w:sz w:val="18"/>
                <w:szCs w:val="16"/>
              </w:rPr>
            </w:pPr>
            <w:r>
              <w:rPr>
                <w:rFonts w:asciiTheme="minorHAnsi" w:hAnsiTheme="minorHAnsi"/>
                <w:b/>
                <w:color w:val="000000"/>
                <w:sz w:val="18"/>
              </w:rPr>
              <w:t>1.4 Jednostka miary dla wskaźnika</w:t>
            </w:r>
          </w:p>
        </w:tc>
        <w:tc>
          <w:tcPr>
            <w:tcW w:w="6379" w:type="dxa"/>
            <w:vAlign w:val="center"/>
          </w:tcPr>
          <w:p w14:paraId="2B5BED05" w14:textId="77777777" w:rsidR="00C223C3" w:rsidRPr="00882A63" w:rsidRDefault="00C223C3" w:rsidP="00882A63">
            <w:pPr>
              <w:spacing w:after="120" w:line="240" w:lineRule="auto"/>
              <w:ind w:left="0" w:right="0"/>
              <w:jc w:val="center"/>
              <w:rPr>
                <w:rFonts w:asciiTheme="minorHAnsi" w:hAnsiTheme="minorHAnsi"/>
                <w:color w:val="000000"/>
                <w:sz w:val="18"/>
                <w:szCs w:val="16"/>
                <w:lang w:val="en-GB"/>
              </w:rPr>
            </w:pPr>
          </w:p>
        </w:tc>
      </w:tr>
      <w:tr w:rsidR="00C223C3" w:rsidRPr="00A557D8" w14:paraId="002F0C76" w14:textId="77777777" w:rsidTr="00816A75">
        <w:trPr>
          <w:trHeight w:val="300"/>
        </w:trPr>
        <w:tc>
          <w:tcPr>
            <w:tcW w:w="3417" w:type="dxa"/>
            <w:shd w:val="clear" w:color="auto" w:fill="auto"/>
            <w:noWrap/>
            <w:vAlign w:val="center"/>
          </w:tcPr>
          <w:p w14:paraId="2E9F77F7" w14:textId="77777777" w:rsidR="00C223C3" w:rsidRPr="00882A63" w:rsidRDefault="00C223C3" w:rsidP="00882A63">
            <w:pPr>
              <w:spacing w:after="120" w:line="240" w:lineRule="auto"/>
              <w:ind w:left="0" w:right="0"/>
              <w:rPr>
                <w:rFonts w:asciiTheme="minorHAnsi" w:hAnsiTheme="minorHAnsi"/>
                <w:b/>
                <w:color w:val="000000"/>
                <w:sz w:val="18"/>
                <w:szCs w:val="16"/>
              </w:rPr>
            </w:pPr>
            <w:r>
              <w:rPr>
                <w:rFonts w:asciiTheme="minorHAnsi" w:hAnsiTheme="minorHAnsi"/>
                <w:b/>
                <w:color w:val="000000"/>
                <w:sz w:val="18"/>
              </w:rPr>
              <w:t>1.5. Standardowa skala kosztów jednostkowych, kwot ryczałtowych lub stawek stałych</w:t>
            </w:r>
          </w:p>
        </w:tc>
        <w:tc>
          <w:tcPr>
            <w:tcW w:w="6379" w:type="dxa"/>
            <w:vAlign w:val="center"/>
          </w:tcPr>
          <w:p w14:paraId="36CA0BAF" w14:textId="77777777" w:rsidR="00C223C3" w:rsidRPr="00680741" w:rsidRDefault="00C223C3" w:rsidP="00882A63">
            <w:pPr>
              <w:spacing w:after="120" w:line="240" w:lineRule="auto"/>
              <w:ind w:left="0" w:right="0"/>
              <w:rPr>
                <w:rFonts w:asciiTheme="minorHAnsi" w:hAnsiTheme="minorHAnsi"/>
                <w:color w:val="000000"/>
                <w:sz w:val="18"/>
                <w:szCs w:val="16"/>
              </w:rPr>
            </w:pPr>
          </w:p>
        </w:tc>
      </w:tr>
      <w:tr w:rsidR="00C223C3" w:rsidRPr="00F50542" w14:paraId="458358FE" w14:textId="77777777" w:rsidTr="00816A75">
        <w:trPr>
          <w:trHeight w:val="300"/>
        </w:trPr>
        <w:tc>
          <w:tcPr>
            <w:tcW w:w="3417" w:type="dxa"/>
            <w:shd w:val="clear" w:color="auto" w:fill="auto"/>
            <w:noWrap/>
            <w:vAlign w:val="center"/>
          </w:tcPr>
          <w:p w14:paraId="27FDB86D" w14:textId="77777777" w:rsidR="00C223C3" w:rsidRPr="00882A63" w:rsidRDefault="00C223C3" w:rsidP="00882A63">
            <w:pPr>
              <w:spacing w:after="120" w:line="240" w:lineRule="auto"/>
              <w:ind w:left="0" w:right="0"/>
              <w:rPr>
                <w:rFonts w:asciiTheme="minorHAnsi" w:hAnsiTheme="minorHAnsi"/>
                <w:b/>
                <w:color w:val="000000"/>
                <w:sz w:val="18"/>
                <w:szCs w:val="16"/>
              </w:rPr>
            </w:pPr>
            <w:r>
              <w:rPr>
                <w:rFonts w:asciiTheme="minorHAnsi" w:hAnsiTheme="minorHAnsi"/>
                <w:b/>
                <w:color w:val="000000"/>
                <w:sz w:val="18"/>
              </w:rPr>
              <w:t>1.6 Kwota</w:t>
            </w:r>
          </w:p>
        </w:tc>
        <w:tc>
          <w:tcPr>
            <w:tcW w:w="6379" w:type="dxa"/>
            <w:vAlign w:val="center"/>
          </w:tcPr>
          <w:p w14:paraId="4B98F1DC" w14:textId="77777777" w:rsidR="00C223C3" w:rsidRPr="00882A63" w:rsidRDefault="00C223C3" w:rsidP="00882A63">
            <w:pPr>
              <w:spacing w:after="120" w:line="240" w:lineRule="auto"/>
              <w:ind w:left="0" w:right="0"/>
              <w:jc w:val="center"/>
              <w:rPr>
                <w:rFonts w:asciiTheme="minorHAnsi" w:hAnsiTheme="minorHAnsi"/>
                <w:color w:val="000000"/>
                <w:sz w:val="18"/>
                <w:szCs w:val="16"/>
                <w:lang w:val="en-GB"/>
              </w:rPr>
            </w:pPr>
          </w:p>
        </w:tc>
      </w:tr>
      <w:tr w:rsidR="00C223C3" w:rsidRPr="00A557D8" w14:paraId="148B4DCC" w14:textId="77777777" w:rsidTr="00816A75">
        <w:trPr>
          <w:trHeight w:val="300"/>
        </w:trPr>
        <w:tc>
          <w:tcPr>
            <w:tcW w:w="3417" w:type="dxa"/>
            <w:shd w:val="clear" w:color="auto" w:fill="auto"/>
            <w:noWrap/>
            <w:vAlign w:val="center"/>
          </w:tcPr>
          <w:p w14:paraId="5AF9DA78" w14:textId="77777777" w:rsidR="00C223C3" w:rsidRPr="00882A63" w:rsidRDefault="00C223C3" w:rsidP="00882A63">
            <w:pPr>
              <w:spacing w:after="120" w:line="240" w:lineRule="auto"/>
              <w:ind w:left="0" w:right="0"/>
              <w:rPr>
                <w:rFonts w:asciiTheme="minorHAnsi" w:hAnsiTheme="minorHAnsi"/>
                <w:b/>
                <w:color w:val="000000"/>
                <w:sz w:val="18"/>
                <w:szCs w:val="16"/>
              </w:rPr>
            </w:pPr>
            <w:r>
              <w:rPr>
                <w:rFonts w:asciiTheme="minorHAnsi" w:hAnsiTheme="minorHAnsi"/>
                <w:b/>
                <w:color w:val="000000"/>
                <w:sz w:val="18"/>
              </w:rPr>
              <w:t>1.7 Kategorie kosztów, do których mają zastosowanie koszt jednostkowy, kwota ryczałtowa lub stawka stała</w:t>
            </w:r>
          </w:p>
        </w:tc>
        <w:tc>
          <w:tcPr>
            <w:tcW w:w="6379" w:type="dxa"/>
            <w:vAlign w:val="center"/>
          </w:tcPr>
          <w:p w14:paraId="3E3F1166" w14:textId="77777777" w:rsidR="00C223C3" w:rsidRPr="00680741" w:rsidRDefault="00C223C3" w:rsidP="00882A63">
            <w:pPr>
              <w:spacing w:after="120" w:line="240" w:lineRule="auto"/>
              <w:ind w:left="0" w:right="0"/>
              <w:jc w:val="center"/>
              <w:rPr>
                <w:rFonts w:asciiTheme="minorHAnsi" w:hAnsiTheme="minorHAnsi"/>
                <w:color w:val="000000"/>
                <w:sz w:val="18"/>
                <w:szCs w:val="16"/>
              </w:rPr>
            </w:pPr>
          </w:p>
        </w:tc>
      </w:tr>
      <w:tr w:rsidR="00C223C3" w:rsidRPr="00F50542" w14:paraId="4CB6ED65" w14:textId="77777777" w:rsidTr="00816A75">
        <w:trPr>
          <w:trHeight w:val="300"/>
        </w:trPr>
        <w:tc>
          <w:tcPr>
            <w:tcW w:w="3417" w:type="dxa"/>
            <w:shd w:val="clear" w:color="auto" w:fill="auto"/>
            <w:noWrap/>
            <w:vAlign w:val="center"/>
          </w:tcPr>
          <w:p w14:paraId="3F34597C" w14:textId="77777777" w:rsidR="00C223C3" w:rsidRPr="00882A63" w:rsidRDefault="00C223C3" w:rsidP="00882A63">
            <w:pPr>
              <w:spacing w:after="120" w:line="240" w:lineRule="auto"/>
              <w:ind w:left="0" w:right="0"/>
              <w:rPr>
                <w:rFonts w:asciiTheme="minorHAnsi" w:hAnsiTheme="minorHAnsi"/>
                <w:b/>
                <w:color w:val="000000"/>
                <w:sz w:val="18"/>
                <w:szCs w:val="16"/>
              </w:rPr>
            </w:pPr>
            <w:r>
              <w:rPr>
                <w:rFonts w:asciiTheme="minorHAnsi" w:hAnsiTheme="minorHAnsi"/>
                <w:b/>
                <w:color w:val="000000"/>
                <w:sz w:val="18"/>
              </w:rPr>
              <w:t>1.8 Czy te kategorie kosztów obejmują wydatki kwalifikowalne na daną operację? (T/N)</w:t>
            </w:r>
          </w:p>
        </w:tc>
        <w:tc>
          <w:tcPr>
            <w:tcW w:w="6379" w:type="dxa"/>
            <w:vAlign w:val="center"/>
          </w:tcPr>
          <w:p w14:paraId="5659C3BC" w14:textId="77777777" w:rsidR="00C223C3" w:rsidRPr="00882A63" w:rsidRDefault="00C223C3" w:rsidP="00882A63">
            <w:pPr>
              <w:spacing w:after="120" w:line="240" w:lineRule="auto"/>
              <w:ind w:left="0" w:right="0"/>
              <w:jc w:val="center"/>
              <w:rPr>
                <w:rFonts w:asciiTheme="minorHAnsi" w:hAnsiTheme="minorHAnsi"/>
                <w:color w:val="000000"/>
                <w:sz w:val="18"/>
                <w:szCs w:val="16"/>
                <w:lang w:val="en-GB"/>
              </w:rPr>
            </w:pPr>
          </w:p>
        </w:tc>
      </w:tr>
      <w:tr w:rsidR="00C223C3" w:rsidRPr="00F50542" w14:paraId="660BE148" w14:textId="77777777" w:rsidTr="00816A75">
        <w:trPr>
          <w:trHeight w:val="300"/>
        </w:trPr>
        <w:tc>
          <w:tcPr>
            <w:tcW w:w="3417" w:type="dxa"/>
            <w:shd w:val="clear" w:color="auto" w:fill="auto"/>
            <w:noWrap/>
            <w:vAlign w:val="center"/>
          </w:tcPr>
          <w:p w14:paraId="20BE1D53" w14:textId="77777777" w:rsidR="00C223C3" w:rsidRPr="00882A63" w:rsidRDefault="00C223C3" w:rsidP="00882A63">
            <w:pPr>
              <w:spacing w:after="120" w:line="240" w:lineRule="auto"/>
              <w:ind w:left="0" w:right="0"/>
              <w:rPr>
                <w:rFonts w:asciiTheme="minorHAnsi" w:hAnsiTheme="minorHAnsi"/>
                <w:b/>
                <w:color w:val="000000"/>
                <w:sz w:val="18"/>
                <w:szCs w:val="16"/>
              </w:rPr>
            </w:pPr>
            <w:r>
              <w:rPr>
                <w:rFonts w:asciiTheme="minorHAnsi" w:hAnsiTheme="minorHAnsi"/>
                <w:b/>
                <w:color w:val="000000"/>
                <w:sz w:val="18"/>
              </w:rPr>
              <w:t xml:space="preserve">1.9 Metoda korygowania </w:t>
            </w:r>
          </w:p>
        </w:tc>
        <w:tc>
          <w:tcPr>
            <w:tcW w:w="6379" w:type="dxa"/>
            <w:vAlign w:val="center"/>
          </w:tcPr>
          <w:p w14:paraId="3877C6A1" w14:textId="77777777" w:rsidR="00C223C3" w:rsidRPr="00882A63" w:rsidRDefault="00C223C3" w:rsidP="00882A63">
            <w:pPr>
              <w:spacing w:after="120" w:line="240" w:lineRule="auto"/>
              <w:ind w:left="0" w:right="0"/>
              <w:jc w:val="center"/>
              <w:rPr>
                <w:rFonts w:asciiTheme="minorHAnsi" w:hAnsiTheme="minorHAnsi"/>
                <w:color w:val="000000"/>
                <w:sz w:val="18"/>
                <w:szCs w:val="16"/>
                <w:lang w:val="en-GB"/>
              </w:rPr>
            </w:pPr>
          </w:p>
        </w:tc>
      </w:tr>
      <w:tr w:rsidR="00C223C3" w:rsidRPr="00A557D8" w14:paraId="4512BA22" w14:textId="77777777" w:rsidTr="00816A75">
        <w:trPr>
          <w:trHeight w:val="300"/>
        </w:trPr>
        <w:tc>
          <w:tcPr>
            <w:tcW w:w="3417" w:type="dxa"/>
            <w:shd w:val="clear" w:color="auto" w:fill="auto"/>
            <w:noWrap/>
            <w:vAlign w:val="center"/>
          </w:tcPr>
          <w:p w14:paraId="70CE7C57" w14:textId="77777777" w:rsidR="00C223C3" w:rsidRPr="00882A63" w:rsidRDefault="00C223C3" w:rsidP="00882A63">
            <w:pPr>
              <w:spacing w:after="120" w:line="240" w:lineRule="auto"/>
              <w:ind w:left="0" w:right="0"/>
              <w:rPr>
                <w:rFonts w:asciiTheme="minorHAnsi" w:hAnsiTheme="minorHAnsi"/>
                <w:b/>
                <w:color w:val="000000"/>
                <w:sz w:val="18"/>
                <w:szCs w:val="16"/>
              </w:rPr>
            </w:pPr>
            <w:r>
              <w:rPr>
                <w:rFonts w:asciiTheme="minorHAnsi" w:hAnsiTheme="minorHAnsi"/>
                <w:b/>
                <w:color w:val="000000"/>
                <w:sz w:val="18"/>
              </w:rPr>
              <w:t xml:space="preserve">1.10 Weryfikacja osiągnięcia jednostki miary   </w:t>
            </w:r>
          </w:p>
          <w:p w14:paraId="3C85191B" w14:textId="77777777" w:rsidR="00C223C3" w:rsidRPr="00882A63" w:rsidRDefault="00C223C3" w:rsidP="00882A63">
            <w:pPr>
              <w:spacing w:after="120" w:line="240" w:lineRule="auto"/>
              <w:ind w:left="0" w:right="0"/>
              <w:rPr>
                <w:rFonts w:asciiTheme="minorHAnsi" w:hAnsiTheme="minorHAnsi"/>
                <w:b/>
                <w:color w:val="000000"/>
                <w:sz w:val="18"/>
                <w:szCs w:val="16"/>
              </w:rPr>
            </w:pPr>
            <w:r>
              <w:rPr>
                <w:rFonts w:asciiTheme="minorHAnsi" w:hAnsiTheme="minorHAnsi"/>
                <w:b/>
                <w:color w:val="000000"/>
                <w:sz w:val="18"/>
              </w:rPr>
              <w:t>- Określić, jaki(e) dokument(y) zostaną wykorzystane w celu weryfikacji osiągnięcia jednostki miary.</w:t>
            </w:r>
          </w:p>
          <w:p w14:paraId="5920F241" w14:textId="77777777" w:rsidR="00C223C3" w:rsidRPr="00882A63" w:rsidRDefault="00C223C3" w:rsidP="00882A63">
            <w:pPr>
              <w:spacing w:after="120" w:line="240" w:lineRule="auto"/>
              <w:ind w:left="0" w:right="0"/>
              <w:rPr>
                <w:rFonts w:asciiTheme="minorHAnsi" w:hAnsiTheme="minorHAnsi"/>
                <w:b/>
                <w:color w:val="000000"/>
                <w:sz w:val="18"/>
                <w:szCs w:val="16"/>
              </w:rPr>
            </w:pPr>
            <w:r>
              <w:rPr>
                <w:rFonts w:asciiTheme="minorHAnsi" w:hAnsiTheme="minorHAnsi"/>
                <w:b/>
                <w:color w:val="000000"/>
                <w:sz w:val="18"/>
              </w:rPr>
              <w:t xml:space="preserve">- Określić zakres podlegający kontroli w trakcie weryfikacji zarządczych (w tym na miejscu) i osoby odpowiedzialne.  </w:t>
            </w:r>
          </w:p>
          <w:p w14:paraId="5FFA9276" w14:textId="77777777" w:rsidR="00C223C3" w:rsidRPr="00882A63" w:rsidRDefault="00C223C3" w:rsidP="00882A63">
            <w:pPr>
              <w:spacing w:after="120" w:line="240" w:lineRule="auto"/>
              <w:ind w:left="0" w:right="0"/>
              <w:rPr>
                <w:rFonts w:asciiTheme="minorHAnsi" w:hAnsiTheme="minorHAnsi"/>
                <w:b/>
                <w:color w:val="000000"/>
                <w:sz w:val="18"/>
                <w:szCs w:val="16"/>
              </w:rPr>
            </w:pPr>
            <w:r>
              <w:rPr>
                <w:rFonts w:asciiTheme="minorHAnsi" w:hAnsiTheme="minorHAnsi"/>
                <w:b/>
                <w:color w:val="000000"/>
                <w:sz w:val="18"/>
              </w:rPr>
              <w:t xml:space="preserve">- Opisać działania organizacyjne, jakie zostaną podjęte w celu gromadzenia i przechowywania </w:t>
            </w:r>
            <w:r>
              <w:rPr>
                <w:rFonts w:asciiTheme="minorHAnsi" w:hAnsiTheme="minorHAnsi"/>
                <w:b/>
                <w:color w:val="000000"/>
                <w:sz w:val="18"/>
              </w:rPr>
              <w:lastRenderedPageBreak/>
              <w:t xml:space="preserve">danych/dokumentów. </w:t>
            </w:r>
          </w:p>
        </w:tc>
        <w:tc>
          <w:tcPr>
            <w:tcW w:w="6379" w:type="dxa"/>
            <w:vAlign w:val="center"/>
          </w:tcPr>
          <w:p w14:paraId="2AD19375" w14:textId="77777777" w:rsidR="00C223C3" w:rsidRPr="00680741" w:rsidRDefault="00C223C3" w:rsidP="00882A63">
            <w:pPr>
              <w:spacing w:after="120" w:line="240" w:lineRule="auto"/>
              <w:ind w:left="0" w:right="0"/>
              <w:jc w:val="center"/>
              <w:rPr>
                <w:rFonts w:asciiTheme="minorHAnsi" w:hAnsiTheme="minorHAnsi"/>
                <w:color w:val="000000"/>
                <w:sz w:val="18"/>
                <w:szCs w:val="16"/>
              </w:rPr>
            </w:pPr>
          </w:p>
        </w:tc>
      </w:tr>
      <w:tr w:rsidR="00C223C3" w:rsidRPr="00A557D8" w14:paraId="52DC514E" w14:textId="77777777" w:rsidTr="00816A75">
        <w:trPr>
          <w:trHeight w:val="300"/>
        </w:trPr>
        <w:tc>
          <w:tcPr>
            <w:tcW w:w="3417" w:type="dxa"/>
            <w:shd w:val="clear" w:color="auto" w:fill="auto"/>
            <w:noWrap/>
            <w:vAlign w:val="center"/>
          </w:tcPr>
          <w:p w14:paraId="7A7B80E4" w14:textId="5FB55F5B" w:rsidR="00C223C3" w:rsidRPr="00882A63" w:rsidRDefault="00C223C3" w:rsidP="00882A63">
            <w:pPr>
              <w:spacing w:after="120" w:line="240" w:lineRule="auto"/>
              <w:ind w:left="0" w:right="0"/>
              <w:rPr>
                <w:rFonts w:asciiTheme="minorHAnsi" w:hAnsiTheme="minorHAnsi"/>
                <w:b/>
                <w:color w:val="000000"/>
                <w:sz w:val="18"/>
                <w:szCs w:val="16"/>
              </w:rPr>
            </w:pPr>
            <w:r>
              <w:rPr>
                <w:rFonts w:asciiTheme="minorHAnsi" w:hAnsiTheme="minorHAnsi"/>
                <w:b/>
                <w:color w:val="000000"/>
                <w:sz w:val="18"/>
              </w:rPr>
              <w:lastRenderedPageBreak/>
              <w:t>1.11  Możliwe zachęty o odwrotnym skutku lub problemy wynikające z tego wskaźnika, w jaki sposób można i</w:t>
            </w:r>
            <w:r w:rsidR="006C4A3C">
              <w:rPr>
                <w:rFonts w:asciiTheme="minorHAnsi" w:hAnsiTheme="minorHAnsi"/>
                <w:b/>
                <w:color w:val="000000"/>
                <w:sz w:val="18"/>
              </w:rPr>
              <w:t>m</w:t>
            </w:r>
            <w:r>
              <w:rPr>
                <w:rFonts w:asciiTheme="minorHAnsi" w:hAnsiTheme="minorHAnsi"/>
                <w:b/>
                <w:color w:val="000000"/>
                <w:sz w:val="18"/>
              </w:rPr>
              <w:t xml:space="preserve"> przeciwdziałać, i szacunkowy poziom ryzyka</w:t>
            </w:r>
          </w:p>
        </w:tc>
        <w:tc>
          <w:tcPr>
            <w:tcW w:w="6379" w:type="dxa"/>
            <w:vAlign w:val="center"/>
          </w:tcPr>
          <w:p w14:paraId="6F0CA329" w14:textId="77777777" w:rsidR="00C223C3" w:rsidRPr="00680741" w:rsidRDefault="00C223C3" w:rsidP="00882A63">
            <w:pPr>
              <w:spacing w:after="120" w:line="240" w:lineRule="auto"/>
              <w:ind w:left="0" w:right="0"/>
              <w:jc w:val="center"/>
              <w:rPr>
                <w:rFonts w:asciiTheme="minorHAnsi" w:hAnsiTheme="minorHAnsi"/>
                <w:color w:val="000000"/>
                <w:sz w:val="18"/>
                <w:szCs w:val="16"/>
              </w:rPr>
            </w:pPr>
          </w:p>
        </w:tc>
      </w:tr>
      <w:tr w:rsidR="00C223C3" w:rsidRPr="00A557D8" w14:paraId="4462DCC8" w14:textId="77777777" w:rsidTr="00816A75">
        <w:trPr>
          <w:trHeight w:val="300"/>
        </w:trPr>
        <w:tc>
          <w:tcPr>
            <w:tcW w:w="3417" w:type="dxa"/>
            <w:shd w:val="clear" w:color="auto" w:fill="auto"/>
            <w:noWrap/>
            <w:vAlign w:val="center"/>
          </w:tcPr>
          <w:p w14:paraId="69280F73" w14:textId="77777777" w:rsidR="00C223C3" w:rsidRPr="00882A63" w:rsidRDefault="00C223C3" w:rsidP="00882A63">
            <w:pPr>
              <w:spacing w:after="120" w:line="240" w:lineRule="auto"/>
              <w:ind w:left="0" w:right="0"/>
              <w:rPr>
                <w:rFonts w:asciiTheme="minorHAnsi" w:hAnsiTheme="minorHAnsi"/>
                <w:b/>
                <w:color w:val="000000"/>
                <w:sz w:val="18"/>
                <w:szCs w:val="16"/>
              </w:rPr>
            </w:pPr>
            <w:r>
              <w:rPr>
                <w:rFonts w:asciiTheme="minorHAnsi" w:hAnsiTheme="minorHAnsi"/>
                <w:b/>
                <w:color w:val="000000"/>
                <w:sz w:val="18"/>
              </w:rPr>
              <w:t xml:space="preserve">1.12 Całkowita kwota (krajowa i UE) planowana do zwrotu </w:t>
            </w:r>
          </w:p>
        </w:tc>
        <w:tc>
          <w:tcPr>
            <w:tcW w:w="6379" w:type="dxa"/>
            <w:vAlign w:val="center"/>
          </w:tcPr>
          <w:p w14:paraId="40E5A11E" w14:textId="77777777" w:rsidR="00C223C3" w:rsidRPr="00680741" w:rsidRDefault="00C223C3" w:rsidP="00882A63">
            <w:pPr>
              <w:spacing w:after="120" w:line="240" w:lineRule="auto"/>
              <w:ind w:left="0" w:right="0"/>
              <w:jc w:val="center"/>
              <w:rPr>
                <w:rFonts w:asciiTheme="minorHAnsi" w:hAnsiTheme="minorHAnsi"/>
                <w:color w:val="000000"/>
                <w:sz w:val="18"/>
                <w:szCs w:val="16"/>
              </w:rPr>
            </w:pPr>
          </w:p>
        </w:tc>
      </w:tr>
    </w:tbl>
    <w:p w14:paraId="1FBCB92D" w14:textId="77777777" w:rsidR="00C223C3" w:rsidRPr="00680741" w:rsidRDefault="00C223C3" w:rsidP="00C223C3">
      <w:pPr>
        <w:spacing w:after="200"/>
        <w:rPr>
          <w:b/>
          <w:noProof/>
          <w:sz w:val="22"/>
          <w:u w:val="single"/>
          <w:lang w:eastAsia="en-GB"/>
        </w:rPr>
      </w:pPr>
    </w:p>
    <w:p w14:paraId="2618C8FE" w14:textId="77777777" w:rsidR="00C223C3" w:rsidRPr="00816A75" w:rsidRDefault="00C223C3" w:rsidP="00816A75">
      <w:pPr>
        <w:spacing w:after="200"/>
        <w:ind w:hanging="1418"/>
        <w:rPr>
          <w:rFonts w:asciiTheme="minorHAnsi" w:hAnsiTheme="minorHAnsi"/>
          <w:b/>
          <w:sz w:val="24"/>
        </w:rPr>
      </w:pPr>
      <w:r>
        <w:rPr>
          <w:rFonts w:asciiTheme="minorHAnsi" w:hAnsiTheme="minorHAnsi"/>
          <w:b/>
          <w:sz w:val="24"/>
        </w:rPr>
        <w:t>C: Wyliczenie standardowej skali kosztów jednostkowych, kwot ryczałtowych lub stawek stałych</w:t>
      </w:r>
    </w:p>
    <w:p w14:paraId="1FE3835B" w14:textId="77777777" w:rsidR="00C223C3" w:rsidRPr="00D80606" w:rsidRDefault="00C223C3" w:rsidP="003F0C0B">
      <w:pPr>
        <w:pStyle w:val="CE-BulletPoint1"/>
        <w:rPr>
          <w:noProof/>
        </w:rPr>
      </w:pPr>
      <w:r w:rsidRPr="00D80606">
        <w:t>1. Źródło danych wykorzystanych do wyliczenia standardowej skali kosztów jednostkowych, kwoty ryczałtowych lub stawek stałych (kto opracował, zebrał i zarejestrował dane, gdzie przechowuje się dane, daty graniczne, walidacja itd.):</w:t>
      </w:r>
    </w:p>
    <w:p w14:paraId="7632EDAE" w14:textId="77777777" w:rsidR="00C223C3" w:rsidRPr="00680741" w:rsidRDefault="00C223C3" w:rsidP="00816A75">
      <w:pPr>
        <w:pBdr>
          <w:top w:val="single" w:sz="4" w:space="1" w:color="auto"/>
          <w:left w:val="single" w:sz="4" w:space="4" w:color="auto"/>
          <w:bottom w:val="single" w:sz="4" w:space="5" w:color="auto"/>
          <w:right w:val="single" w:sz="4" w:space="4" w:color="auto"/>
        </w:pBdr>
        <w:autoSpaceDE w:val="0"/>
        <w:autoSpaceDN w:val="0"/>
        <w:adjustRightInd w:val="0"/>
        <w:spacing w:after="240"/>
        <w:ind w:left="142"/>
        <w:rPr>
          <w:rFonts w:asciiTheme="minorHAnsi" w:hAnsiTheme="minorHAnsi"/>
          <w:bCs/>
          <w:noProof/>
          <w:lang w:eastAsia="fr-LU"/>
        </w:rPr>
      </w:pPr>
    </w:p>
    <w:p w14:paraId="1AD5322F" w14:textId="77777777" w:rsidR="00C223C3" w:rsidRPr="00D80606" w:rsidRDefault="00C223C3" w:rsidP="00D80606">
      <w:pPr>
        <w:autoSpaceDE w:val="0"/>
        <w:autoSpaceDN w:val="0"/>
        <w:adjustRightInd w:val="0"/>
        <w:spacing w:after="240"/>
        <w:ind w:left="0"/>
        <w:jc w:val="left"/>
        <w:rPr>
          <w:rFonts w:asciiTheme="minorHAnsi" w:hAnsiTheme="minorHAnsi"/>
          <w:bCs/>
          <w:noProof/>
          <w:sz w:val="24"/>
          <w:szCs w:val="24"/>
        </w:rPr>
      </w:pPr>
      <w:r w:rsidRPr="00D80606">
        <w:rPr>
          <w:rFonts w:asciiTheme="minorHAnsi" w:hAnsiTheme="minorHAnsi"/>
          <w:i/>
          <w:sz w:val="24"/>
          <w:szCs w:val="24"/>
        </w:rPr>
        <w:t>2.</w:t>
      </w:r>
      <w:r w:rsidRPr="00D80606">
        <w:rPr>
          <w:rFonts w:asciiTheme="minorHAnsi" w:hAnsiTheme="minorHAnsi"/>
          <w:sz w:val="24"/>
          <w:szCs w:val="24"/>
        </w:rPr>
        <w:t xml:space="preserve"> Wyjaśnić, dlaczego proponowana metoda i wyliczenie są odpowiednie dla danego rodzaju operacji.</w:t>
      </w:r>
    </w:p>
    <w:p w14:paraId="7FF30638" w14:textId="77777777" w:rsidR="00C223C3" w:rsidRPr="00680741" w:rsidRDefault="00C223C3" w:rsidP="00816A75">
      <w:pPr>
        <w:pBdr>
          <w:top w:val="single" w:sz="4" w:space="1" w:color="auto"/>
          <w:left w:val="single" w:sz="4" w:space="4" w:color="auto"/>
          <w:bottom w:val="single" w:sz="4" w:space="5" w:color="auto"/>
          <w:right w:val="single" w:sz="4" w:space="4" w:color="auto"/>
        </w:pBdr>
        <w:autoSpaceDE w:val="0"/>
        <w:autoSpaceDN w:val="0"/>
        <w:adjustRightInd w:val="0"/>
        <w:spacing w:after="240"/>
        <w:ind w:left="142"/>
        <w:rPr>
          <w:rFonts w:asciiTheme="minorHAnsi" w:hAnsiTheme="minorHAnsi"/>
          <w:bCs/>
          <w:noProof/>
          <w:lang w:eastAsia="fr-LU"/>
        </w:rPr>
      </w:pPr>
    </w:p>
    <w:p w14:paraId="294287AF" w14:textId="77777777" w:rsidR="00C223C3" w:rsidRPr="00D80606" w:rsidRDefault="00C223C3" w:rsidP="00D80606">
      <w:pPr>
        <w:autoSpaceDE w:val="0"/>
        <w:autoSpaceDN w:val="0"/>
        <w:adjustRightInd w:val="0"/>
        <w:spacing w:after="240"/>
        <w:ind w:left="0"/>
        <w:jc w:val="left"/>
        <w:rPr>
          <w:rFonts w:asciiTheme="minorHAnsi" w:hAnsiTheme="minorHAnsi"/>
          <w:bCs/>
          <w:noProof/>
          <w:sz w:val="24"/>
          <w:szCs w:val="24"/>
        </w:rPr>
      </w:pPr>
      <w:r w:rsidRPr="00D80606">
        <w:rPr>
          <w:rFonts w:asciiTheme="minorHAnsi" w:hAnsiTheme="minorHAnsi"/>
          <w:sz w:val="24"/>
          <w:szCs w:val="24"/>
        </w:rPr>
        <w:t xml:space="preserve">3. Wyjaśnić metodę wyliczeń, w szczególności dokonane założenia dotyczące jakości i ilości. Należy korzystać odpowiednio z danych statystycznych i danych porównawczych i załączyć je do niniejszego załącznika w edytowalnym formacie akceptowanym przez Komisję. </w:t>
      </w:r>
    </w:p>
    <w:p w14:paraId="785C096E" w14:textId="77777777" w:rsidR="00C223C3" w:rsidRPr="00680741" w:rsidRDefault="00C223C3" w:rsidP="00816A75">
      <w:pPr>
        <w:pBdr>
          <w:top w:val="single" w:sz="4" w:space="1" w:color="auto"/>
          <w:left w:val="single" w:sz="4" w:space="4" w:color="auto"/>
          <w:bottom w:val="single" w:sz="4" w:space="1" w:color="auto"/>
          <w:right w:val="single" w:sz="4" w:space="4" w:color="auto"/>
        </w:pBdr>
        <w:autoSpaceDE w:val="0"/>
        <w:autoSpaceDN w:val="0"/>
        <w:adjustRightInd w:val="0"/>
        <w:spacing w:after="240"/>
        <w:ind w:left="142"/>
        <w:rPr>
          <w:rFonts w:asciiTheme="minorHAnsi" w:hAnsiTheme="minorHAnsi"/>
          <w:bCs/>
          <w:noProof/>
          <w:lang w:eastAsia="fr-LU"/>
        </w:rPr>
      </w:pPr>
    </w:p>
    <w:p w14:paraId="7DE2BE63" w14:textId="77777777" w:rsidR="00C223C3" w:rsidRPr="00D80606" w:rsidRDefault="00C223C3" w:rsidP="00D80606">
      <w:pPr>
        <w:autoSpaceDE w:val="0"/>
        <w:autoSpaceDN w:val="0"/>
        <w:adjustRightInd w:val="0"/>
        <w:spacing w:after="240"/>
        <w:ind w:left="0"/>
        <w:jc w:val="left"/>
        <w:rPr>
          <w:rFonts w:asciiTheme="minorHAnsi" w:hAnsiTheme="minorHAnsi"/>
          <w:bCs/>
          <w:noProof/>
          <w:sz w:val="24"/>
          <w:szCs w:val="24"/>
        </w:rPr>
      </w:pPr>
      <w:r w:rsidRPr="00D80606">
        <w:rPr>
          <w:rFonts w:asciiTheme="minorHAnsi" w:hAnsiTheme="minorHAnsi"/>
          <w:sz w:val="24"/>
          <w:szCs w:val="24"/>
        </w:rPr>
        <w:t>4. Wyjaśnić, w jaki sposób zapewniono, że w wyliczeniu standardowego kosztu jednostkowego, kwoty ryczałtowej lub stałej stawki, uwzględniono wyłącznie wydatki kwalifikowalne.</w:t>
      </w:r>
    </w:p>
    <w:p w14:paraId="7EAEDEDC" w14:textId="77777777" w:rsidR="00C223C3" w:rsidRPr="00680741" w:rsidRDefault="00C223C3" w:rsidP="00816A75">
      <w:pPr>
        <w:pBdr>
          <w:top w:val="single" w:sz="4" w:space="1" w:color="auto"/>
          <w:left w:val="single" w:sz="4" w:space="4" w:color="auto"/>
          <w:bottom w:val="single" w:sz="4" w:space="1" w:color="auto"/>
          <w:right w:val="single" w:sz="4" w:space="4" w:color="auto"/>
        </w:pBdr>
        <w:autoSpaceDE w:val="0"/>
        <w:autoSpaceDN w:val="0"/>
        <w:adjustRightInd w:val="0"/>
        <w:spacing w:after="240"/>
        <w:ind w:left="142"/>
        <w:rPr>
          <w:rFonts w:asciiTheme="minorHAnsi" w:hAnsiTheme="minorHAnsi"/>
          <w:bCs/>
          <w:noProof/>
          <w:lang w:eastAsia="fr-LU"/>
        </w:rPr>
      </w:pPr>
    </w:p>
    <w:p w14:paraId="15A8AAB7" w14:textId="77777777" w:rsidR="00C223C3" w:rsidRPr="00D80606" w:rsidRDefault="00C223C3" w:rsidP="00D80606">
      <w:pPr>
        <w:spacing w:after="240"/>
        <w:ind w:left="0"/>
        <w:jc w:val="left"/>
        <w:rPr>
          <w:rFonts w:asciiTheme="minorHAnsi" w:hAnsiTheme="minorHAnsi"/>
          <w:bCs/>
          <w:noProof/>
          <w:sz w:val="24"/>
          <w:szCs w:val="24"/>
        </w:rPr>
      </w:pPr>
      <w:r w:rsidRPr="00D80606">
        <w:rPr>
          <w:rFonts w:asciiTheme="minorHAnsi" w:hAnsiTheme="minorHAnsi"/>
          <w:i/>
          <w:sz w:val="24"/>
          <w:szCs w:val="24"/>
        </w:rPr>
        <w:t>5</w:t>
      </w:r>
      <w:r w:rsidRPr="00D80606">
        <w:rPr>
          <w:rFonts w:asciiTheme="minorHAnsi" w:hAnsiTheme="minorHAnsi"/>
          <w:sz w:val="24"/>
          <w:szCs w:val="24"/>
        </w:rPr>
        <w:t>. Ocena instytucji audytowej(ych) metodologii wyliczeń i kwot i działań podjętych w celu zapewnienia weryfikacji, odpowiedniej jakości, gromadzenia i przechowywania danych.</w:t>
      </w:r>
    </w:p>
    <w:p w14:paraId="02A9EDA6" w14:textId="77777777" w:rsidR="00C223C3" w:rsidRPr="00680741" w:rsidRDefault="00C223C3" w:rsidP="00816A75">
      <w:pPr>
        <w:pBdr>
          <w:top w:val="single" w:sz="4" w:space="1" w:color="auto"/>
          <w:left w:val="single" w:sz="4" w:space="4" w:color="auto"/>
          <w:bottom w:val="single" w:sz="4" w:space="1" w:color="auto"/>
          <w:right w:val="single" w:sz="4" w:space="4" w:color="auto"/>
        </w:pBdr>
        <w:autoSpaceDE w:val="0"/>
        <w:autoSpaceDN w:val="0"/>
        <w:adjustRightInd w:val="0"/>
        <w:spacing w:after="240"/>
        <w:ind w:left="142"/>
        <w:rPr>
          <w:rFonts w:asciiTheme="minorHAnsi" w:hAnsiTheme="minorHAnsi"/>
          <w:bCs/>
          <w:noProof/>
          <w:lang w:eastAsia="fr-LU"/>
        </w:rPr>
      </w:pPr>
    </w:p>
    <w:p w14:paraId="4C0EB180" w14:textId="77777777" w:rsidR="00C223C3" w:rsidRPr="00816A75" w:rsidRDefault="00C223C3" w:rsidP="00816A75">
      <w:pPr>
        <w:ind w:left="0"/>
        <w:rPr>
          <w:rFonts w:asciiTheme="minorHAnsi" w:hAnsiTheme="minorHAnsi"/>
          <w:i/>
        </w:rPr>
      </w:pPr>
      <w:r>
        <w:rPr>
          <w:rFonts w:asciiTheme="minorHAnsi" w:hAnsiTheme="minorHAnsi"/>
          <w:i/>
        </w:rPr>
        <w:t>* Uzasadnienie dotyczące przyjętych danych podstawowych, metodologii wyliczeń i wyliczonej stawki lub kwoty i odpowiedniej oceny instytucji audytowej [(w punktach 1, 3 i 5)] nie są wymagane, jeżeli na poziomie UE ustalone zostaną warianty kosztów uproszczonych w niniejszym załączniku [(w innych politykach lub DA zgodnie z art. 88 ust. 4)].</w:t>
      </w:r>
    </w:p>
    <w:p w14:paraId="6ABC5E2E" w14:textId="77777777" w:rsidR="00C223C3" w:rsidRPr="00C223C3" w:rsidRDefault="00C223C3" w:rsidP="00C223C3">
      <w:pPr>
        <w:spacing w:after="200"/>
        <w:rPr>
          <w:rFonts w:asciiTheme="minorHAnsi" w:hAnsiTheme="minorHAnsi"/>
          <w:noProof/>
          <w:sz w:val="22"/>
        </w:rPr>
      </w:pPr>
      <w:r>
        <w:br w:type="page"/>
      </w:r>
    </w:p>
    <w:p w14:paraId="57760405" w14:textId="77777777" w:rsidR="00C223C3" w:rsidRPr="00F50542" w:rsidRDefault="00C223C3" w:rsidP="00C2573A">
      <w:pPr>
        <w:spacing w:after="200"/>
        <w:ind w:hanging="1418"/>
        <w:rPr>
          <w:b/>
          <w:noProof/>
          <w:szCs w:val="24"/>
        </w:rPr>
      </w:pPr>
      <w:r>
        <w:rPr>
          <w:rFonts w:asciiTheme="minorHAnsi" w:hAnsiTheme="minorHAnsi"/>
          <w:b/>
          <w:sz w:val="24"/>
        </w:rPr>
        <w:lastRenderedPageBreak/>
        <w:t>Załącznik 3: Wkład Unii w oparciu o środki finansowe, z wyłączeniem kosztów</w:t>
      </w:r>
    </w:p>
    <w:p w14:paraId="65851093" w14:textId="77777777" w:rsidR="00C223C3" w:rsidRPr="00C2573A" w:rsidRDefault="00C223C3" w:rsidP="00C2573A">
      <w:pPr>
        <w:spacing w:after="200"/>
        <w:ind w:hanging="1418"/>
        <w:jc w:val="center"/>
        <w:rPr>
          <w:rFonts w:asciiTheme="minorHAnsi" w:hAnsiTheme="minorHAnsi"/>
          <w:b/>
        </w:rPr>
      </w:pPr>
      <w:r>
        <w:rPr>
          <w:rFonts w:asciiTheme="minorHAnsi" w:hAnsiTheme="minorHAnsi"/>
          <w:b/>
        </w:rPr>
        <w:t>Wzór na potrzeby przesyłania danych do rozpatrzenia przez Komisję</w:t>
      </w:r>
    </w:p>
    <w:p w14:paraId="3CD9D2A9" w14:textId="77777777" w:rsidR="00C223C3" w:rsidRPr="00C2573A" w:rsidRDefault="00C223C3" w:rsidP="00C2573A">
      <w:pPr>
        <w:spacing w:after="200"/>
        <w:ind w:hanging="1418"/>
        <w:jc w:val="center"/>
        <w:rPr>
          <w:rFonts w:asciiTheme="minorHAnsi" w:hAnsiTheme="minorHAnsi"/>
          <w:b/>
        </w:rPr>
      </w:pPr>
      <w:r>
        <w:rPr>
          <w:rFonts w:asciiTheme="minorHAnsi" w:hAnsiTheme="minorHAnsi"/>
          <w:b/>
        </w:rPr>
        <w:t>(art. 89 rozporządzenia w sprawie wspólnych przepisów)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4644"/>
      </w:tblGrid>
      <w:tr w:rsidR="00C223C3" w:rsidRPr="00A557D8" w14:paraId="55F3DC3E" w14:textId="77777777" w:rsidTr="00816A75">
        <w:tc>
          <w:tcPr>
            <w:tcW w:w="4644" w:type="dxa"/>
            <w:shd w:val="clear" w:color="auto" w:fill="auto"/>
          </w:tcPr>
          <w:p w14:paraId="0B736F85" w14:textId="77777777" w:rsidR="00C223C3" w:rsidRPr="00C2573A" w:rsidRDefault="00C223C3" w:rsidP="00C2573A">
            <w:pPr>
              <w:spacing w:after="200"/>
              <w:ind w:left="0"/>
              <w:rPr>
                <w:rFonts w:asciiTheme="minorHAnsi" w:hAnsiTheme="minorHAnsi"/>
                <w:noProof/>
                <w:szCs w:val="24"/>
              </w:rPr>
            </w:pPr>
            <w:r>
              <w:rPr>
                <w:rFonts w:asciiTheme="minorHAnsi" w:hAnsiTheme="minorHAnsi"/>
              </w:rPr>
              <w:t>Data złożenia wniosku</w:t>
            </w:r>
          </w:p>
        </w:tc>
        <w:tc>
          <w:tcPr>
            <w:tcW w:w="4644" w:type="dxa"/>
            <w:shd w:val="clear" w:color="auto" w:fill="auto"/>
          </w:tcPr>
          <w:p w14:paraId="6689F7CA" w14:textId="77777777" w:rsidR="00C223C3" w:rsidRPr="00C2573A" w:rsidRDefault="00C223C3" w:rsidP="00C2573A">
            <w:pPr>
              <w:spacing w:after="200"/>
              <w:ind w:left="0"/>
              <w:rPr>
                <w:rFonts w:asciiTheme="minorHAnsi" w:hAnsiTheme="minorHAnsi"/>
                <w:noProof/>
                <w:szCs w:val="24"/>
                <w:lang w:val="en-GB"/>
              </w:rPr>
            </w:pPr>
          </w:p>
        </w:tc>
      </w:tr>
      <w:tr w:rsidR="00C223C3" w:rsidRPr="00C2573A" w14:paraId="68747C30" w14:textId="77777777" w:rsidTr="00816A75">
        <w:tc>
          <w:tcPr>
            <w:tcW w:w="4644" w:type="dxa"/>
            <w:shd w:val="clear" w:color="auto" w:fill="auto"/>
          </w:tcPr>
          <w:p w14:paraId="07552AE4" w14:textId="77777777" w:rsidR="00C223C3" w:rsidRPr="00C2573A" w:rsidRDefault="00C223C3" w:rsidP="00C2573A">
            <w:pPr>
              <w:spacing w:after="200"/>
              <w:ind w:left="0"/>
              <w:rPr>
                <w:rFonts w:asciiTheme="minorHAnsi" w:hAnsiTheme="minorHAnsi"/>
                <w:noProof/>
                <w:szCs w:val="24"/>
              </w:rPr>
            </w:pPr>
            <w:r>
              <w:rPr>
                <w:rFonts w:asciiTheme="minorHAnsi" w:hAnsiTheme="minorHAnsi"/>
              </w:rPr>
              <w:t xml:space="preserve">Obecna wersja </w:t>
            </w:r>
          </w:p>
        </w:tc>
        <w:tc>
          <w:tcPr>
            <w:tcW w:w="4644" w:type="dxa"/>
            <w:shd w:val="clear" w:color="auto" w:fill="auto"/>
          </w:tcPr>
          <w:p w14:paraId="695B23AC" w14:textId="77777777" w:rsidR="00C223C3" w:rsidRPr="00C2573A" w:rsidRDefault="00C223C3" w:rsidP="00C2573A">
            <w:pPr>
              <w:spacing w:after="200"/>
              <w:ind w:left="0"/>
              <w:rPr>
                <w:rFonts w:asciiTheme="minorHAnsi" w:hAnsiTheme="minorHAnsi"/>
                <w:noProof/>
                <w:szCs w:val="24"/>
                <w:lang w:val="en-GB"/>
              </w:rPr>
            </w:pPr>
          </w:p>
        </w:tc>
      </w:tr>
    </w:tbl>
    <w:p w14:paraId="57CD1D32" w14:textId="77777777" w:rsidR="00C223C3" w:rsidRPr="00F50542" w:rsidRDefault="00C223C3" w:rsidP="00C223C3">
      <w:pPr>
        <w:spacing w:after="200"/>
        <w:jc w:val="center"/>
        <w:rPr>
          <w:b/>
          <w:i/>
          <w:iCs/>
          <w:noProof/>
          <w:szCs w:val="24"/>
          <w:lang w:val="en-GB" w:eastAsia="en-GB"/>
        </w:rPr>
      </w:pPr>
    </w:p>
    <w:p w14:paraId="72E5E63F" w14:textId="77777777" w:rsidR="00C223C3" w:rsidRPr="00F50542" w:rsidRDefault="00C223C3" w:rsidP="00C223C3">
      <w:pPr>
        <w:spacing w:after="240"/>
        <w:rPr>
          <w:b/>
          <w:noProof/>
          <w:sz w:val="22"/>
          <w:u w:val="single"/>
          <w:lang w:val="en-GB"/>
        </w:rPr>
        <w:sectPr w:rsidR="00C223C3" w:rsidRPr="00F50542">
          <w:headerReference w:type="even" r:id="rId46"/>
          <w:headerReference w:type="default" r:id="rId47"/>
          <w:footerReference w:type="even" r:id="rId48"/>
          <w:footerReference w:type="default" r:id="rId49"/>
          <w:headerReference w:type="first" r:id="rId50"/>
          <w:footerReference w:type="first" r:id="rId51"/>
          <w:pgSz w:w="11906" w:h="16838"/>
          <w:pgMar w:top="1417" w:right="1417" w:bottom="1417" w:left="1417" w:header="708" w:footer="708" w:gutter="0"/>
          <w:cols w:space="708"/>
          <w:docGrid w:linePitch="360"/>
        </w:sectPr>
      </w:pPr>
    </w:p>
    <w:p w14:paraId="78BEEBFB" w14:textId="77777777" w:rsidR="00C223C3" w:rsidRPr="00C2573A" w:rsidRDefault="00C223C3" w:rsidP="00C2573A">
      <w:pPr>
        <w:spacing w:after="240"/>
        <w:ind w:left="0"/>
        <w:rPr>
          <w:rFonts w:asciiTheme="minorHAnsi" w:hAnsiTheme="minorHAnsi"/>
          <w:b/>
          <w:noProof/>
          <w:sz w:val="22"/>
          <w:u w:val="single"/>
        </w:rPr>
      </w:pPr>
      <w:r>
        <w:rPr>
          <w:rFonts w:asciiTheme="minorHAnsi" w:hAnsiTheme="minorHAnsi"/>
          <w:b/>
          <w:sz w:val="22"/>
          <w:u w:val="single"/>
        </w:rPr>
        <w:lastRenderedPageBreak/>
        <w:t xml:space="preserve">A. Podsumowanie głównych elementów </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1097"/>
        <w:gridCol w:w="1461"/>
        <w:gridCol w:w="2412"/>
        <w:gridCol w:w="2465"/>
        <w:gridCol w:w="867"/>
        <w:gridCol w:w="1574"/>
        <w:gridCol w:w="1790"/>
        <w:gridCol w:w="1790"/>
      </w:tblGrid>
      <w:tr w:rsidR="00C223C3" w:rsidRPr="00A557D8" w14:paraId="0E1FB22D" w14:textId="77777777" w:rsidTr="00816A75">
        <w:tc>
          <w:tcPr>
            <w:tcW w:w="376" w:type="pct"/>
          </w:tcPr>
          <w:p w14:paraId="4F6FE801" w14:textId="77777777" w:rsidR="00C223C3" w:rsidRPr="00C2573A" w:rsidRDefault="00C223C3" w:rsidP="00C2573A">
            <w:pP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Priorytet </w:t>
            </w:r>
          </w:p>
        </w:tc>
        <w:tc>
          <w:tcPr>
            <w:tcW w:w="377" w:type="pct"/>
          </w:tcPr>
          <w:p w14:paraId="132456E4" w14:textId="77777777" w:rsidR="00C223C3" w:rsidRPr="00C2573A" w:rsidRDefault="00C223C3" w:rsidP="00C2573A">
            <w:pPr>
              <w:spacing w:after="120" w:line="240" w:lineRule="auto"/>
              <w:ind w:left="0" w:right="0"/>
              <w:rPr>
                <w:rFonts w:asciiTheme="minorHAnsi" w:hAnsiTheme="minorHAnsi"/>
                <w:b/>
                <w:color w:val="000000"/>
                <w:sz w:val="16"/>
                <w:szCs w:val="16"/>
              </w:rPr>
            </w:pPr>
            <w:r>
              <w:rPr>
                <w:rFonts w:asciiTheme="minorHAnsi" w:hAnsiTheme="minorHAnsi"/>
                <w:b/>
                <w:color w:val="000000"/>
                <w:sz w:val="16"/>
              </w:rPr>
              <w:t>Fundusz</w:t>
            </w:r>
          </w:p>
        </w:tc>
        <w:tc>
          <w:tcPr>
            <w:tcW w:w="502" w:type="pct"/>
          </w:tcPr>
          <w:p w14:paraId="74262B36" w14:textId="77777777" w:rsidR="00C223C3" w:rsidRPr="00C2573A" w:rsidRDefault="00C223C3" w:rsidP="00C2573A">
            <w:pPr>
              <w:spacing w:after="120" w:line="240" w:lineRule="auto"/>
              <w:ind w:left="0" w:right="0"/>
              <w:rPr>
                <w:rFonts w:asciiTheme="minorHAnsi" w:hAnsiTheme="minorHAnsi"/>
                <w:b/>
                <w:color w:val="000000"/>
                <w:sz w:val="16"/>
                <w:szCs w:val="16"/>
              </w:rPr>
            </w:pPr>
            <w:r>
              <w:rPr>
                <w:rFonts w:asciiTheme="minorHAnsi" w:hAnsiTheme="minorHAnsi"/>
                <w:b/>
                <w:color w:val="000000"/>
                <w:sz w:val="16"/>
              </w:rPr>
              <w:t>Kwota objęta finansowaniem, z wyłączeniem kosztów</w:t>
            </w:r>
          </w:p>
        </w:tc>
        <w:tc>
          <w:tcPr>
            <w:tcW w:w="829" w:type="pct"/>
            <w:shd w:val="clear" w:color="auto" w:fill="auto"/>
          </w:tcPr>
          <w:p w14:paraId="7754B445" w14:textId="77777777" w:rsidR="00C223C3" w:rsidRPr="00C2573A" w:rsidRDefault="00C223C3" w:rsidP="00C2573A">
            <w:pPr>
              <w:spacing w:after="120" w:line="240" w:lineRule="auto"/>
              <w:ind w:left="0" w:right="0"/>
              <w:rPr>
                <w:rFonts w:asciiTheme="minorHAnsi" w:hAnsiTheme="minorHAnsi"/>
                <w:b/>
                <w:color w:val="000000"/>
                <w:sz w:val="16"/>
                <w:szCs w:val="16"/>
              </w:rPr>
            </w:pPr>
            <w:r>
              <w:rPr>
                <w:rFonts w:asciiTheme="minorHAnsi" w:hAnsiTheme="minorHAnsi"/>
                <w:b/>
                <w:color w:val="000000"/>
                <w:sz w:val="16"/>
              </w:rPr>
              <w:t>Rodzaj(e) operacji</w:t>
            </w:r>
          </w:p>
        </w:tc>
        <w:tc>
          <w:tcPr>
            <w:tcW w:w="847" w:type="pct"/>
          </w:tcPr>
          <w:p w14:paraId="0794AC70" w14:textId="77777777" w:rsidR="00C223C3" w:rsidRPr="00C2573A" w:rsidRDefault="00C223C3" w:rsidP="00C2573A">
            <w:pPr>
              <w:spacing w:after="120" w:line="240" w:lineRule="auto"/>
              <w:ind w:left="0" w:right="0"/>
              <w:rPr>
                <w:rFonts w:asciiTheme="minorHAnsi" w:hAnsiTheme="minorHAnsi"/>
                <w:b/>
                <w:color w:val="000000"/>
                <w:sz w:val="16"/>
                <w:szCs w:val="16"/>
              </w:rPr>
            </w:pPr>
            <w:r>
              <w:rPr>
                <w:rFonts w:asciiTheme="minorHAnsi" w:hAnsiTheme="minorHAnsi"/>
                <w:b/>
                <w:color w:val="000000"/>
                <w:sz w:val="16"/>
              </w:rPr>
              <w:t>Warunki, które należy spełnić, lub wyniki, które należy osiągnąć</w:t>
            </w:r>
          </w:p>
        </w:tc>
        <w:tc>
          <w:tcPr>
            <w:tcW w:w="838" w:type="pct"/>
            <w:gridSpan w:val="2"/>
            <w:shd w:val="clear" w:color="auto" w:fill="auto"/>
          </w:tcPr>
          <w:p w14:paraId="6DA7F16B" w14:textId="77777777" w:rsidR="00C223C3" w:rsidRPr="00C2573A" w:rsidRDefault="00C223C3" w:rsidP="00C2573A">
            <w:pPr>
              <w:spacing w:after="120" w:line="240" w:lineRule="auto"/>
              <w:ind w:left="0" w:right="0"/>
              <w:rPr>
                <w:rFonts w:asciiTheme="minorHAnsi" w:hAnsiTheme="minorHAnsi"/>
                <w:b/>
                <w:color w:val="000000"/>
                <w:sz w:val="16"/>
                <w:szCs w:val="16"/>
              </w:rPr>
            </w:pPr>
            <w:r>
              <w:rPr>
                <w:rFonts w:asciiTheme="minorHAnsi" w:hAnsiTheme="minorHAnsi"/>
                <w:b/>
                <w:color w:val="000000"/>
                <w:sz w:val="16"/>
              </w:rPr>
              <w:t>Odpowiednie nazwa(y) wskaźnika</w:t>
            </w:r>
          </w:p>
        </w:tc>
        <w:tc>
          <w:tcPr>
            <w:tcW w:w="615" w:type="pct"/>
            <w:shd w:val="clear" w:color="auto" w:fill="auto"/>
          </w:tcPr>
          <w:p w14:paraId="5EE58091" w14:textId="77777777" w:rsidR="00C223C3" w:rsidRPr="00C2573A" w:rsidRDefault="00C223C3" w:rsidP="00C2573A">
            <w:pPr>
              <w:spacing w:after="120" w:line="240" w:lineRule="auto"/>
              <w:ind w:left="0" w:right="0"/>
              <w:rPr>
                <w:rFonts w:asciiTheme="minorHAnsi" w:hAnsiTheme="minorHAnsi"/>
                <w:b/>
                <w:color w:val="000000"/>
                <w:sz w:val="16"/>
                <w:szCs w:val="16"/>
              </w:rPr>
            </w:pPr>
            <w:r>
              <w:rPr>
                <w:rFonts w:asciiTheme="minorHAnsi" w:hAnsiTheme="minorHAnsi"/>
                <w:b/>
                <w:color w:val="000000"/>
                <w:sz w:val="16"/>
              </w:rPr>
              <w:t>Jednostka miary dla wskaźnika</w:t>
            </w:r>
          </w:p>
        </w:tc>
        <w:tc>
          <w:tcPr>
            <w:tcW w:w="615" w:type="pct"/>
          </w:tcPr>
          <w:p w14:paraId="25822DB1" w14:textId="77777777" w:rsidR="00C223C3" w:rsidRPr="00C2573A" w:rsidRDefault="00C223C3" w:rsidP="00C2573A">
            <w:pPr>
              <w:spacing w:after="120" w:line="240" w:lineRule="auto"/>
              <w:ind w:left="0" w:right="0"/>
              <w:rPr>
                <w:rFonts w:asciiTheme="minorHAnsi" w:hAnsiTheme="minorHAnsi"/>
                <w:b/>
                <w:color w:val="000000"/>
                <w:sz w:val="16"/>
                <w:szCs w:val="16"/>
              </w:rPr>
            </w:pPr>
            <w:r>
              <w:rPr>
                <w:rFonts w:asciiTheme="minorHAnsi" w:hAnsiTheme="minorHAnsi"/>
                <w:b/>
                <w:color w:val="000000"/>
                <w:sz w:val="16"/>
              </w:rPr>
              <w:t>Przewidywany zwrot kosztów na rzecz beneficjentów</w:t>
            </w:r>
            <w:r w:rsidRPr="00C2573A">
              <w:rPr>
                <w:rFonts w:asciiTheme="minorHAnsi" w:hAnsiTheme="minorHAnsi"/>
                <w:color w:val="000000"/>
                <w:sz w:val="16"/>
                <w:szCs w:val="16"/>
                <w:vertAlign w:val="superscript"/>
                <w:lang w:val="en-GB"/>
              </w:rPr>
              <w:footnoteReference w:id="19"/>
            </w:r>
          </w:p>
        </w:tc>
      </w:tr>
      <w:tr w:rsidR="00C223C3" w:rsidRPr="00F50542" w14:paraId="2F2F00BC" w14:textId="77777777" w:rsidTr="00816A75">
        <w:tc>
          <w:tcPr>
            <w:tcW w:w="376" w:type="pct"/>
          </w:tcPr>
          <w:p w14:paraId="710317C6" w14:textId="77777777" w:rsidR="00C223C3" w:rsidRPr="00680741" w:rsidRDefault="00C223C3" w:rsidP="00C2573A">
            <w:pPr>
              <w:spacing w:after="120" w:line="240" w:lineRule="auto"/>
              <w:ind w:left="0" w:right="0"/>
              <w:rPr>
                <w:rFonts w:asciiTheme="minorHAnsi" w:hAnsiTheme="minorHAnsi"/>
                <w:b/>
                <w:color w:val="000000"/>
                <w:sz w:val="16"/>
                <w:szCs w:val="16"/>
              </w:rPr>
            </w:pPr>
          </w:p>
        </w:tc>
        <w:tc>
          <w:tcPr>
            <w:tcW w:w="377" w:type="pct"/>
          </w:tcPr>
          <w:p w14:paraId="1EB4064F" w14:textId="77777777" w:rsidR="00C223C3" w:rsidRPr="00680741" w:rsidRDefault="00C223C3" w:rsidP="00C2573A">
            <w:pPr>
              <w:spacing w:after="120" w:line="240" w:lineRule="auto"/>
              <w:ind w:left="0" w:right="0"/>
              <w:rPr>
                <w:rFonts w:asciiTheme="minorHAnsi" w:hAnsiTheme="minorHAnsi"/>
                <w:b/>
                <w:color w:val="000000"/>
                <w:sz w:val="16"/>
                <w:szCs w:val="16"/>
              </w:rPr>
            </w:pPr>
          </w:p>
        </w:tc>
        <w:tc>
          <w:tcPr>
            <w:tcW w:w="502" w:type="pct"/>
          </w:tcPr>
          <w:p w14:paraId="7B62D671" w14:textId="77777777" w:rsidR="00C223C3" w:rsidRPr="00680741" w:rsidRDefault="00C223C3" w:rsidP="00C2573A">
            <w:pPr>
              <w:spacing w:after="120" w:line="240" w:lineRule="auto"/>
              <w:ind w:left="0" w:right="0"/>
              <w:rPr>
                <w:rFonts w:asciiTheme="minorHAnsi" w:hAnsiTheme="minorHAnsi"/>
                <w:b/>
                <w:color w:val="000000"/>
                <w:sz w:val="16"/>
                <w:szCs w:val="16"/>
              </w:rPr>
            </w:pPr>
          </w:p>
        </w:tc>
        <w:tc>
          <w:tcPr>
            <w:tcW w:w="829" w:type="pct"/>
            <w:shd w:val="clear" w:color="auto" w:fill="auto"/>
          </w:tcPr>
          <w:p w14:paraId="19C9B3C6" w14:textId="77777777" w:rsidR="00C223C3" w:rsidRPr="00680741" w:rsidRDefault="00C223C3" w:rsidP="00C2573A">
            <w:pPr>
              <w:spacing w:after="120" w:line="240" w:lineRule="auto"/>
              <w:ind w:left="0" w:right="0"/>
              <w:rPr>
                <w:rFonts w:asciiTheme="minorHAnsi" w:hAnsiTheme="minorHAnsi"/>
                <w:b/>
                <w:color w:val="000000"/>
                <w:sz w:val="16"/>
                <w:szCs w:val="16"/>
              </w:rPr>
            </w:pPr>
          </w:p>
        </w:tc>
        <w:tc>
          <w:tcPr>
            <w:tcW w:w="847" w:type="pct"/>
          </w:tcPr>
          <w:p w14:paraId="6A027D2E" w14:textId="77777777" w:rsidR="00C223C3" w:rsidRPr="00680741" w:rsidRDefault="00C223C3" w:rsidP="00C2573A">
            <w:pPr>
              <w:spacing w:after="120" w:line="240" w:lineRule="auto"/>
              <w:ind w:left="0" w:right="0"/>
              <w:rPr>
                <w:rFonts w:asciiTheme="minorHAnsi" w:hAnsiTheme="minorHAnsi"/>
                <w:b/>
                <w:color w:val="000000"/>
                <w:sz w:val="16"/>
                <w:szCs w:val="16"/>
              </w:rPr>
            </w:pPr>
          </w:p>
        </w:tc>
        <w:tc>
          <w:tcPr>
            <w:tcW w:w="298" w:type="pct"/>
            <w:shd w:val="clear" w:color="auto" w:fill="auto"/>
          </w:tcPr>
          <w:p w14:paraId="7C894E22" w14:textId="77777777" w:rsidR="00C223C3" w:rsidRPr="00C2573A" w:rsidRDefault="00C223C3" w:rsidP="00C2573A">
            <w:pPr>
              <w:spacing w:after="120" w:line="240" w:lineRule="auto"/>
              <w:ind w:left="0" w:right="0"/>
              <w:rPr>
                <w:rFonts w:asciiTheme="minorHAnsi" w:hAnsiTheme="minorHAnsi"/>
                <w:b/>
                <w:color w:val="000000"/>
                <w:sz w:val="16"/>
                <w:szCs w:val="16"/>
              </w:rPr>
            </w:pPr>
            <w:r>
              <w:rPr>
                <w:rFonts w:asciiTheme="minorHAnsi" w:hAnsiTheme="minorHAnsi"/>
                <w:b/>
                <w:color w:val="000000"/>
                <w:sz w:val="16"/>
              </w:rPr>
              <w:t xml:space="preserve">Kod </w:t>
            </w:r>
          </w:p>
        </w:tc>
        <w:tc>
          <w:tcPr>
            <w:tcW w:w="541" w:type="pct"/>
          </w:tcPr>
          <w:p w14:paraId="3A877B4B" w14:textId="77777777" w:rsidR="00C223C3" w:rsidRPr="00C2573A" w:rsidRDefault="00C223C3" w:rsidP="00C2573A">
            <w:pPr>
              <w:spacing w:after="120" w:line="240" w:lineRule="auto"/>
              <w:ind w:left="0" w:right="0"/>
              <w:rPr>
                <w:rFonts w:asciiTheme="minorHAnsi" w:hAnsiTheme="minorHAnsi"/>
                <w:b/>
                <w:color w:val="000000"/>
                <w:sz w:val="16"/>
                <w:szCs w:val="16"/>
              </w:rPr>
            </w:pPr>
            <w:r>
              <w:rPr>
                <w:rFonts w:asciiTheme="minorHAnsi" w:hAnsiTheme="minorHAnsi"/>
                <w:b/>
                <w:color w:val="000000"/>
                <w:sz w:val="16"/>
              </w:rPr>
              <w:t>Opis</w:t>
            </w:r>
          </w:p>
        </w:tc>
        <w:tc>
          <w:tcPr>
            <w:tcW w:w="615" w:type="pct"/>
          </w:tcPr>
          <w:p w14:paraId="7A91B958"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615" w:type="pct"/>
            <w:shd w:val="clear" w:color="auto" w:fill="auto"/>
          </w:tcPr>
          <w:p w14:paraId="438061A6" w14:textId="77777777" w:rsidR="00C223C3" w:rsidRPr="00C2573A" w:rsidRDefault="00C223C3" w:rsidP="00816A75">
            <w:pPr>
              <w:spacing w:after="200"/>
              <w:jc w:val="center"/>
              <w:rPr>
                <w:rFonts w:asciiTheme="minorHAnsi" w:hAnsiTheme="minorHAnsi"/>
                <w:b/>
                <w:color w:val="000000"/>
                <w:sz w:val="16"/>
                <w:szCs w:val="16"/>
                <w:lang w:val="en-GB"/>
              </w:rPr>
            </w:pPr>
          </w:p>
        </w:tc>
      </w:tr>
      <w:tr w:rsidR="00C223C3" w:rsidRPr="00F50542" w14:paraId="162348CD" w14:textId="77777777" w:rsidTr="00816A75">
        <w:tc>
          <w:tcPr>
            <w:tcW w:w="376" w:type="pct"/>
          </w:tcPr>
          <w:p w14:paraId="393C078F"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377" w:type="pct"/>
          </w:tcPr>
          <w:p w14:paraId="4EFADBEE"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502" w:type="pct"/>
          </w:tcPr>
          <w:p w14:paraId="08D41148"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829" w:type="pct"/>
            <w:shd w:val="clear" w:color="auto" w:fill="auto"/>
          </w:tcPr>
          <w:p w14:paraId="4AA7A623"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847" w:type="pct"/>
          </w:tcPr>
          <w:p w14:paraId="1C9D6249"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298" w:type="pct"/>
            <w:shd w:val="clear" w:color="auto" w:fill="auto"/>
          </w:tcPr>
          <w:p w14:paraId="5CD04EA1"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541" w:type="pct"/>
          </w:tcPr>
          <w:p w14:paraId="3E655499"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615" w:type="pct"/>
          </w:tcPr>
          <w:p w14:paraId="506B50D1"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615" w:type="pct"/>
            <w:shd w:val="clear" w:color="auto" w:fill="auto"/>
          </w:tcPr>
          <w:p w14:paraId="40083698" w14:textId="77777777" w:rsidR="00C223C3" w:rsidRPr="00C2573A" w:rsidRDefault="00C223C3" w:rsidP="00816A75">
            <w:pPr>
              <w:spacing w:after="200"/>
              <w:jc w:val="center"/>
              <w:rPr>
                <w:rFonts w:asciiTheme="minorHAnsi" w:hAnsiTheme="minorHAnsi"/>
                <w:b/>
                <w:color w:val="000000"/>
                <w:sz w:val="16"/>
                <w:szCs w:val="16"/>
                <w:lang w:val="en-GB"/>
              </w:rPr>
            </w:pPr>
          </w:p>
        </w:tc>
      </w:tr>
      <w:tr w:rsidR="00C223C3" w:rsidRPr="00F50542" w14:paraId="77EE97C9" w14:textId="77777777" w:rsidTr="00816A75">
        <w:tc>
          <w:tcPr>
            <w:tcW w:w="376" w:type="pct"/>
          </w:tcPr>
          <w:p w14:paraId="62ACA34F"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377" w:type="pct"/>
          </w:tcPr>
          <w:p w14:paraId="1401E871"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502" w:type="pct"/>
          </w:tcPr>
          <w:p w14:paraId="283EE941"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829" w:type="pct"/>
            <w:shd w:val="clear" w:color="auto" w:fill="auto"/>
          </w:tcPr>
          <w:p w14:paraId="108730EB"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847" w:type="pct"/>
          </w:tcPr>
          <w:p w14:paraId="2D6C53BB"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298" w:type="pct"/>
            <w:shd w:val="clear" w:color="auto" w:fill="auto"/>
          </w:tcPr>
          <w:p w14:paraId="2FD4F4CB"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541" w:type="pct"/>
          </w:tcPr>
          <w:p w14:paraId="17BFCAA4"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615" w:type="pct"/>
          </w:tcPr>
          <w:p w14:paraId="33CDC694"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615" w:type="pct"/>
            <w:shd w:val="clear" w:color="auto" w:fill="auto"/>
          </w:tcPr>
          <w:p w14:paraId="7847DCCD" w14:textId="77777777" w:rsidR="00C223C3" w:rsidRPr="00C2573A" w:rsidRDefault="00C223C3" w:rsidP="00816A75">
            <w:pPr>
              <w:spacing w:after="200"/>
              <w:jc w:val="center"/>
              <w:rPr>
                <w:rFonts w:asciiTheme="minorHAnsi" w:hAnsiTheme="minorHAnsi"/>
                <w:b/>
                <w:color w:val="000000"/>
                <w:sz w:val="16"/>
                <w:szCs w:val="16"/>
                <w:lang w:val="en-GB"/>
              </w:rPr>
            </w:pPr>
          </w:p>
        </w:tc>
      </w:tr>
      <w:tr w:rsidR="00C223C3" w:rsidRPr="00F50542" w14:paraId="6B45F202" w14:textId="77777777" w:rsidTr="00816A75">
        <w:tc>
          <w:tcPr>
            <w:tcW w:w="376" w:type="pct"/>
          </w:tcPr>
          <w:p w14:paraId="1741E8D7"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377" w:type="pct"/>
          </w:tcPr>
          <w:p w14:paraId="568E4C75"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502" w:type="pct"/>
          </w:tcPr>
          <w:p w14:paraId="2C1801DE"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829" w:type="pct"/>
            <w:shd w:val="clear" w:color="auto" w:fill="auto"/>
          </w:tcPr>
          <w:p w14:paraId="300C6190"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847" w:type="pct"/>
          </w:tcPr>
          <w:p w14:paraId="6607A8D4"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298" w:type="pct"/>
            <w:shd w:val="clear" w:color="auto" w:fill="auto"/>
          </w:tcPr>
          <w:p w14:paraId="4EE4ACD9"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541" w:type="pct"/>
          </w:tcPr>
          <w:p w14:paraId="35C7E6E3"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615" w:type="pct"/>
          </w:tcPr>
          <w:p w14:paraId="50F15513"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615" w:type="pct"/>
            <w:shd w:val="clear" w:color="auto" w:fill="auto"/>
          </w:tcPr>
          <w:p w14:paraId="5559A619" w14:textId="77777777" w:rsidR="00C223C3" w:rsidRPr="00C2573A" w:rsidRDefault="00C223C3" w:rsidP="00816A75">
            <w:pPr>
              <w:spacing w:after="200"/>
              <w:jc w:val="center"/>
              <w:rPr>
                <w:rFonts w:asciiTheme="minorHAnsi" w:hAnsiTheme="minorHAnsi"/>
                <w:b/>
                <w:color w:val="000000"/>
                <w:sz w:val="16"/>
                <w:szCs w:val="16"/>
                <w:lang w:val="en-GB"/>
              </w:rPr>
            </w:pPr>
          </w:p>
        </w:tc>
      </w:tr>
      <w:tr w:rsidR="00C223C3" w:rsidRPr="00F50542" w14:paraId="32BDAA60" w14:textId="77777777" w:rsidTr="00816A75">
        <w:tc>
          <w:tcPr>
            <w:tcW w:w="376" w:type="pct"/>
          </w:tcPr>
          <w:p w14:paraId="75622A43"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377" w:type="pct"/>
          </w:tcPr>
          <w:p w14:paraId="51FC5023"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502" w:type="pct"/>
          </w:tcPr>
          <w:p w14:paraId="579B3C09"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829" w:type="pct"/>
            <w:shd w:val="clear" w:color="auto" w:fill="auto"/>
          </w:tcPr>
          <w:p w14:paraId="795AFFA1"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847" w:type="pct"/>
          </w:tcPr>
          <w:p w14:paraId="330DC5F1"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298" w:type="pct"/>
            <w:shd w:val="clear" w:color="auto" w:fill="auto"/>
          </w:tcPr>
          <w:p w14:paraId="326F6B2B"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541" w:type="pct"/>
          </w:tcPr>
          <w:p w14:paraId="776F286F"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615" w:type="pct"/>
          </w:tcPr>
          <w:p w14:paraId="7E6F2607"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615" w:type="pct"/>
            <w:shd w:val="clear" w:color="auto" w:fill="auto"/>
          </w:tcPr>
          <w:p w14:paraId="0912D68E" w14:textId="77777777" w:rsidR="00C223C3" w:rsidRPr="00C2573A" w:rsidRDefault="00C223C3" w:rsidP="00816A75">
            <w:pPr>
              <w:spacing w:after="200"/>
              <w:jc w:val="center"/>
              <w:rPr>
                <w:rFonts w:asciiTheme="minorHAnsi" w:hAnsiTheme="minorHAnsi"/>
                <w:b/>
                <w:color w:val="000000"/>
                <w:sz w:val="16"/>
                <w:szCs w:val="16"/>
                <w:lang w:val="en-GB"/>
              </w:rPr>
            </w:pPr>
          </w:p>
        </w:tc>
      </w:tr>
      <w:tr w:rsidR="00C223C3" w:rsidRPr="00F50542" w14:paraId="7B1CBFB6" w14:textId="77777777" w:rsidTr="00816A75">
        <w:tc>
          <w:tcPr>
            <w:tcW w:w="376" w:type="pct"/>
          </w:tcPr>
          <w:p w14:paraId="313E05D5" w14:textId="77777777" w:rsidR="00C223C3" w:rsidRPr="00C2573A" w:rsidRDefault="00C223C3" w:rsidP="00C2573A">
            <w:pPr>
              <w:spacing w:after="120" w:line="240" w:lineRule="auto"/>
              <w:ind w:left="0" w:right="0"/>
              <w:rPr>
                <w:rFonts w:asciiTheme="minorHAnsi" w:hAnsiTheme="minorHAnsi"/>
                <w:b/>
                <w:color w:val="000000"/>
                <w:sz w:val="16"/>
                <w:szCs w:val="16"/>
              </w:rPr>
            </w:pPr>
            <w:r>
              <w:rPr>
                <w:rFonts w:asciiTheme="minorHAnsi" w:hAnsiTheme="minorHAnsi"/>
                <w:b/>
                <w:color w:val="000000"/>
                <w:sz w:val="16"/>
              </w:rPr>
              <w:t>Całkowita pokryta kwota</w:t>
            </w:r>
          </w:p>
        </w:tc>
        <w:tc>
          <w:tcPr>
            <w:tcW w:w="377" w:type="pct"/>
          </w:tcPr>
          <w:p w14:paraId="337297DE"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502" w:type="pct"/>
          </w:tcPr>
          <w:p w14:paraId="4E38F12B"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829" w:type="pct"/>
            <w:shd w:val="clear" w:color="auto" w:fill="auto"/>
          </w:tcPr>
          <w:p w14:paraId="7988F06F"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847" w:type="pct"/>
          </w:tcPr>
          <w:p w14:paraId="157CCF28"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298" w:type="pct"/>
            <w:shd w:val="clear" w:color="auto" w:fill="auto"/>
          </w:tcPr>
          <w:p w14:paraId="7023FCAF"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541" w:type="pct"/>
          </w:tcPr>
          <w:p w14:paraId="2FA1A688"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615" w:type="pct"/>
          </w:tcPr>
          <w:p w14:paraId="677E8B0B"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c>
          <w:tcPr>
            <w:tcW w:w="615" w:type="pct"/>
            <w:shd w:val="clear" w:color="auto" w:fill="auto"/>
          </w:tcPr>
          <w:p w14:paraId="7CA90474" w14:textId="77777777" w:rsidR="00C223C3" w:rsidRPr="00C2573A" w:rsidRDefault="00C223C3" w:rsidP="00C2573A">
            <w:pPr>
              <w:spacing w:after="120" w:line="240" w:lineRule="auto"/>
              <w:ind w:left="0" w:right="0"/>
              <w:rPr>
                <w:rFonts w:asciiTheme="minorHAnsi" w:hAnsiTheme="minorHAnsi"/>
                <w:b/>
                <w:color w:val="000000"/>
                <w:sz w:val="16"/>
                <w:szCs w:val="16"/>
                <w:lang w:val="en-GB"/>
              </w:rPr>
            </w:pPr>
          </w:p>
        </w:tc>
      </w:tr>
    </w:tbl>
    <w:p w14:paraId="18F3A6C6" w14:textId="77777777" w:rsidR="00C223C3" w:rsidRPr="00F50542" w:rsidRDefault="00C223C3" w:rsidP="00C223C3">
      <w:pPr>
        <w:spacing w:after="240"/>
        <w:rPr>
          <w:b/>
          <w:noProof/>
          <w:sz w:val="22"/>
          <w:u w:val="single"/>
          <w:lang w:val="en-GB"/>
        </w:rPr>
      </w:pPr>
    </w:p>
    <w:p w14:paraId="5651C4EF" w14:textId="77777777" w:rsidR="00C223C3" w:rsidRPr="00F50542" w:rsidRDefault="00C223C3" w:rsidP="00C223C3">
      <w:pPr>
        <w:spacing w:after="200"/>
        <w:rPr>
          <w:b/>
          <w:noProof/>
          <w:sz w:val="22"/>
          <w:u w:val="single"/>
          <w:lang w:val="en-GB"/>
        </w:rPr>
        <w:sectPr w:rsidR="00C223C3" w:rsidRPr="00F50542">
          <w:headerReference w:type="even" r:id="rId52"/>
          <w:headerReference w:type="default" r:id="rId53"/>
          <w:footerReference w:type="even" r:id="rId54"/>
          <w:footerReference w:type="default" r:id="rId55"/>
          <w:headerReference w:type="first" r:id="rId56"/>
          <w:footerReference w:type="first" r:id="rId57"/>
          <w:pgSz w:w="16838" w:h="11906" w:orient="landscape"/>
          <w:pgMar w:top="1417" w:right="1417" w:bottom="1417" w:left="1417" w:header="708" w:footer="708" w:gutter="0"/>
          <w:cols w:space="708"/>
          <w:docGrid w:linePitch="360"/>
        </w:sectPr>
      </w:pPr>
    </w:p>
    <w:p w14:paraId="19FCD7D9" w14:textId="77777777" w:rsidR="00C223C3" w:rsidRPr="00C2573A" w:rsidRDefault="00C223C3" w:rsidP="00C2573A">
      <w:pPr>
        <w:spacing w:after="200"/>
        <w:ind w:right="-2" w:hanging="1418"/>
        <w:rPr>
          <w:rFonts w:asciiTheme="minorHAnsi" w:hAnsiTheme="minorHAnsi"/>
          <w:b/>
          <w:sz w:val="24"/>
        </w:rPr>
      </w:pPr>
      <w:r>
        <w:rPr>
          <w:rFonts w:asciiTheme="minorHAnsi" w:hAnsiTheme="minorHAnsi"/>
          <w:b/>
          <w:sz w:val="24"/>
        </w:rPr>
        <w:lastRenderedPageBreak/>
        <w:t>B. Szczegółowe dane według rodzaju operacji (uzupełnić dla każdego rodzaju operacji)</w:t>
      </w:r>
    </w:p>
    <w:p w14:paraId="13F15D34" w14:textId="77777777" w:rsidR="00C223C3" w:rsidRPr="00D80606" w:rsidRDefault="00C223C3" w:rsidP="00C2573A">
      <w:pPr>
        <w:spacing w:after="200"/>
        <w:ind w:left="0"/>
        <w:rPr>
          <w:rFonts w:asciiTheme="minorHAnsi" w:hAnsiTheme="minorHAnsi"/>
          <w:noProof/>
          <w:sz w:val="24"/>
          <w:szCs w:val="24"/>
        </w:rPr>
      </w:pPr>
      <w:r w:rsidRPr="00D80606">
        <w:rPr>
          <w:rFonts w:asciiTheme="minorHAnsi" w:hAnsiTheme="minorHAnsi"/>
          <w:sz w:val="24"/>
          <w:szCs w:val="24"/>
        </w:rPr>
        <w:t>Rodzaje operacji:</w:t>
      </w:r>
    </w:p>
    <w:tbl>
      <w:tblPr>
        <w:tblW w:w="5000" w:type="pct"/>
        <w:tblLook w:val="0000" w:firstRow="0" w:lastRow="0" w:firstColumn="0" w:lastColumn="0" w:noHBand="0" w:noVBand="0"/>
      </w:tblPr>
      <w:tblGrid>
        <w:gridCol w:w="6994"/>
        <w:gridCol w:w="853"/>
        <w:gridCol w:w="423"/>
        <w:gridCol w:w="501"/>
      </w:tblGrid>
      <w:tr w:rsidR="00C223C3" w:rsidRPr="00A557D8" w14:paraId="546FEEE8" w14:textId="77777777" w:rsidTr="00292EFC">
        <w:trPr>
          <w:trHeight w:val="300"/>
        </w:trPr>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913E4D" w14:textId="77777777" w:rsidR="00C223C3" w:rsidRPr="00C2573A" w:rsidRDefault="00C223C3" w:rsidP="00C2573A">
            <w:pPr>
              <w:spacing w:after="120" w:line="240" w:lineRule="auto"/>
              <w:ind w:left="0" w:right="0"/>
              <w:rPr>
                <w:rFonts w:asciiTheme="minorHAnsi" w:hAnsiTheme="minorHAnsi"/>
                <w:b/>
                <w:color w:val="000000"/>
                <w:sz w:val="18"/>
                <w:szCs w:val="16"/>
              </w:rPr>
            </w:pPr>
            <w:r>
              <w:rPr>
                <w:rFonts w:asciiTheme="minorHAnsi" w:hAnsiTheme="minorHAnsi"/>
                <w:b/>
                <w:color w:val="000000"/>
                <w:sz w:val="18"/>
              </w:rPr>
              <w:t xml:space="preserve">1.1. Opis rodzaju operacji </w:t>
            </w:r>
          </w:p>
        </w:tc>
        <w:tc>
          <w:tcPr>
            <w:tcW w:w="3256" w:type="pct"/>
            <w:gridSpan w:val="3"/>
            <w:tcBorders>
              <w:top w:val="single" w:sz="4" w:space="0" w:color="auto"/>
              <w:left w:val="single" w:sz="4" w:space="0" w:color="auto"/>
              <w:bottom w:val="single" w:sz="4" w:space="0" w:color="auto"/>
              <w:right w:val="single" w:sz="4" w:space="0" w:color="auto"/>
            </w:tcBorders>
            <w:vAlign w:val="center"/>
          </w:tcPr>
          <w:p w14:paraId="380FE278"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p>
        </w:tc>
      </w:tr>
      <w:tr w:rsidR="00C223C3" w:rsidRPr="00882A63" w14:paraId="2E784E6C" w14:textId="77777777" w:rsidTr="00292EFC">
        <w:trPr>
          <w:trHeight w:val="300"/>
        </w:trPr>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2D27E6" w14:textId="77777777" w:rsidR="00C223C3" w:rsidRPr="00C2573A" w:rsidRDefault="00C223C3" w:rsidP="00C2573A">
            <w:pPr>
              <w:spacing w:after="120" w:line="240" w:lineRule="auto"/>
              <w:ind w:left="0" w:right="0"/>
              <w:rPr>
                <w:rFonts w:asciiTheme="minorHAnsi" w:hAnsiTheme="minorHAnsi"/>
                <w:b/>
                <w:color w:val="000000"/>
                <w:sz w:val="18"/>
                <w:szCs w:val="16"/>
              </w:rPr>
            </w:pPr>
            <w:r>
              <w:rPr>
                <w:rFonts w:asciiTheme="minorHAnsi" w:hAnsiTheme="minorHAnsi"/>
                <w:b/>
                <w:color w:val="000000"/>
                <w:sz w:val="18"/>
              </w:rPr>
              <w:t>1.2 Odpowiedni(e) cel(e) szczegółowy(e)</w:t>
            </w:r>
          </w:p>
        </w:tc>
        <w:tc>
          <w:tcPr>
            <w:tcW w:w="3256" w:type="pct"/>
            <w:gridSpan w:val="3"/>
            <w:tcBorders>
              <w:top w:val="single" w:sz="4" w:space="0" w:color="auto"/>
              <w:left w:val="single" w:sz="4" w:space="0" w:color="auto"/>
              <w:bottom w:val="single" w:sz="4" w:space="0" w:color="auto"/>
              <w:right w:val="single" w:sz="4" w:space="0" w:color="auto"/>
            </w:tcBorders>
            <w:vAlign w:val="center"/>
          </w:tcPr>
          <w:p w14:paraId="106098CB" w14:textId="77777777" w:rsidR="00C223C3" w:rsidRPr="00680741" w:rsidRDefault="00C223C3" w:rsidP="00C2573A">
            <w:pPr>
              <w:spacing w:after="120" w:line="240" w:lineRule="auto"/>
              <w:ind w:left="0" w:right="0"/>
              <w:jc w:val="center"/>
              <w:rPr>
                <w:rFonts w:asciiTheme="minorHAnsi" w:hAnsiTheme="minorHAnsi"/>
                <w:b/>
                <w:color w:val="000000"/>
                <w:sz w:val="18"/>
                <w:szCs w:val="16"/>
              </w:rPr>
            </w:pPr>
          </w:p>
          <w:p w14:paraId="64D26F59" w14:textId="77777777" w:rsidR="00C223C3" w:rsidRPr="00680741" w:rsidRDefault="00C223C3" w:rsidP="00C2573A">
            <w:pPr>
              <w:spacing w:after="120" w:line="240" w:lineRule="auto"/>
              <w:ind w:left="0" w:right="0"/>
              <w:jc w:val="center"/>
              <w:rPr>
                <w:rFonts w:asciiTheme="minorHAnsi" w:hAnsiTheme="minorHAnsi"/>
                <w:b/>
                <w:color w:val="000000"/>
                <w:sz w:val="18"/>
                <w:szCs w:val="16"/>
              </w:rPr>
            </w:pPr>
          </w:p>
          <w:p w14:paraId="78068DBC" w14:textId="77777777" w:rsidR="00C223C3" w:rsidRPr="00680741" w:rsidRDefault="00C223C3" w:rsidP="00C2573A">
            <w:pPr>
              <w:spacing w:after="120" w:line="240" w:lineRule="auto"/>
              <w:ind w:left="0" w:right="0"/>
              <w:jc w:val="center"/>
              <w:rPr>
                <w:rFonts w:asciiTheme="minorHAnsi" w:hAnsiTheme="minorHAnsi"/>
                <w:b/>
                <w:color w:val="000000"/>
                <w:sz w:val="18"/>
                <w:szCs w:val="16"/>
              </w:rPr>
            </w:pPr>
          </w:p>
        </w:tc>
      </w:tr>
      <w:tr w:rsidR="00C223C3" w:rsidRPr="00A557D8" w14:paraId="6CC92289" w14:textId="77777777" w:rsidTr="00292EFC">
        <w:trPr>
          <w:trHeight w:val="300"/>
        </w:trPr>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655914" w14:textId="77777777" w:rsidR="00C223C3" w:rsidRPr="00C2573A" w:rsidRDefault="00C223C3" w:rsidP="00C2573A">
            <w:pPr>
              <w:spacing w:after="120" w:line="240" w:lineRule="auto"/>
              <w:ind w:left="0" w:right="0"/>
              <w:rPr>
                <w:rFonts w:asciiTheme="minorHAnsi" w:hAnsiTheme="minorHAnsi"/>
                <w:b/>
                <w:color w:val="000000"/>
                <w:sz w:val="18"/>
                <w:szCs w:val="16"/>
              </w:rPr>
            </w:pPr>
            <w:r>
              <w:rPr>
                <w:rFonts w:asciiTheme="minorHAnsi" w:hAnsiTheme="minorHAnsi"/>
                <w:b/>
                <w:color w:val="000000"/>
                <w:sz w:val="18"/>
              </w:rPr>
              <w:t xml:space="preserve">1.3 Warunki, które należy spełnić, lub wyniki, które należy osiągnąć </w:t>
            </w:r>
          </w:p>
        </w:tc>
        <w:tc>
          <w:tcPr>
            <w:tcW w:w="3256" w:type="pct"/>
            <w:gridSpan w:val="3"/>
            <w:tcBorders>
              <w:top w:val="single" w:sz="4" w:space="0" w:color="auto"/>
              <w:left w:val="single" w:sz="4" w:space="0" w:color="auto"/>
              <w:bottom w:val="single" w:sz="4" w:space="0" w:color="auto"/>
              <w:right w:val="single" w:sz="4" w:space="0" w:color="auto"/>
            </w:tcBorders>
            <w:vAlign w:val="center"/>
          </w:tcPr>
          <w:p w14:paraId="431737EC" w14:textId="77777777" w:rsidR="00C223C3" w:rsidRPr="00680741" w:rsidRDefault="00C223C3" w:rsidP="00C2573A">
            <w:pPr>
              <w:spacing w:after="120" w:line="240" w:lineRule="auto"/>
              <w:ind w:left="0" w:right="0"/>
              <w:jc w:val="center"/>
              <w:rPr>
                <w:rFonts w:asciiTheme="minorHAnsi" w:hAnsiTheme="minorHAnsi"/>
                <w:b/>
                <w:color w:val="000000"/>
                <w:sz w:val="18"/>
                <w:szCs w:val="16"/>
              </w:rPr>
            </w:pPr>
          </w:p>
        </w:tc>
      </w:tr>
      <w:tr w:rsidR="00C223C3" w:rsidRPr="00A557D8" w14:paraId="76FC0527" w14:textId="77777777" w:rsidTr="00292EFC">
        <w:trPr>
          <w:trHeight w:val="300"/>
        </w:trPr>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3EDEBF" w14:textId="77777777" w:rsidR="00C223C3" w:rsidRPr="00C2573A" w:rsidRDefault="00C223C3" w:rsidP="00C2573A">
            <w:pPr>
              <w:spacing w:after="120" w:line="240" w:lineRule="auto"/>
              <w:ind w:left="0" w:right="0"/>
              <w:rPr>
                <w:rFonts w:asciiTheme="minorHAnsi" w:hAnsiTheme="minorHAnsi"/>
                <w:b/>
                <w:color w:val="000000"/>
                <w:sz w:val="18"/>
                <w:szCs w:val="16"/>
              </w:rPr>
            </w:pPr>
            <w:r>
              <w:rPr>
                <w:rFonts w:asciiTheme="minorHAnsi" w:hAnsiTheme="minorHAnsi"/>
                <w:b/>
                <w:color w:val="000000"/>
                <w:sz w:val="18"/>
              </w:rPr>
              <w:t>1.4 Termin spełnienia warunków lub osiągnięcia wyników</w:t>
            </w:r>
          </w:p>
        </w:tc>
        <w:tc>
          <w:tcPr>
            <w:tcW w:w="3256" w:type="pct"/>
            <w:gridSpan w:val="3"/>
            <w:tcBorders>
              <w:top w:val="single" w:sz="4" w:space="0" w:color="auto"/>
              <w:left w:val="single" w:sz="4" w:space="0" w:color="auto"/>
              <w:bottom w:val="single" w:sz="4" w:space="0" w:color="auto"/>
              <w:right w:val="single" w:sz="4" w:space="0" w:color="auto"/>
            </w:tcBorders>
            <w:vAlign w:val="center"/>
          </w:tcPr>
          <w:p w14:paraId="35F444B1" w14:textId="77777777" w:rsidR="00C223C3" w:rsidRPr="00680741" w:rsidRDefault="00C223C3" w:rsidP="00C2573A">
            <w:pPr>
              <w:spacing w:after="120" w:line="240" w:lineRule="auto"/>
              <w:ind w:left="0" w:right="0"/>
              <w:jc w:val="center"/>
              <w:rPr>
                <w:rFonts w:asciiTheme="minorHAnsi" w:hAnsiTheme="minorHAnsi"/>
                <w:b/>
                <w:color w:val="000000"/>
                <w:sz w:val="18"/>
                <w:szCs w:val="16"/>
              </w:rPr>
            </w:pPr>
          </w:p>
        </w:tc>
      </w:tr>
      <w:tr w:rsidR="00C223C3" w:rsidRPr="00F50542" w14:paraId="4EE8D77E" w14:textId="77777777" w:rsidTr="00292EFC">
        <w:trPr>
          <w:trHeight w:val="300"/>
        </w:trPr>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D5E949E" w14:textId="77777777" w:rsidR="00C223C3" w:rsidRPr="00C2573A" w:rsidRDefault="00C223C3" w:rsidP="00C2573A">
            <w:pPr>
              <w:spacing w:after="120" w:line="240" w:lineRule="auto"/>
              <w:ind w:left="0" w:right="0"/>
              <w:rPr>
                <w:rFonts w:asciiTheme="minorHAnsi" w:hAnsiTheme="minorHAnsi"/>
                <w:b/>
                <w:color w:val="000000"/>
                <w:sz w:val="18"/>
                <w:szCs w:val="16"/>
              </w:rPr>
            </w:pPr>
            <w:r>
              <w:rPr>
                <w:rFonts w:asciiTheme="minorHAnsi" w:hAnsiTheme="minorHAnsi"/>
                <w:b/>
                <w:color w:val="000000"/>
                <w:sz w:val="18"/>
              </w:rPr>
              <w:t>1.5 Definicja wskaźnika rezultatów</w:t>
            </w:r>
          </w:p>
        </w:tc>
        <w:tc>
          <w:tcPr>
            <w:tcW w:w="3256" w:type="pct"/>
            <w:gridSpan w:val="3"/>
            <w:tcBorders>
              <w:top w:val="single" w:sz="4" w:space="0" w:color="auto"/>
              <w:left w:val="single" w:sz="4" w:space="0" w:color="auto"/>
              <w:bottom w:val="single" w:sz="4" w:space="0" w:color="auto"/>
              <w:right w:val="single" w:sz="4" w:space="0" w:color="auto"/>
            </w:tcBorders>
            <w:vAlign w:val="center"/>
          </w:tcPr>
          <w:p w14:paraId="70783727" w14:textId="77777777" w:rsidR="00C223C3" w:rsidRPr="00C2573A" w:rsidRDefault="00C223C3" w:rsidP="00C2573A">
            <w:pPr>
              <w:spacing w:after="120" w:line="240" w:lineRule="auto"/>
              <w:ind w:left="0" w:right="0"/>
              <w:rPr>
                <w:rFonts w:asciiTheme="minorHAnsi" w:hAnsiTheme="minorHAnsi"/>
                <w:b/>
                <w:color w:val="000000"/>
                <w:sz w:val="18"/>
                <w:szCs w:val="16"/>
                <w:lang w:val="en-GB"/>
              </w:rPr>
            </w:pPr>
          </w:p>
        </w:tc>
      </w:tr>
      <w:tr w:rsidR="00C223C3" w:rsidRPr="00A557D8" w14:paraId="031AA365" w14:textId="77777777" w:rsidTr="00292EFC">
        <w:trPr>
          <w:trHeight w:val="300"/>
        </w:trPr>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9FCE38" w14:textId="4C1815ED" w:rsidR="00C223C3" w:rsidRPr="00C2573A" w:rsidRDefault="00C223C3" w:rsidP="006C4A3C">
            <w:pPr>
              <w:spacing w:after="120" w:line="240" w:lineRule="auto"/>
              <w:ind w:left="0" w:right="0"/>
              <w:rPr>
                <w:rFonts w:asciiTheme="minorHAnsi" w:hAnsiTheme="minorHAnsi"/>
                <w:b/>
                <w:color w:val="000000"/>
                <w:sz w:val="18"/>
                <w:szCs w:val="16"/>
              </w:rPr>
            </w:pPr>
            <w:r>
              <w:rPr>
                <w:rFonts w:asciiTheme="minorHAnsi" w:hAnsiTheme="minorHAnsi"/>
                <w:b/>
                <w:color w:val="000000"/>
                <w:sz w:val="18"/>
              </w:rPr>
              <w:t>1.6 Jednostka miary dla wskaźnika rezultat</w:t>
            </w:r>
            <w:r w:rsidR="006C4A3C">
              <w:rPr>
                <w:rFonts w:asciiTheme="minorHAnsi" w:hAnsiTheme="minorHAnsi"/>
                <w:b/>
                <w:color w:val="000000"/>
                <w:sz w:val="18"/>
              </w:rPr>
              <w:t>ów</w:t>
            </w:r>
          </w:p>
        </w:tc>
        <w:tc>
          <w:tcPr>
            <w:tcW w:w="3256" w:type="pct"/>
            <w:gridSpan w:val="3"/>
            <w:tcBorders>
              <w:top w:val="single" w:sz="4" w:space="0" w:color="auto"/>
              <w:left w:val="single" w:sz="4" w:space="0" w:color="auto"/>
              <w:bottom w:val="single" w:sz="4" w:space="0" w:color="auto"/>
              <w:right w:val="single" w:sz="4" w:space="0" w:color="auto"/>
            </w:tcBorders>
            <w:vAlign w:val="center"/>
          </w:tcPr>
          <w:p w14:paraId="6EB72530" w14:textId="77777777" w:rsidR="00C223C3" w:rsidRPr="00680741" w:rsidRDefault="00C223C3" w:rsidP="00C2573A">
            <w:pPr>
              <w:spacing w:after="120" w:line="240" w:lineRule="auto"/>
              <w:ind w:left="0" w:right="0"/>
              <w:jc w:val="center"/>
              <w:rPr>
                <w:rFonts w:asciiTheme="minorHAnsi" w:hAnsiTheme="minorHAnsi"/>
                <w:b/>
                <w:color w:val="000000"/>
                <w:sz w:val="18"/>
                <w:szCs w:val="16"/>
              </w:rPr>
            </w:pPr>
          </w:p>
        </w:tc>
      </w:tr>
      <w:tr w:rsidR="00C223C3" w:rsidRPr="00F50542" w14:paraId="14FD67B4" w14:textId="77777777" w:rsidTr="00292EFC">
        <w:trPr>
          <w:trHeight w:val="360"/>
        </w:trPr>
        <w:tc>
          <w:tcPr>
            <w:tcW w:w="1744" w:type="pct"/>
            <w:vMerge w:val="restart"/>
            <w:tcBorders>
              <w:top w:val="single" w:sz="4" w:space="0" w:color="auto"/>
              <w:left w:val="single" w:sz="4" w:space="0" w:color="auto"/>
              <w:right w:val="single" w:sz="4" w:space="0" w:color="auto"/>
            </w:tcBorders>
            <w:shd w:val="clear" w:color="auto" w:fill="auto"/>
            <w:noWrap/>
            <w:vAlign w:val="center"/>
          </w:tcPr>
          <w:p w14:paraId="2FFAFE08" w14:textId="77777777" w:rsidR="00C223C3" w:rsidRPr="00C2573A" w:rsidRDefault="00C223C3" w:rsidP="00C2573A">
            <w:pPr>
              <w:spacing w:after="120" w:line="240" w:lineRule="auto"/>
              <w:ind w:left="0" w:right="0"/>
              <w:rPr>
                <w:rFonts w:asciiTheme="minorHAnsi" w:hAnsiTheme="minorHAnsi"/>
                <w:b/>
                <w:color w:val="000000"/>
                <w:sz w:val="18"/>
                <w:szCs w:val="16"/>
              </w:rPr>
            </w:pPr>
            <w:r>
              <w:rPr>
                <w:rFonts w:asciiTheme="minorHAnsi" w:hAnsiTheme="minorHAnsi"/>
                <w:b/>
                <w:color w:val="000000"/>
                <w:sz w:val="18"/>
              </w:rPr>
              <w:t>1.7 Rezultaty śródokresowe (jeżeli odpowiednie) stanowiące podstawę dla Komisji do dokonania zwrotu wraz z harmonogramem zwrotów kosztów</w:t>
            </w:r>
          </w:p>
        </w:tc>
        <w:tc>
          <w:tcPr>
            <w:tcW w:w="1628" w:type="pct"/>
            <w:tcBorders>
              <w:top w:val="single" w:sz="4" w:space="0" w:color="auto"/>
              <w:left w:val="single" w:sz="4" w:space="0" w:color="auto"/>
              <w:bottom w:val="single" w:sz="4" w:space="0" w:color="auto"/>
              <w:right w:val="single" w:sz="4" w:space="0" w:color="auto"/>
            </w:tcBorders>
            <w:vAlign w:val="center"/>
          </w:tcPr>
          <w:p w14:paraId="4AF0566B" w14:textId="77777777" w:rsidR="00C223C3" w:rsidRPr="00C2573A" w:rsidRDefault="00C223C3" w:rsidP="00C2573A">
            <w:pPr>
              <w:spacing w:after="120" w:line="240" w:lineRule="auto"/>
              <w:ind w:left="0" w:right="0"/>
              <w:jc w:val="center"/>
              <w:rPr>
                <w:rFonts w:asciiTheme="minorHAnsi" w:hAnsiTheme="minorHAnsi"/>
                <w:b/>
                <w:color w:val="000000"/>
                <w:sz w:val="18"/>
                <w:szCs w:val="16"/>
              </w:rPr>
            </w:pPr>
            <w:r>
              <w:rPr>
                <w:rFonts w:asciiTheme="minorHAnsi" w:hAnsiTheme="minorHAnsi"/>
                <w:b/>
                <w:color w:val="000000"/>
                <w:sz w:val="18"/>
              </w:rPr>
              <w:t xml:space="preserve">Rezultaty śródokresowe </w:t>
            </w:r>
          </w:p>
        </w:tc>
        <w:tc>
          <w:tcPr>
            <w:tcW w:w="814" w:type="pct"/>
            <w:tcBorders>
              <w:top w:val="single" w:sz="4" w:space="0" w:color="auto"/>
              <w:left w:val="single" w:sz="4" w:space="0" w:color="auto"/>
              <w:bottom w:val="single" w:sz="4" w:space="0" w:color="auto"/>
              <w:right w:val="single" w:sz="4" w:space="0" w:color="auto"/>
            </w:tcBorders>
            <w:vAlign w:val="center"/>
          </w:tcPr>
          <w:p w14:paraId="01302BBB" w14:textId="77777777" w:rsidR="00C223C3" w:rsidRPr="00C2573A" w:rsidRDefault="00C223C3" w:rsidP="00C2573A">
            <w:pPr>
              <w:spacing w:after="120" w:line="240" w:lineRule="auto"/>
              <w:ind w:left="0" w:right="0"/>
              <w:jc w:val="center"/>
              <w:rPr>
                <w:rFonts w:asciiTheme="minorHAnsi" w:hAnsiTheme="minorHAnsi"/>
                <w:b/>
                <w:color w:val="000000"/>
                <w:sz w:val="18"/>
                <w:szCs w:val="16"/>
              </w:rPr>
            </w:pPr>
            <w:r>
              <w:rPr>
                <w:rFonts w:asciiTheme="minorHAnsi" w:hAnsiTheme="minorHAnsi"/>
                <w:b/>
                <w:color w:val="000000"/>
                <w:sz w:val="18"/>
              </w:rPr>
              <w:t>Data</w:t>
            </w:r>
          </w:p>
        </w:tc>
        <w:tc>
          <w:tcPr>
            <w:tcW w:w="814" w:type="pct"/>
            <w:tcBorders>
              <w:top w:val="single" w:sz="4" w:space="0" w:color="auto"/>
              <w:left w:val="single" w:sz="4" w:space="0" w:color="auto"/>
              <w:bottom w:val="single" w:sz="4" w:space="0" w:color="auto"/>
              <w:right w:val="single" w:sz="4" w:space="0" w:color="auto"/>
            </w:tcBorders>
            <w:vAlign w:val="center"/>
          </w:tcPr>
          <w:p w14:paraId="300A44C8" w14:textId="77777777" w:rsidR="00C223C3" w:rsidRPr="00C2573A" w:rsidRDefault="00C223C3" w:rsidP="00C2573A">
            <w:pPr>
              <w:spacing w:after="120" w:line="240" w:lineRule="auto"/>
              <w:ind w:left="0" w:right="0"/>
              <w:jc w:val="center"/>
              <w:rPr>
                <w:rFonts w:asciiTheme="minorHAnsi" w:hAnsiTheme="minorHAnsi"/>
                <w:b/>
                <w:color w:val="000000"/>
                <w:sz w:val="18"/>
                <w:szCs w:val="16"/>
              </w:rPr>
            </w:pPr>
            <w:r>
              <w:rPr>
                <w:rFonts w:asciiTheme="minorHAnsi" w:hAnsiTheme="minorHAnsi"/>
                <w:b/>
                <w:color w:val="000000"/>
                <w:sz w:val="18"/>
              </w:rPr>
              <w:t>Kwoty</w:t>
            </w:r>
          </w:p>
        </w:tc>
      </w:tr>
      <w:tr w:rsidR="00C223C3" w:rsidRPr="00F50542" w14:paraId="2A49404E" w14:textId="77777777" w:rsidTr="00292EFC">
        <w:trPr>
          <w:trHeight w:val="360"/>
        </w:trPr>
        <w:tc>
          <w:tcPr>
            <w:tcW w:w="1744" w:type="pct"/>
            <w:vMerge/>
            <w:tcBorders>
              <w:left w:val="single" w:sz="4" w:space="0" w:color="auto"/>
              <w:right w:val="single" w:sz="4" w:space="0" w:color="auto"/>
            </w:tcBorders>
            <w:shd w:val="clear" w:color="auto" w:fill="auto"/>
            <w:noWrap/>
            <w:vAlign w:val="center"/>
          </w:tcPr>
          <w:p w14:paraId="58802876" w14:textId="77777777" w:rsidR="00C223C3" w:rsidRPr="00C2573A" w:rsidRDefault="00C223C3" w:rsidP="00C2573A">
            <w:pPr>
              <w:spacing w:after="120" w:line="240" w:lineRule="auto"/>
              <w:ind w:left="0" w:right="0"/>
              <w:rPr>
                <w:rFonts w:asciiTheme="minorHAnsi" w:hAnsiTheme="minorHAnsi"/>
                <w:b/>
                <w:color w:val="000000"/>
                <w:sz w:val="18"/>
                <w:szCs w:val="16"/>
                <w:lang w:val="en-GB"/>
              </w:rPr>
            </w:pPr>
          </w:p>
        </w:tc>
        <w:tc>
          <w:tcPr>
            <w:tcW w:w="1628" w:type="pct"/>
            <w:tcBorders>
              <w:top w:val="single" w:sz="4" w:space="0" w:color="auto"/>
              <w:left w:val="single" w:sz="4" w:space="0" w:color="auto"/>
              <w:bottom w:val="single" w:sz="4" w:space="0" w:color="auto"/>
              <w:right w:val="single" w:sz="4" w:space="0" w:color="auto"/>
            </w:tcBorders>
            <w:vAlign w:val="center"/>
          </w:tcPr>
          <w:p w14:paraId="479D24AD"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p>
        </w:tc>
        <w:tc>
          <w:tcPr>
            <w:tcW w:w="814" w:type="pct"/>
            <w:tcBorders>
              <w:top w:val="single" w:sz="4" w:space="0" w:color="auto"/>
              <w:left w:val="single" w:sz="4" w:space="0" w:color="auto"/>
              <w:bottom w:val="single" w:sz="4" w:space="0" w:color="auto"/>
              <w:right w:val="single" w:sz="4" w:space="0" w:color="auto"/>
            </w:tcBorders>
            <w:vAlign w:val="center"/>
          </w:tcPr>
          <w:p w14:paraId="7294CEEC"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p>
        </w:tc>
        <w:tc>
          <w:tcPr>
            <w:tcW w:w="814" w:type="pct"/>
            <w:tcBorders>
              <w:top w:val="single" w:sz="4" w:space="0" w:color="auto"/>
              <w:left w:val="single" w:sz="4" w:space="0" w:color="auto"/>
              <w:bottom w:val="single" w:sz="4" w:space="0" w:color="auto"/>
              <w:right w:val="single" w:sz="4" w:space="0" w:color="auto"/>
            </w:tcBorders>
            <w:vAlign w:val="center"/>
          </w:tcPr>
          <w:p w14:paraId="51D317EA"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p>
        </w:tc>
      </w:tr>
      <w:tr w:rsidR="00C223C3" w:rsidRPr="00F50542" w14:paraId="776BA3D2" w14:textId="77777777" w:rsidTr="00292EFC">
        <w:trPr>
          <w:trHeight w:val="360"/>
        </w:trPr>
        <w:tc>
          <w:tcPr>
            <w:tcW w:w="1744" w:type="pct"/>
            <w:vMerge/>
            <w:tcBorders>
              <w:left w:val="single" w:sz="4" w:space="0" w:color="auto"/>
              <w:bottom w:val="single" w:sz="4" w:space="0" w:color="auto"/>
              <w:right w:val="single" w:sz="4" w:space="0" w:color="auto"/>
            </w:tcBorders>
            <w:shd w:val="clear" w:color="auto" w:fill="auto"/>
            <w:noWrap/>
            <w:vAlign w:val="center"/>
          </w:tcPr>
          <w:p w14:paraId="5734B113" w14:textId="77777777" w:rsidR="00C223C3" w:rsidRPr="00C2573A" w:rsidRDefault="00C223C3" w:rsidP="00C2573A">
            <w:pPr>
              <w:spacing w:after="120" w:line="240" w:lineRule="auto"/>
              <w:ind w:left="0" w:right="0"/>
              <w:rPr>
                <w:rFonts w:asciiTheme="minorHAnsi" w:hAnsiTheme="minorHAnsi"/>
                <w:b/>
                <w:color w:val="000000"/>
                <w:sz w:val="18"/>
                <w:szCs w:val="16"/>
                <w:lang w:val="en-GB"/>
              </w:rPr>
            </w:pPr>
          </w:p>
        </w:tc>
        <w:tc>
          <w:tcPr>
            <w:tcW w:w="1628" w:type="pct"/>
            <w:tcBorders>
              <w:top w:val="single" w:sz="4" w:space="0" w:color="auto"/>
              <w:left w:val="single" w:sz="4" w:space="0" w:color="auto"/>
              <w:bottom w:val="single" w:sz="4" w:space="0" w:color="auto"/>
              <w:right w:val="single" w:sz="4" w:space="0" w:color="auto"/>
            </w:tcBorders>
            <w:vAlign w:val="center"/>
          </w:tcPr>
          <w:p w14:paraId="1B79FD59"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p>
        </w:tc>
        <w:tc>
          <w:tcPr>
            <w:tcW w:w="814" w:type="pct"/>
            <w:tcBorders>
              <w:top w:val="single" w:sz="4" w:space="0" w:color="auto"/>
              <w:left w:val="single" w:sz="4" w:space="0" w:color="auto"/>
              <w:bottom w:val="single" w:sz="4" w:space="0" w:color="auto"/>
              <w:right w:val="single" w:sz="4" w:space="0" w:color="auto"/>
            </w:tcBorders>
            <w:vAlign w:val="center"/>
          </w:tcPr>
          <w:p w14:paraId="31F8F1D6"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p>
        </w:tc>
        <w:tc>
          <w:tcPr>
            <w:tcW w:w="814" w:type="pct"/>
            <w:tcBorders>
              <w:top w:val="single" w:sz="4" w:space="0" w:color="auto"/>
              <w:left w:val="single" w:sz="4" w:space="0" w:color="auto"/>
              <w:bottom w:val="single" w:sz="4" w:space="0" w:color="auto"/>
              <w:right w:val="single" w:sz="4" w:space="0" w:color="auto"/>
            </w:tcBorders>
            <w:vAlign w:val="center"/>
          </w:tcPr>
          <w:p w14:paraId="3662628E"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p>
        </w:tc>
      </w:tr>
      <w:tr w:rsidR="00C223C3" w:rsidRPr="00A557D8" w14:paraId="5DA83CCD" w14:textId="77777777" w:rsidTr="00292EFC">
        <w:trPr>
          <w:trHeight w:val="300"/>
        </w:trPr>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789F01" w14:textId="77777777" w:rsidR="00C223C3" w:rsidRPr="00C2573A" w:rsidRDefault="00C223C3" w:rsidP="00C2573A">
            <w:pPr>
              <w:spacing w:after="120" w:line="240" w:lineRule="auto"/>
              <w:ind w:left="0" w:right="0"/>
              <w:rPr>
                <w:rFonts w:asciiTheme="minorHAnsi" w:hAnsiTheme="minorHAnsi"/>
                <w:b/>
                <w:color w:val="000000"/>
                <w:sz w:val="18"/>
                <w:szCs w:val="16"/>
              </w:rPr>
            </w:pPr>
            <w:r>
              <w:rPr>
                <w:rFonts w:asciiTheme="minorHAnsi" w:hAnsiTheme="minorHAnsi"/>
                <w:b/>
                <w:color w:val="000000"/>
                <w:sz w:val="18"/>
              </w:rPr>
              <w:t>1.8 Całkowita kwota (w tym środki finansowe UE i krajowe)</w:t>
            </w:r>
          </w:p>
        </w:tc>
        <w:tc>
          <w:tcPr>
            <w:tcW w:w="3256" w:type="pct"/>
            <w:gridSpan w:val="3"/>
            <w:tcBorders>
              <w:top w:val="single" w:sz="4" w:space="0" w:color="auto"/>
              <w:left w:val="single" w:sz="4" w:space="0" w:color="auto"/>
              <w:bottom w:val="single" w:sz="4" w:space="0" w:color="auto"/>
              <w:right w:val="single" w:sz="4" w:space="0" w:color="auto"/>
            </w:tcBorders>
            <w:vAlign w:val="center"/>
          </w:tcPr>
          <w:p w14:paraId="6978E2F8" w14:textId="77777777" w:rsidR="00C223C3" w:rsidRPr="00680741" w:rsidRDefault="00C223C3" w:rsidP="00C2573A">
            <w:pPr>
              <w:spacing w:after="120" w:line="240" w:lineRule="auto"/>
              <w:ind w:left="0" w:right="0"/>
              <w:jc w:val="center"/>
              <w:rPr>
                <w:rFonts w:asciiTheme="minorHAnsi" w:hAnsiTheme="minorHAnsi"/>
                <w:b/>
                <w:color w:val="000000"/>
                <w:sz w:val="18"/>
                <w:szCs w:val="16"/>
              </w:rPr>
            </w:pPr>
          </w:p>
        </w:tc>
      </w:tr>
      <w:tr w:rsidR="00C223C3" w:rsidRPr="00F50542" w14:paraId="30A69CCF" w14:textId="77777777" w:rsidTr="00292EFC">
        <w:trPr>
          <w:trHeight w:val="300"/>
        </w:trPr>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317637" w14:textId="77777777" w:rsidR="00C223C3" w:rsidRPr="00C2573A" w:rsidRDefault="00C223C3" w:rsidP="00C2573A">
            <w:pPr>
              <w:spacing w:after="120" w:line="240" w:lineRule="auto"/>
              <w:ind w:left="0" w:right="0"/>
              <w:rPr>
                <w:rFonts w:asciiTheme="minorHAnsi" w:hAnsiTheme="minorHAnsi"/>
                <w:b/>
                <w:color w:val="000000"/>
                <w:sz w:val="18"/>
                <w:szCs w:val="16"/>
              </w:rPr>
            </w:pPr>
            <w:r>
              <w:rPr>
                <w:rFonts w:asciiTheme="minorHAnsi" w:hAnsiTheme="minorHAnsi"/>
                <w:b/>
                <w:color w:val="000000"/>
                <w:sz w:val="18"/>
              </w:rPr>
              <w:t>1.9 Metoda korygowania</w:t>
            </w:r>
          </w:p>
        </w:tc>
        <w:tc>
          <w:tcPr>
            <w:tcW w:w="3256" w:type="pct"/>
            <w:gridSpan w:val="3"/>
            <w:tcBorders>
              <w:top w:val="single" w:sz="4" w:space="0" w:color="auto"/>
              <w:left w:val="single" w:sz="4" w:space="0" w:color="auto"/>
              <w:bottom w:val="single" w:sz="4" w:space="0" w:color="auto"/>
              <w:right w:val="single" w:sz="4" w:space="0" w:color="auto"/>
            </w:tcBorders>
            <w:vAlign w:val="center"/>
          </w:tcPr>
          <w:p w14:paraId="7690EB7A"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p>
        </w:tc>
      </w:tr>
      <w:tr w:rsidR="00C223C3" w:rsidRPr="00A557D8" w14:paraId="279683E6" w14:textId="77777777" w:rsidTr="00292EFC">
        <w:trPr>
          <w:trHeight w:val="300"/>
        </w:trPr>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DA83D9" w14:textId="77777777" w:rsidR="00C223C3" w:rsidRPr="00C2573A" w:rsidRDefault="00C223C3" w:rsidP="00C2573A">
            <w:pPr>
              <w:spacing w:after="120" w:line="240" w:lineRule="auto"/>
              <w:ind w:left="0" w:right="0"/>
              <w:rPr>
                <w:rFonts w:asciiTheme="minorHAnsi" w:hAnsiTheme="minorHAnsi"/>
                <w:b/>
                <w:color w:val="000000"/>
                <w:sz w:val="18"/>
                <w:szCs w:val="16"/>
              </w:rPr>
            </w:pPr>
            <w:r>
              <w:rPr>
                <w:rFonts w:asciiTheme="minorHAnsi" w:hAnsiTheme="minorHAnsi"/>
                <w:b/>
                <w:color w:val="000000"/>
                <w:sz w:val="18"/>
              </w:rPr>
              <w:t>1.10  Weryfikacja osiągnięcia wyniku lub warunku (lub odpowiednio rezultatów śródokresowych)</w:t>
            </w:r>
          </w:p>
          <w:p w14:paraId="1400DCB9" w14:textId="77777777" w:rsidR="00C223C3" w:rsidRPr="00C2573A" w:rsidRDefault="00C223C3" w:rsidP="00C2573A">
            <w:pPr>
              <w:spacing w:after="120" w:line="240" w:lineRule="auto"/>
              <w:ind w:left="0" w:right="0"/>
              <w:rPr>
                <w:rFonts w:asciiTheme="minorHAnsi" w:hAnsiTheme="minorHAnsi"/>
                <w:b/>
                <w:color w:val="000000"/>
                <w:sz w:val="18"/>
                <w:szCs w:val="16"/>
              </w:rPr>
            </w:pPr>
            <w:r>
              <w:rPr>
                <w:rFonts w:asciiTheme="minorHAnsi" w:hAnsiTheme="minorHAnsi"/>
                <w:b/>
                <w:color w:val="000000"/>
                <w:sz w:val="18"/>
              </w:rPr>
              <w:t>- Określić dokument(y), które zostaną wykorzystane w celu weryfikacji osiągnięcia wyniku lub spełnienia warunku.</w:t>
            </w:r>
          </w:p>
          <w:p w14:paraId="0020643A" w14:textId="77777777" w:rsidR="00C223C3" w:rsidRPr="00C2573A" w:rsidRDefault="00C223C3" w:rsidP="00C2573A">
            <w:pPr>
              <w:spacing w:after="120" w:line="240" w:lineRule="auto"/>
              <w:ind w:left="0" w:right="0"/>
              <w:rPr>
                <w:rFonts w:asciiTheme="minorHAnsi" w:hAnsiTheme="minorHAnsi"/>
                <w:b/>
                <w:color w:val="000000"/>
                <w:sz w:val="18"/>
                <w:szCs w:val="16"/>
              </w:rPr>
            </w:pPr>
            <w:r>
              <w:rPr>
                <w:rFonts w:asciiTheme="minorHAnsi" w:hAnsiTheme="minorHAnsi"/>
                <w:b/>
                <w:color w:val="000000"/>
                <w:sz w:val="18"/>
              </w:rPr>
              <w:t>- Określić zakres podlegający kontroli w trakcie weryfikacji zarządczych (w tym na miejscu) i osoby odpowiedzialne.</w:t>
            </w:r>
          </w:p>
          <w:p w14:paraId="75B1C654" w14:textId="77777777" w:rsidR="00C223C3" w:rsidRPr="00C2573A" w:rsidRDefault="00C223C3" w:rsidP="00C2573A">
            <w:pPr>
              <w:spacing w:after="120" w:line="240" w:lineRule="auto"/>
              <w:ind w:left="0" w:right="0"/>
              <w:rPr>
                <w:rFonts w:asciiTheme="minorHAnsi" w:hAnsiTheme="minorHAnsi"/>
                <w:b/>
                <w:color w:val="000000"/>
                <w:sz w:val="18"/>
                <w:szCs w:val="16"/>
              </w:rPr>
            </w:pPr>
            <w:r>
              <w:rPr>
                <w:rFonts w:asciiTheme="minorHAnsi" w:hAnsiTheme="minorHAnsi"/>
                <w:b/>
                <w:color w:val="000000"/>
                <w:sz w:val="18"/>
              </w:rPr>
              <w:t xml:space="preserve">- Opisać działania organizacyjne, jakie zostaną podjęte w celu gromadzenia i przechowywania danych/dokumentów.  </w:t>
            </w:r>
          </w:p>
        </w:tc>
        <w:tc>
          <w:tcPr>
            <w:tcW w:w="3256" w:type="pct"/>
            <w:gridSpan w:val="3"/>
            <w:tcBorders>
              <w:top w:val="single" w:sz="4" w:space="0" w:color="auto"/>
              <w:left w:val="single" w:sz="4" w:space="0" w:color="auto"/>
              <w:bottom w:val="single" w:sz="4" w:space="0" w:color="auto"/>
              <w:right w:val="single" w:sz="4" w:space="0" w:color="auto"/>
            </w:tcBorders>
            <w:vAlign w:val="center"/>
          </w:tcPr>
          <w:p w14:paraId="40128CBD" w14:textId="77777777" w:rsidR="00C223C3" w:rsidRPr="00680741" w:rsidRDefault="00C223C3" w:rsidP="00C2573A">
            <w:pPr>
              <w:spacing w:after="120" w:line="240" w:lineRule="auto"/>
              <w:ind w:left="0" w:right="0"/>
              <w:jc w:val="center"/>
              <w:rPr>
                <w:rFonts w:asciiTheme="minorHAnsi" w:hAnsiTheme="minorHAnsi"/>
                <w:b/>
                <w:color w:val="000000"/>
                <w:sz w:val="18"/>
                <w:szCs w:val="16"/>
              </w:rPr>
            </w:pPr>
          </w:p>
          <w:p w14:paraId="22ADF911" w14:textId="77777777" w:rsidR="00C223C3" w:rsidRPr="00680741" w:rsidRDefault="00C223C3" w:rsidP="00C2573A">
            <w:pPr>
              <w:spacing w:after="120" w:line="240" w:lineRule="auto"/>
              <w:ind w:left="0" w:right="0"/>
              <w:jc w:val="center"/>
              <w:rPr>
                <w:rFonts w:asciiTheme="minorHAnsi" w:hAnsiTheme="minorHAnsi"/>
                <w:b/>
                <w:color w:val="000000"/>
                <w:sz w:val="18"/>
                <w:szCs w:val="16"/>
              </w:rPr>
            </w:pPr>
          </w:p>
          <w:p w14:paraId="0738C2D1" w14:textId="77777777" w:rsidR="00C223C3" w:rsidRPr="00680741" w:rsidRDefault="00C223C3" w:rsidP="00C2573A">
            <w:pPr>
              <w:spacing w:after="120" w:line="240" w:lineRule="auto"/>
              <w:ind w:left="0" w:right="0"/>
              <w:jc w:val="center"/>
              <w:rPr>
                <w:rFonts w:asciiTheme="minorHAnsi" w:hAnsiTheme="minorHAnsi"/>
                <w:b/>
                <w:color w:val="000000"/>
                <w:sz w:val="18"/>
                <w:szCs w:val="16"/>
              </w:rPr>
            </w:pPr>
          </w:p>
        </w:tc>
      </w:tr>
      <w:tr w:rsidR="00C223C3" w:rsidRPr="00C2573A" w14:paraId="4B6DFCC7" w14:textId="77777777" w:rsidTr="00292EFC">
        <w:trPr>
          <w:trHeight w:val="300"/>
        </w:trPr>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4EDC54" w14:textId="77777777" w:rsidR="00C223C3" w:rsidRPr="00C2573A" w:rsidRDefault="00C223C3" w:rsidP="00C2573A">
            <w:pPr>
              <w:spacing w:after="120" w:line="240" w:lineRule="auto"/>
              <w:ind w:left="0" w:right="0"/>
              <w:rPr>
                <w:rFonts w:asciiTheme="minorHAnsi" w:hAnsiTheme="minorHAnsi"/>
                <w:b/>
                <w:color w:val="000000"/>
                <w:sz w:val="18"/>
                <w:szCs w:val="16"/>
              </w:rPr>
            </w:pPr>
            <w:r>
              <w:rPr>
                <w:rFonts w:asciiTheme="minorHAnsi" w:hAnsiTheme="minorHAnsi"/>
                <w:b/>
                <w:color w:val="000000"/>
                <w:sz w:val="18"/>
              </w:rPr>
              <w:t>1.10a Czy dotacja przyznawana beneficjentom przez państwo członkowskie ma formę finansowania, z wyłączeniem kosztów? [T/N]</w:t>
            </w:r>
            <w:r w:rsidRPr="00C2573A">
              <w:rPr>
                <w:rFonts w:asciiTheme="minorHAnsi" w:hAnsiTheme="minorHAnsi"/>
                <w:color w:val="000000"/>
                <w:sz w:val="18"/>
                <w:szCs w:val="16"/>
                <w:vertAlign w:val="superscript"/>
                <w:lang w:val="en-GB"/>
              </w:rPr>
              <w:footnoteReference w:id="20"/>
            </w:r>
          </w:p>
        </w:tc>
        <w:tc>
          <w:tcPr>
            <w:tcW w:w="3256" w:type="pct"/>
            <w:gridSpan w:val="3"/>
            <w:tcBorders>
              <w:top w:val="single" w:sz="4" w:space="0" w:color="auto"/>
              <w:left w:val="single" w:sz="4" w:space="0" w:color="auto"/>
              <w:bottom w:val="single" w:sz="4" w:space="0" w:color="auto"/>
              <w:right w:val="single" w:sz="4" w:space="0" w:color="auto"/>
            </w:tcBorders>
            <w:vAlign w:val="center"/>
          </w:tcPr>
          <w:p w14:paraId="7067712F" w14:textId="77777777" w:rsidR="00C223C3" w:rsidRPr="00C2573A" w:rsidRDefault="00C223C3" w:rsidP="00C2573A">
            <w:pPr>
              <w:spacing w:after="120" w:line="240" w:lineRule="auto"/>
              <w:ind w:left="0" w:right="0"/>
              <w:jc w:val="center"/>
              <w:rPr>
                <w:rFonts w:asciiTheme="minorHAnsi" w:hAnsiTheme="minorHAnsi"/>
                <w:b/>
                <w:color w:val="000000"/>
                <w:sz w:val="18"/>
                <w:szCs w:val="16"/>
                <w:lang w:val="en-GB"/>
              </w:rPr>
            </w:pPr>
          </w:p>
        </w:tc>
      </w:tr>
      <w:tr w:rsidR="00C223C3" w:rsidRPr="00A557D8" w14:paraId="54C5F13E" w14:textId="77777777" w:rsidTr="00292EFC">
        <w:trPr>
          <w:trHeight w:val="300"/>
        </w:trPr>
        <w:tc>
          <w:tcPr>
            <w:tcW w:w="174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873CED" w14:textId="77777777" w:rsidR="00C223C3" w:rsidRPr="00C2573A" w:rsidRDefault="00C223C3" w:rsidP="00C2573A">
            <w:pPr>
              <w:spacing w:after="120" w:line="240" w:lineRule="auto"/>
              <w:ind w:left="0" w:right="0"/>
              <w:rPr>
                <w:rFonts w:asciiTheme="minorHAnsi" w:hAnsiTheme="minorHAnsi"/>
                <w:b/>
                <w:color w:val="000000"/>
                <w:sz w:val="18"/>
                <w:szCs w:val="16"/>
              </w:rPr>
            </w:pPr>
            <w:r>
              <w:rPr>
                <w:rFonts w:asciiTheme="minorHAnsi" w:hAnsiTheme="minorHAnsi"/>
                <w:b/>
                <w:color w:val="000000"/>
                <w:sz w:val="18"/>
              </w:rPr>
              <w:t xml:space="preserve">1.11 Działania organizacyjne w celu zapewnienia ścieżki audytu </w:t>
            </w:r>
          </w:p>
          <w:p w14:paraId="403939BF" w14:textId="77777777" w:rsidR="00C223C3" w:rsidRPr="00C2573A" w:rsidRDefault="00C223C3" w:rsidP="00C2573A">
            <w:pPr>
              <w:spacing w:after="120" w:line="240" w:lineRule="auto"/>
              <w:ind w:left="0" w:right="0"/>
              <w:rPr>
                <w:rFonts w:asciiTheme="minorHAnsi" w:hAnsiTheme="minorHAnsi"/>
                <w:b/>
                <w:color w:val="000000"/>
                <w:sz w:val="18"/>
                <w:szCs w:val="16"/>
              </w:rPr>
            </w:pPr>
            <w:r>
              <w:rPr>
                <w:rFonts w:asciiTheme="minorHAnsi" w:hAnsiTheme="minorHAnsi"/>
                <w:b/>
                <w:color w:val="000000"/>
                <w:sz w:val="18"/>
              </w:rPr>
              <w:t>Wymienić organ/organy odpowiedzialne za takie działania</w:t>
            </w:r>
          </w:p>
        </w:tc>
        <w:tc>
          <w:tcPr>
            <w:tcW w:w="3256" w:type="pct"/>
            <w:gridSpan w:val="3"/>
            <w:tcBorders>
              <w:top w:val="single" w:sz="4" w:space="0" w:color="auto"/>
              <w:left w:val="single" w:sz="4" w:space="0" w:color="auto"/>
              <w:bottom w:val="single" w:sz="4" w:space="0" w:color="auto"/>
              <w:right w:val="single" w:sz="4" w:space="0" w:color="auto"/>
            </w:tcBorders>
            <w:vAlign w:val="center"/>
          </w:tcPr>
          <w:p w14:paraId="6E693292" w14:textId="77777777" w:rsidR="00C223C3" w:rsidRPr="00680741" w:rsidRDefault="00C223C3" w:rsidP="00C2573A">
            <w:pPr>
              <w:spacing w:after="120" w:line="240" w:lineRule="auto"/>
              <w:ind w:left="0" w:right="0"/>
              <w:jc w:val="center"/>
              <w:rPr>
                <w:rFonts w:asciiTheme="minorHAnsi" w:hAnsiTheme="minorHAnsi"/>
                <w:b/>
                <w:color w:val="000000"/>
                <w:sz w:val="18"/>
                <w:szCs w:val="16"/>
              </w:rPr>
            </w:pPr>
          </w:p>
        </w:tc>
      </w:tr>
    </w:tbl>
    <w:p w14:paraId="48C4A812" w14:textId="77777777" w:rsidR="00C223C3" w:rsidRPr="00680741" w:rsidRDefault="00C223C3" w:rsidP="00C223C3"/>
    <w:p w14:paraId="3B709E7E" w14:textId="77777777" w:rsidR="00C223C3" w:rsidRPr="00C2573A" w:rsidRDefault="00C223C3" w:rsidP="00C2573A">
      <w:pPr>
        <w:spacing w:after="200"/>
        <w:ind w:right="-2" w:hanging="1418"/>
        <w:rPr>
          <w:rFonts w:asciiTheme="minorHAnsi" w:hAnsiTheme="minorHAnsi"/>
          <w:b/>
          <w:sz w:val="24"/>
        </w:rPr>
      </w:pPr>
      <w:r>
        <w:rPr>
          <w:rFonts w:asciiTheme="minorHAnsi" w:hAnsiTheme="minorHAnsi"/>
          <w:b/>
          <w:sz w:val="24"/>
        </w:rPr>
        <w:t xml:space="preserve">Załącznik 3a: Wykaz planowanych operacji o strategicznym znaczeniu wraz z harmonogramem – Art. 17 ust. 4 </w:t>
      </w:r>
    </w:p>
    <w:p w14:paraId="6A7D2D73" w14:textId="7BDF8E7D" w:rsidR="00C223C3" w:rsidRPr="00D80606" w:rsidRDefault="00D0212D" w:rsidP="00D80606">
      <w:pPr>
        <w:autoSpaceDE w:val="0"/>
        <w:autoSpaceDN w:val="0"/>
        <w:adjustRightInd w:val="0"/>
        <w:spacing w:after="120" w:line="240" w:lineRule="auto"/>
        <w:ind w:left="0" w:right="340"/>
        <w:jc w:val="left"/>
        <w:rPr>
          <w:rFonts w:asciiTheme="minorHAnsi" w:hAnsiTheme="minorHAnsi"/>
        </w:rPr>
      </w:pPr>
      <w:r w:rsidRPr="00D80606">
        <w:rPr>
          <w:rFonts w:asciiTheme="minorHAnsi" w:hAnsiTheme="minorHAnsi"/>
        </w:rPr>
        <w:t>Pole tekstowe [2 000]</w:t>
      </w:r>
    </w:p>
    <w:p w14:paraId="087D34DF" w14:textId="77777777" w:rsidR="00C2573A" w:rsidRDefault="00C2573A" w:rsidP="00C2573A">
      <w:pPr>
        <w:pBdr>
          <w:top w:val="single" w:sz="4" w:space="1" w:color="auto"/>
          <w:left w:val="single" w:sz="4" w:space="4" w:color="auto"/>
          <w:bottom w:val="single" w:sz="4" w:space="1" w:color="auto"/>
          <w:right w:val="single" w:sz="4" w:space="4" w:color="auto"/>
        </w:pBdr>
        <w:spacing w:after="200"/>
        <w:ind w:left="0"/>
        <w:rPr>
          <w:rFonts w:asciiTheme="minorHAnsi" w:hAnsiTheme="minorHAnsi" w:cstheme="majorBidi"/>
          <w:b/>
          <w:i/>
          <w:iCs/>
          <w:u w:val="single"/>
          <w:lang w:val="en-GB"/>
        </w:rPr>
      </w:pPr>
    </w:p>
    <w:p w14:paraId="46620BB4" w14:textId="77777777" w:rsidR="00C2573A" w:rsidRPr="00C2573A" w:rsidRDefault="00C2573A" w:rsidP="00C2573A">
      <w:pPr>
        <w:pBdr>
          <w:top w:val="single" w:sz="4" w:space="1" w:color="auto"/>
          <w:left w:val="single" w:sz="4" w:space="4" w:color="auto"/>
          <w:bottom w:val="single" w:sz="4" w:space="1" w:color="auto"/>
          <w:right w:val="single" w:sz="4" w:space="4" w:color="auto"/>
        </w:pBdr>
        <w:spacing w:after="200"/>
        <w:ind w:left="0"/>
        <w:rPr>
          <w:rFonts w:asciiTheme="minorHAnsi" w:hAnsiTheme="minorHAnsi" w:cstheme="majorBidi"/>
          <w:noProof/>
          <w:u w:val="single"/>
          <w:lang w:val="en-GB"/>
        </w:rPr>
      </w:pPr>
    </w:p>
    <w:p w14:paraId="3A67D72D" w14:textId="77777777" w:rsidR="00C223C3" w:rsidRPr="00EF1E1C" w:rsidRDefault="00C223C3" w:rsidP="00C223C3">
      <w:pPr>
        <w:spacing w:after="120"/>
        <w:rPr>
          <w:lang w:val="en-GB"/>
        </w:rPr>
      </w:pPr>
    </w:p>
    <w:p w14:paraId="3CB6AA92" w14:textId="77777777" w:rsidR="00BB2536" w:rsidRDefault="00BB2536" w:rsidP="008727F2">
      <w:pPr>
        <w:ind w:hanging="1418"/>
        <w:rPr>
          <w:rFonts w:asciiTheme="minorHAnsi" w:hAnsiTheme="minorHAnsi"/>
          <w:b/>
          <w:sz w:val="24"/>
          <w:szCs w:val="24"/>
          <w:lang w:val="en-GB"/>
        </w:rPr>
      </w:pPr>
    </w:p>
    <w:p w14:paraId="46BA78FB" w14:textId="77777777" w:rsidR="00962AF5" w:rsidRPr="003A7385" w:rsidRDefault="00962AF5" w:rsidP="007D49CA">
      <w:pPr>
        <w:ind w:hanging="1418"/>
        <w:rPr>
          <w:rFonts w:ascii="Trebuchet MS" w:hAnsi="Trebuchet MS"/>
          <w:sz w:val="2"/>
          <w:szCs w:val="2"/>
          <w:lang w:val="en-GB"/>
        </w:rPr>
      </w:pPr>
    </w:p>
    <w:sectPr w:rsidR="00962AF5" w:rsidRPr="003A7385" w:rsidSect="007D49CA">
      <w:headerReference w:type="even" r:id="rId58"/>
      <w:headerReference w:type="default" r:id="rId59"/>
      <w:footerReference w:type="even" r:id="rId60"/>
      <w:footerReference w:type="default" r:id="rId61"/>
      <w:headerReference w:type="first" r:id="rId62"/>
      <w:footerReference w:type="first" r:id="rId63"/>
      <w:type w:val="continuous"/>
      <w:pgSz w:w="11906" w:h="16838"/>
      <w:pgMar w:top="567" w:right="1134" w:bottom="567" w:left="1418" w:header="709" w:footer="709" w:gutter="0"/>
      <w:cols w:space="720" w:equalWidth="0">
        <w:col w:w="8555"/>
      </w:cols>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3A66C5" w14:textId="77777777" w:rsidR="00ED61BA" w:rsidRDefault="00ED61BA" w:rsidP="00877C37">
      <w:r>
        <w:separator/>
      </w:r>
    </w:p>
    <w:p w14:paraId="7A8555E0" w14:textId="77777777" w:rsidR="00ED61BA" w:rsidRDefault="00ED61BA"/>
    <w:p w14:paraId="683C690F" w14:textId="77777777" w:rsidR="00ED61BA" w:rsidRDefault="00ED61BA"/>
    <w:p w14:paraId="709759DC" w14:textId="77777777" w:rsidR="00ED61BA" w:rsidRDefault="00ED61BA"/>
  </w:endnote>
  <w:endnote w:type="continuationSeparator" w:id="0">
    <w:p w14:paraId="55FF4EBD" w14:textId="77777777" w:rsidR="00ED61BA" w:rsidRDefault="00ED61BA" w:rsidP="00877C37">
      <w:r>
        <w:continuationSeparator/>
      </w:r>
    </w:p>
    <w:p w14:paraId="3E7C8DBD" w14:textId="77777777" w:rsidR="00ED61BA" w:rsidRDefault="00ED61BA"/>
    <w:p w14:paraId="4B5666C6" w14:textId="77777777" w:rsidR="00ED61BA" w:rsidRDefault="00ED61BA"/>
    <w:p w14:paraId="4CB18EF9" w14:textId="77777777" w:rsidR="00ED61BA" w:rsidRDefault="00ED61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altName w:val="Nyala"/>
    <w:charset w:val="00"/>
    <w:family w:val="swiss"/>
    <w:pitch w:val="variable"/>
    <w:sig w:usb0="00000003" w:usb1="00000000" w:usb2="00000000" w:usb3="00000000" w:csb0="00000001" w:csb1="00000000"/>
  </w:font>
  <w:font w:name="Calibri">
    <w:panose1 w:val="020F0502020204030204"/>
    <w:charset w:val="EE"/>
    <w:family w:val="swiss"/>
    <w:pitch w:val="variable"/>
    <w:sig w:usb0="E0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Noto Sans Symbol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MinionPro-Regular">
    <w:altName w:val="Cambria Math"/>
    <w:panose1 w:val="00000000000000000000"/>
    <w:charset w:val="4D"/>
    <w:family w:val="auto"/>
    <w:notTrueType/>
    <w:pitch w:val="default"/>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5ED525" w14:textId="77777777" w:rsidR="00E47C30" w:rsidRDefault="00E47C30">
    <w:pPr>
      <w:pStyle w:val="Stopk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1475240"/>
      <w:docPartObj>
        <w:docPartGallery w:val="Page Numbers (Bottom of Page)"/>
        <w:docPartUnique/>
      </w:docPartObj>
    </w:sdtPr>
    <w:sdtEndPr/>
    <w:sdtContent>
      <w:p w14:paraId="73980B4F" w14:textId="741C45EA" w:rsidR="00E47C30" w:rsidRDefault="00E47C30">
        <w:pPr>
          <w:pStyle w:val="Stopka"/>
          <w:jc w:val="right"/>
        </w:pPr>
        <w:r w:rsidRPr="00C2573A">
          <w:rPr>
            <w:rFonts w:asciiTheme="minorHAnsi" w:hAnsiTheme="minorHAnsi"/>
          </w:rPr>
          <w:fldChar w:fldCharType="begin"/>
        </w:r>
        <w:r w:rsidRPr="00C2573A">
          <w:rPr>
            <w:rFonts w:asciiTheme="minorHAnsi" w:hAnsiTheme="minorHAnsi"/>
          </w:rPr>
          <w:instrText>PAGE   \* MERGEFORMAT</w:instrText>
        </w:r>
        <w:r w:rsidRPr="00C2573A">
          <w:rPr>
            <w:rFonts w:asciiTheme="minorHAnsi" w:hAnsiTheme="minorHAnsi"/>
          </w:rPr>
          <w:fldChar w:fldCharType="separate"/>
        </w:r>
        <w:r w:rsidR="006B6317">
          <w:rPr>
            <w:rFonts w:asciiTheme="minorHAnsi" w:hAnsiTheme="minorHAnsi"/>
          </w:rPr>
          <w:t>131</w:t>
        </w:r>
        <w:r w:rsidRPr="00C2573A">
          <w:rPr>
            <w:rFonts w:asciiTheme="minorHAnsi" w:hAnsiTheme="minorHAnsi"/>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6A3C71" w14:textId="77777777" w:rsidR="00E47C30" w:rsidRDefault="00E47C30">
    <w:pPr>
      <w:pStyle w:val="Stopka"/>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CC80F" w14:textId="77777777" w:rsidR="00E47C30" w:rsidRDefault="00E47C30">
    <w:pPr>
      <w:pStyle w:val="Stopka"/>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6204342"/>
      <w:docPartObj>
        <w:docPartGallery w:val="Page Numbers (Bottom of Page)"/>
        <w:docPartUnique/>
      </w:docPartObj>
    </w:sdtPr>
    <w:sdtEndPr/>
    <w:sdtContent>
      <w:p w14:paraId="02F949F5" w14:textId="243606B1" w:rsidR="00E47C30" w:rsidRDefault="00E47C30">
        <w:pPr>
          <w:pStyle w:val="Stopka"/>
          <w:jc w:val="center"/>
        </w:pPr>
        <w:r>
          <w:fldChar w:fldCharType="begin"/>
        </w:r>
        <w:r>
          <w:instrText xml:space="preserve"> PAGE   \* MERGEFORMAT </w:instrText>
        </w:r>
        <w:r>
          <w:fldChar w:fldCharType="separate"/>
        </w:r>
        <w:r w:rsidR="006B6317">
          <w:t>132</w:t>
        </w:r>
        <w: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31D3FD" w14:textId="77777777" w:rsidR="00E47C30" w:rsidRDefault="00E47C30">
    <w:pPr>
      <w:pStyle w:val="Stopk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A14243" w14:textId="77777777" w:rsidR="00E47C30" w:rsidRDefault="00E47C30">
    <w:pPr>
      <w:pBdr>
        <w:top w:val="nil"/>
        <w:left w:val="nil"/>
        <w:bottom w:val="nil"/>
        <w:right w:val="nil"/>
        <w:between w:val="nil"/>
      </w:pBdr>
      <w:tabs>
        <w:tab w:val="center" w:pos="4536"/>
        <w:tab w:val="right" w:pos="9072"/>
      </w:tabs>
      <w:spacing w:line="240" w:lineRule="auto"/>
      <w:rPr>
        <w:color w:val="000000"/>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B7538" w14:textId="16AF892F" w:rsidR="00E47C30" w:rsidRPr="00C2573A" w:rsidRDefault="00E47C30" w:rsidP="00C2573A">
    <w:pPr>
      <w:pBdr>
        <w:top w:val="nil"/>
        <w:left w:val="nil"/>
        <w:bottom w:val="nil"/>
        <w:right w:val="nil"/>
        <w:between w:val="nil"/>
      </w:pBdr>
      <w:tabs>
        <w:tab w:val="center" w:pos="4536"/>
        <w:tab w:val="right" w:pos="9072"/>
      </w:tabs>
      <w:spacing w:line="240" w:lineRule="auto"/>
      <w:jc w:val="right"/>
      <w:rPr>
        <w:rFonts w:asciiTheme="minorHAnsi" w:hAnsiTheme="minorHAnsi"/>
        <w:color w:val="000000"/>
        <w:sz w:val="16"/>
      </w:rPr>
    </w:pPr>
    <w:r w:rsidRPr="00C2573A">
      <w:rPr>
        <w:rFonts w:asciiTheme="minorHAnsi" w:hAnsiTheme="minorHAnsi"/>
        <w:color w:val="000000"/>
        <w:sz w:val="16"/>
      </w:rPr>
      <w:fldChar w:fldCharType="begin"/>
    </w:r>
    <w:r w:rsidRPr="00C2573A">
      <w:rPr>
        <w:rFonts w:asciiTheme="minorHAnsi" w:hAnsiTheme="minorHAnsi"/>
        <w:color w:val="000000"/>
        <w:sz w:val="16"/>
      </w:rPr>
      <w:instrText>PAGE</w:instrText>
    </w:r>
    <w:r w:rsidRPr="00C2573A">
      <w:rPr>
        <w:rFonts w:asciiTheme="minorHAnsi" w:hAnsiTheme="minorHAnsi"/>
        <w:color w:val="000000"/>
        <w:sz w:val="16"/>
      </w:rPr>
      <w:fldChar w:fldCharType="separate"/>
    </w:r>
    <w:r w:rsidR="006B6317">
      <w:rPr>
        <w:rFonts w:asciiTheme="minorHAnsi" w:hAnsiTheme="minorHAnsi"/>
        <w:noProof/>
        <w:color w:val="000000"/>
        <w:sz w:val="16"/>
      </w:rPr>
      <w:t>134</w:t>
    </w:r>
    <w:r w:rsidRPr="00C2573A">
      <w:rPr>
        <w:rFonts w:asciiTheme="minorHAnsi" w:hAnsiTheme="minorHAnsi"/>
        <w:color w:val="000000"/>
        <w:sz w:val="16"/>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7817619"/>
      <w:docPartObj>
        <w:docPartGallery w:val="Page Numbers (Bottom of Page)"/>
        <w:docPartUnique/>
      </w:docPartObj>
    </w:sdtPr>
    <w:sdtEndPr/>
    <w:sdtContent>
      <w:p w14:paraId="23103F8E" w14:textId="0BB9361D" w:rsidR="00E47C30" w:rsidRDefault="00E47C30">
        <w:pPr>
          <w:pStyle w:val="Stopka"/>
          <w:jc w:val="right"/>
        </w:pPr>
        <w:r w:rsidRPr="00C2573A">
          <w:rPr>
            <w:rFonts w:asciiTheme="minorHAnsi" w:hAnsiTheme="minorHAnsi"/>
          </w:rPr>
          <w:fldChar w:fldCharType="begin"/>
        </w:r>
        <w:r w:rsidRPr="00C2573A">
          <w:rPr>
            <w:rFonts w:asciiTheme="minorHAnsi" w:hAnsiTheme="minorHAnsi"/>
          </w:rPr>
          <w:instrText>PAGE   \* MERGEFORMAT</w:instrText>
        </w:r>
        <w:r w:rsidRPr="00C2573A">
          <w:rPr>
            <w:rFonts w:asciiTheme="minorHAnsi" w:hAnsiTheme="minorHAnsi"/>
          </w:rPr>
          <w:fldChar w:fldCharType="separate"/>
        </w:r>
        <w:r w:rsidR="006B6317">
          <w:rPr>
            <w:rFonts w:asciiTheme="minorHAnsi" w:hAnsiTheme="minorHAnsi"/>
          </w:rPr>
          <w:t>133</w:t>
        </w:r>
        <w:r w:rsidRPr="00C2573A">
          <w:rPr>
            <w:rFonts w:asciiTheme="minorHAnsi" w:hAnsiTheme="minorHAnsi"/>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Cs w:val="17"/>
      </w:rPr>
      <w:id w:val="-65962232"/>
      <w:docPartObj>
        <w:docPartGallery w:val="Page Numbers (Bottom of Page)"/>
        <w:docPartUnique/>
      </w:docPartObj>
    </w:sdtPr>
    <w:sdtEndPr/>
    <w:sdtContent>
      <w:p w14:paraId="1E823CE2" w14:textId="77777777" w:rsidR="00E47C30" w:rsidRPr="00F767F9" w:rsidRDefault="00E47C30" w:rsidP="00D80606">
        <w:pPr>
          <w:pStyle w:val="CE-Headline4"/>
          <w:rPr>
            <w:szCs w:val="17"/>
          </w:rPr>
        </w:pPr>
        <w:r>
          <w:t xml:space="preserve">Strona </w:t>
        </w:r>
        <w:r w:rsidRPr="00F767F9">
          <w:fldChar w:fldCharType="begin"/>
        </w:r>
        <w:r w:rsidRPr="00F767F9">
          <w:instrText>PAGE   \* MERGEFORMAT</w:instrText>
        </w:r>
        <w:r w:rsidRPr="00F767F9">
          <w:fldChar w:fldCharType="separate"/>
        </w:r>
        <w:r w:rsidR="006B6317">
          <w:rPr>
            <w:noProof/>
          </w:rPr>
          <w:t>112</w:t>
        </w:r>
        <w:r w:rsidRPr="00F767F9">
          <w:fldChar w:fldCharType="end"/>
        </w:r>
      </w:p>
    </w:sdtContent>
  </w:sdt>
  <w:p w14:paraId="056671F6" w14:textId="77777777" w:rsidR="00E47C30" w:rsidRDefault="00E47C30" w:rsidP="00DA073A">
    <w:pPr>
      <w:pStyle w:val="Stopka"/>
      <w:tabs>
        <w:tab w:val="clear" w:pos="4536"/>
        <w:tab w:val="clear" w:pos="9072"/>
      </w:tabs>
      <w:ind w:left="0" w:right="-2"/>
    </w:pPr>
  </w:p>
  <w:p w14:paraId="462EA543" w14:textId="77777777" w:rsidR="00E47C30" w:rsidRDefault="00E47C3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0D4EBE" w14:textId="77777777" w:rsidR="00E47C30" w:rsidRDefault="00E47C30">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AEDE6" w14:textId="77777777" w:rsidR="00E47C30" w:rsidRDefault="00E47C30">
    <w:pPr>
      <w:pBdr>
        <w:top w:val="nil"/>
        <w:left w:val="nil"/>
        <w:bottom w:val="nil"/>
        <w:right w:val="nil"/>
        <w:between w:val="nil"/>
      </w:pBdr>
      <w:tabs>
        <w:tab w:val="center" w:pos="4536"/>
        <w:tab w:val="right" w:pos="9072"/>
      </w:tabs>
      <w:spacing w:line="240" w:lineRule="auto"/>
      <w:rPr>
        <w:color w:val="00000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Cs w:val="17"/>
      </w:rPr>
      <w:id w:val="-471977620"/>
      <w:docPartObj>
        <w:docPartGallery w:val="Page Numbers (Bottom of Page)"/>
        <w:docPartUnique/>
      </w:docPartObj>
    </w:sdtPr>
    <w:sdtEndPr/>
    <w:sdtContent>
      <w:p w14:paraId="4AF7CEB1" w14:textId="22FEC87D" w:rsidR="00E47C30" w:rsidRPr="00F767F9" w:rsidRDefault="00E47C30" w:rsidP="00D80606">
        <w:pPr>
          <w:pStyle w:val="CE-Headline4"/>
          <w:rPr>
            <w:szCs w:val="17"/>
          </w:rPr>
        </w:pPr>
        <w:r>
          <w:t xml:space="preserve">Strona </w:t>
        </w:r>
        <w:r w:rsidRPr="00F767F9">
          <w:fldChar w:fldCharType="begin"/>
        </w:r>
        <w:r w:rsidRPr="00F767F9">
          <w:instrText>PAGE   \* MERGEFORMAT</w:instrText>
        </w:r>
        <w:r w:rsidRPr="00F767F9">
          <w:fldChar w:fldCharType="separate"/>
        </w:r>
        <w:r w:rsidR="006B6317">
          <w:rPr>
            <w:noProof/>
          </w:rPr>
          <w:t>113</w:t>
        </w:r>
        <w:r w:rsidRPr="00F767F9">
          <w:fldChar w:fldCharType="end"/>
        </w:r>
      </w:p>
    </w:sdtContent>
  </w:sdt>
  <w:p w14:paraId="1FC13338" w14:textId="77777777" w:rsidR="00E47C30" w:rsidRDefault="00E47C30">
    <w:pPr>
      <w:pBdr>
        <w:top w:val="nil"/>
        <w:left w:val="nil"/>
        <w:bottom w:val="nil"/>
        <w:right w:val="nil"/>
        <w:between w:val="nil"/>
      </w:pBdr>
      <w:tabs>
        <w:tab w:val="center" w:pos="4536"/>
        <w:tab w:val="right" w:pos="9072"/>
      </w:tabs>
      <w:spacing w:line="240" w:lineRule="auto"/>
      <w:rPr>
        <w:color w:val="00000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94BD0" w14:textId="77777777" w:rsidR="00E47C30" w:rsidRDefault="00E47C30">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73EFE" w14:textId="77777777" w:rsidR="00E47C30" w:rsidRDefault="00E47C30">
    <w:pPr>
      <w:pStyle w:val="Stopk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9661B" w14:textId="77777777" w:rsidR="00E47C30" w:rsidRDefault="00E47C30">
    <w:pPr>
      <w:pStyle w:val="Stopka"/>
      <w:pBdr>
        <w:top w:val="single" w:sz="4" w:space="1" w:color="808080"/>
      </w:pBdr>
      <w:jc w:val="right"/>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rPr>
      <w:t>40</w:t>
    </w:r>
    <w:r>
      <w:rPr>
        <w:rStyle w:val="Numerstrony"/>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0E2F3F" w14:textId="77777777" w:rsidR="00E47C30" w:rsidRDefault="00E47C3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56E39C" w14:textId="77777777" w:rsidR="00ED61BA" w:rsidRPr="007F69D3" w:rsidRDefault="00ED61BA" w:rsidP="007F69D3">
      <w:pPr>
        <w:spacing w:before="0" w:line="240" w:lineRule="auto"/>
        <w:ind w:left="0" w:right="340"/>
        <w:jc w:val="left"/>
      </w:pPr>
      <w:r>
        <w:separator/>
      </w:r>
    </w:p>
  </w:footnote>
  <w:footnote w:type="continuationSeparator" w:id="0">
    <w:p w14:paraId="23EDE6BB" w14:textId="77777777" w:rsidR="00ED61BA" w:rsidRDefault="00ED61BA" w:rsidP="00924079">
      <w:pPr>
        <w:ind w:left="0"/>
      </w:pPr>
      <w:r>
        <w:continuationSeparator/>
      </w:r>
    </w:p>
    <w:p w14:paraId="78B96A06" w14:textId="77777777" w:rsidR="00ED61BA" w:rsidRDefault="00ED61BA" w:rsidP="00C12DFF">
      <w:pPr>
        <w:ind w:left="0"/>
      </w:pPr>
    </w:p>
  </w:footnote>
  <w:footnote w:type="continuationNotice" w:id="1">
    <w:p w14:paraId="40703CCD" w14:textId="77777777" w:rsidR="00ED61BA" w:rsidRDefault="00ED61BA" w:rsidP="00C12DFF">
      <w:pPr>
        <w:ind w:left="0"/>
      </w:pPr>
    </w:p>
  </w:footnote>
  <w:footnote w:id="2">
    <w:p w14:paraId="69562B67" w14:textId="3C969F2B" w:rsidR="00E47C30" w:rsidRPr="00575290" w:rsidRDefault="00E47C30" w:rsidP="000A7077">
      <w:pPr>
        <w:pStyle w:val="Tekstprzypisudolnego"/>
        <w:rPr>
          <w:color w:val="auto"/>
          <w:sz w:val="18"/>
        </w:rPr>
      </w:pPr>
      <w:r>
        <w:rPr>
          <w:rStyle w:val="Odwoanieprzypisudolnego"/>
          <w:color w:val="auto"/>
          <w:sz w:val="18"/>
        </w:rPr>
        <w:footnoteRef/>
      </w:r>
      <w:r>
        <w:rPr>
          <w:color w:val="auto"/>
          <w:sz w:val="18"/>
        </w:rPr>
        <w:t xml:space="preserve"> Zgodnie z załącznikiem do Wniosku obejmującego ROZPORZĄDZENIE PARLAMENTU EUROPEJSKIEGO I RADY w sprawie przepisów szczegółowych dotyczących celu „Europejska współpraca terytorialna” (Interreg) wspieranego w ramach Europejskiego Funduszu Rozwoju Regionalnego oraz instrumentów finansowania zewnętrznego, 29.5.2018, COM(2018) 374 final, z uwzględnieniem wyników ostatecznych negocjacji trójstronnych z dnia 11 grudnia 2020 r.</w:t>
      </w:r>
    </w:p>
  </w:footnote>
  <w:footnote w:id="3">
    <w:p w14:paraId="70EDB452" w14:textId="77777777" w:rsidR="00E47C30" w:rsidRPr="00EB3FA8" w:rsidRDefault="00E47C30" w:rsidP="008727F2">
      <w:pPr>
        <w:pBdr>
          <w:top w:val="nil"/>
          <w:left w:val="nil"/>
          <w:bottom w:val="nil"/>
          <w:right w:val="nil"/>
          <w:between w:val="nil"/>
        </w:pBdr>
        <w:spacing w:line="240" w:lineRule="auto"/>
        <w:ind w:left="426" w:hanging="426"/>
        <w:rPr>
          <w:rFonts w:asciiTheme="minorHAnsi" w:hAnsiTheme="minorHAnsi"/>
          <w:i/>
          <w:color w:val="000000"/>
          <w:sz w:val="17"/>
          <w:szCs w:val="17"/>
        </w:rPr>
      </w:pPr>
      <w:r>
        <w:rPr>
          <w:rFonts w:asciiTheme="minorHAnsi" w:hAnsiTheme="minorHAnsi"/>
          <w:sz w:val="17"/>
          <w:szCs w:val="17"/>
          <w:vertAlign w:val="superscript"/>
        </w:rPr>
        <w:footnoteRef/>
      </w:r>
      <w:r>
        <w:rPr>
          <w:rFonts w:asciiTheme="minorHAnsi" w:hAnsiTheme="minorHAnsi"/>
          <w:color w:val="000000"/>
          <w:sz w:val="17"/>
        </w:rPr>
        <w:tab/>
      </w:r>
      <w:r>
        <w:rPr>
          <w:rFonts w:asciiTheme="minorHAnsi" w:hAnsiTheme="minorHAnsi"/>
          <w:i/>
          <w:color w:val="000000"/>
          <w:sz w:val="17"/>
        </w:rPr>
        <w:t>Interreg A, zewnętrzna współpraca transgraniczna</w:t>
      </w:r>
    </w:p>
  </w:footnote>
  <w:footnote w:id="4">
    <w:p w14:paraId="6A2BAC7E" w14:textId="77777777" w:rsidR="00E47C30" w:rsidRPr="00EB3FA8" w:rsidRDefault="00E47C30" w:rsidP="008727F2">
      <w:pPr>
        <w:pBdr>
          <w:top w:val="nil"/>
          <w:left w:val="nil"/>
          <w:bottom w:val="nil"/>
          <w:right w:val="nil"/>
          <w:between w:val="nil"/>
        </w:pBdr>
        <w:spacing w:line="240" w:lineRule="auto"/>
        <w:ind w:left="426" w:hanging="426"/>
        <w:rPr>
          <w:rFonts w:asciiTheme="minorHAnsi" w:hAnsiTheme="minorHAnsi"/>
          <w:color w:val="000000"/>
          <w:sz w:val="17"/>
          <w:szCs w:val="17"/>
        </w:rPr>
      </w:pPr>
      <w:r>
        <w:rPr>
          <w:rFonts w:asciiTheme="minorHAnsi" w:hAnsiTheme="minorHAnsi"/>
          <w:sz w:val="17"/>
          <w:szCs w:val="17"/>
          <w:vertAlign w:val="superscript"/>
        </w:rPr>
        <w:footnoteRef/>
      </w:r>
      <w:r>
        <w:rPr>
          <w:rFonts w:asciiTheme="minorHAnsi" w:hAnsiTheme="minorHAnsi"/>
          <w:color w:val="000000"/>
          <w:sz w:val="17"/>
        </w:rPr>
        <w:tab/>
      </w:r>
      <w:r>
        <w:rPr>
          <w:rFonts w:asciiTheme="minorHAnsi" w:hAnsiTheme="minorHAnsi"/>
          <w:i/>
          <w:color w:val="000000"/>
          <w:sz w:val="17"/>
        </w:rPr>
        <w:t>Interreg A, zewnętrzna współpraca transgraniczna</w:t>
      </w:r>
    </w:p>
  </w:footnote>
  <w:footnote w:id="5">
    <w:p w14:paraId="28853D9C" w14:textId="77777777" w:rsidR="00E47C30" w:rsidRPr="00680741" w:rsidRDefault="00E47C30" w:rsidP="008727F2">
      <w:pPr>
        <w:pBdr>
          <w:top w:val="nil"/>
          <w:left w:val="nil"/>
          <w:bottom w:val="nil"/>
          <w:right w:val="nil"/>
          <w:between w:val="nil"/>
        </w:pBdr>
        <w:spacing w:line="240" w:lineRule="auto"/>
        <w:ind w:left="426" w:hanging="426"/>
        <w:rPr>
          <w:rFonts w:asciiTheme="minorHAnsi" w:hAnsiTheme="minorHAnsi"/>
          <w:color w:val="000000"/>
          <w:sz w:val="17"/>
          <w:szCs w:val="17"/>
          <w:lang w:val="sv-SE"/>
        </w:rPr>
      </w:pPr>
      <w:r>
        <w:rPr>
          <w:rFonts w:asciiTheme="minorHAnsi" w:hAnsiTheme="minorHAnsi"/>
          <w:sz w:val="17"/>
          <w:szCs w:val="17"/>
          <w:vertAlign w:val="superscript"/>
        </w:rPr>
        <w:footnoteRef/>
      </w:r>
      <w:r w:rsidRPr="00680741">
        <w:rPr>
          <w:rFonts w:asciiTheme="minorHAnsi" w:hAnsiTheme="minorHAnsi"/>
          <w:color w:val="000000"/>
          <w:sz w:val="17"/>
          <w:lang w:val="sv-SE"/>
        </w:rPr>
        <w:tab/>
      </w:r>
      <w:r w:rsidRPr="00680741">
        <w:rPr>
          <w:rFonts w:asciiTheme="minorHAnsi" w:hAnsiTheme="minorHAnsi"/>
          <w:i/>
          <w:color w:val="000000"/>
          <w:sz w:val="17"/>
          <w:lang w:val="sv-SE"/>
        </w:rPr>
        <w:t>Interreg B i C</w:t>
      </w:r>
    </w:p>
  </w:footnote>
  <w:footnote w:id="6">
    <w:p w14:paraId="1A99495D" w14:textId="77777777" w:rsidR="00E47C30" w:rsidRPr="00680741" w:rsidRDefault="00E47C30" w:rsidP="008727F2">
      <w:pPr>
        <w:pBdr>
          <w:top w:val="nil"/>
          <w:left w:val="nil"/>
          <w:bottom w:val="nil"/>
          <w:right w:val="nil"/>
          <w:between w:val="nil"/>
        </w:pBdr>
        <w:spacing w:line="240" w:lineRule="auto"/>
        <w:ind w:left="426" w:hanging="426"/>
        <w:rPr>
          <w:rFonts w:asciiTheme="minorHAnsi" w:hAnsiTheme="minorHAnsi"/>
          <w:color w:val="000000"/>
          <w:sz w:val="17"/>
          <w:szCs w:val="17"/>
          <w:lang w:val="sv-SE"/>
        </w:rPr>
      </w:pPr>
      <w:r>
        <w:rPr>
          <w:rFonts w:asciiTheme="minorHAnsi" w:hAnsiTheme="minorHAnsi"/>
          <w:sz w:val="17"/>
          <w:szCs w:val="17"/>
          <w:vertAlign w:val="superscript"/>
        </w:rPr>
        <w:footnoteRef/>
      </w:r>
      <w:r w:rsidRPr="00680741">
        <w:rPr>
          <w:rFonts w:asciiTheme="minorHAnsi" w:hAnsiTheme="minorHAnsi"/>
          <w:color w:val="000000"/>
          <w:sz w:val="17"/>
          <w:lang w:val="sv-SE"/>
        </w:rPr>
        <w:tab/>
      </w:r>
      <w:r w:rsidRPr="00680741">
        <w:rPr>
          <w:rFonts w:asciiTheme="minorHAnsi" w:hAnsiTheme="minorHAnsi"/>
          <w:i/>
          <w:color w:val="000000"/>
          <w:sz w:val="17"/>
          <w:lang w:val="sv-SE"/>
        </w:rPr>
        <w:t>Interreg B i C</w:t>
      </w:r>
    </w:p>
  </w:footnote>
  <w:footnote w:id="7">
    <w:p w14:paraId="6E7A09E3" w14:textId="77777777" w:rsidR="00E47C30" w:rsidRPr="00EB3FA8" w:rsidRDefault="00E47C30" w:rsidP="008727F2">
      <w:pPr>
        <w:pBdr>
          <w:top w:val="nil"/>
          <w:left w:val="nil"/>
          <w:bottom w:val="nil"/>
          <w:right w:val="nil"/>
          <w:between w:val="nil"/>
        </w:pBdr>
        <w:spacing w:line="240" w:lineRule="auto"/>
        <w:ind w:left="426" w:hanging="426"/>
        <w:rPr>
          <w:rFonts w:asciiTheme="minorHAnsi" w:hAnsiTheme="minorHAnsi"/>
          <w:color w:val="000000"/>
          <w:sz w:val="17"/>
          <w:szCs w:val="17"/>
        </w:rPr>
      </w:pPr>
      <w:r>
        <w:rPr>
          <w:rFonts w:asciiTheme="minorHAnsi" w:hAnsiTheme="minorHAnsi"/>
          <w:sz w:val="17"/>
          <w:szCs w:val="17"/>
          <w:vertAlign w:val="superscript"/>
        </w:rPr>
        <w:footnoteRef/>
      </w:r>
      <w:r>
        <w:rPr>
          <w:rFonts w:asciiTheme="minorHAnsi" w:hAnsiTheme="minorHAnsi"/>
          <w:color w:val="000000"/>
          <w:sz w:val="17"/>
        </w:rPr>
        <w:tab/>
      </w:r>
      <w:r>
        <w:rPr>
          <w:rFonts w:asciiTheme="minorHAnsi" w:hAnsiTheme="minorHAnsi"/>
          <w:i/>
          <w:color w:val="000000"/>
          <w:sz w:val="17"/>
        </w:rPr>
        <w:t>Interreg C i D</w:t>
      </w:r>
    </w:p>
  </w:footnote>
  <w:footnote w:id="8">
    <w:p w14:paraId="5ADA2E64" w14:textId="77777777" w:rsidR="00E47C30" w:rsidRPr="008727F2" w:rsidRDefault="00E47C30" w:rsidP="008727F2">
      <w:pPr>
        <w:pBdr>
          <w:top w:val="nil"/>
          <w:left w:val="nil"/>
          <w:bottom w:val="nil"/>
          <w:right w:val="nil"/>
          <w:between w:val="nil"/>
        </w:pBdr>
        <w:spacing w:line="240" w:lineRule="auto"/>
        <w:ind w:left="426" w:hanging="426"/>
        <w:rPr>
          <w:color w:val="000000"/>
        </w:rPr>
      </w:pPr>
      <w:r>
        <w:rPr>
          <w:rFonts w:asciiTheme="minorHAnsi" w:hAnsiTheme="minorHAnsi"/>
          <w:sz w:val="17"/>
          <w:szCs w:val="17"/>
          <w:vertAlign w:val="superscript"/>
        </w:rPr>
        <w:footnoteRef/>
      </w:r>
      <w:r>
        <w:rPr>
          <w:rFonts w:asciiTheme="minorHAnsi" w:hAnsiTheme="minorHAnsi"/>
          <w:color w:val="000000"/>
          <w:sz w:val="17"/>
        </w:rPr>
        <w:tab/>
      </w:r>
      <w:r>
        <w:rPr>
          <w:rFonts w:asciiTheme="minorHAnsi" w:hAnsiTheme="minorHAnsi"/>
          <w:i/>
          <w:color w:val="000000"/>
          <w:sz w:val="17"/>
        </w:rPr>
        <w:t>EFRR,</w:t>
      </w:r>
      <w:r>
        <w:rPr>
          <w:rFonts w:asciiTheme="minorHAnsi" w:hAnsiTheme="minorHAnsi"/>
          <w:color w:val="000000"/>
          <w:sz w:val="17"/>
        </w:rPr>
        <w:t xml:space="preserve"> </w:t>
      </w:r>
      <w:r>
        <w:rPr>
          <w:rFonts w:asciiTheme="minorHAnsi" w:hAnsiTheme="minorHAnsi"/>
          <w:i/>
          <w:color w:val="000000"/>
          <w:sz w:val="17"/>
        </w:rPr>
        <w:t>IPA III, NDICI lub OCTP, w przypadku gdy jest to pojedyncza kwota w ramach programów Interreg B i C</w:t>
      </w:r>
      <w:r>
        <w:rPr>
          <w:i/>
          <w:color w:val="000000"/>
        </w:rPr>
        <w:t xml:space="preserve"> </w:t>
      </w:r>
    </w:p>
  </w:footnote>
  <w:footnote w:id="9">
    <w:p w14:paraId="7F32A5F0" w14:textId="77777777" w:rsidR="00E47C30" w:rsidRPr="00EB3FA8" w:rsidRDefault="00E47C30" w:rsidP="007E6D3D">
      <w:pPr>
        <w:pStyle w:val="Tekstprzypisudolnego"/>
        <w:spacing w:before="0"/>
        <w:rPr>
          <w:color w:val="auto"/>
        </w:rPr>
      </w:pPr>
      <w:r>
        <w:rPr>
          <w:rStyle w:val="Odwoanieprzypisudolnego"/>
          <w:color w:val="auto"/>
        </w:rPr>
        <w:footnoteRef/>
      </w:r>
      <w:r>
        <w:rPr>
          <w:color w:val="auto"/>
        </w:rPr>
        <w:t xml:space="preserve"> W przypadku gdy środki EFRR odpowiadają kwotom zaprogramowanym zgodnie z art. 17 ust. 3, należy to określić.</w:t>
      </w:r>
    </w:p>
  </w:footnote>
  <w:footnote w:id="10">
    <w:p w14:paraId="5514F2CE" w14:textId="77777777" w:rsidR="00E47C30" w:rsidRPr="008727F2" w:rsidRDefault="00E47C30" w:rsidP="007E6D3D">
      <w:pPr>
        <w:pBdr>
          <w:top w:val="nil"/>
          <w:left w:val="nil"/>
          <w:bottom w:val="nil"/>
          <w:right w:val="nil"/>
          <w:between w:val="nil"/>
        </w:pBdr>
        <w:spacing w:before="0" w:line="240" w:lineRule="auto"/>
        <w:ind w:left="426" w:hanging="426"/>
        <w:rPr>
          <w:i/>
          <w:color w:val="000000"/>
        </w:rPr>
      </w:pPr>
      <w:r>
        <w:rPr>
          <w:vertAlign w:val="superscript"/>
        </w:rPr>
        <w:footnoteRef/>
      </w:r>
      <w:r>
        <w:rPr>
          <w:rFonts w:ascii="Trebuchet MS" w:hAnsi="Trebuchet MS"/>
          <w:sz w:val="17"/>
        </w:rPr>
        <w:t xml:space="preserve"> Interreg A, zewnętrzna współpraca transgraniczna</w:t>
      </w:r>
    </w:p>
  </w:footnote>
  <w:footnote w:id="11">
    <w:p w14:paraId="1FB3A42D" w14:textId="77777777" w:rsidR="00E47C30" w:rsidRPr="008727F2" w:rsidRDefault="00E47C30" w:rsidP="007E6D3D">
      <w:pPr>
        <w:pBdr>
          <w:top w:val="nil"/>
          <w:left w:val="nil"/>
          <w:bottom w:val="nil"/>
          <w:right w:val="nil"/>
          <w:between w:val="nil"/>
        </w:pBdr>
        <w:spacing w:before="0" w:line="240" w:lineRule="auto"/>
        <w:ind w:left="426" w:hanging="426"/>
        <w:rPr>
          <w:color w:val="000000"/>
        </w:rPr>
      </w:pPr>
      <w:r>
        <w:rPr>
          <w:vertAlign w:val="superscript"/>
        </w:rPr>
        <w:footnoteRef/>
      </w:r>
      <w:r>
        <w:rPr>
          <w:rFonts w:ascii="Trebuchet MS" w:hAnsi="Trebuchet MS"/>
          <w:sz w:val="17"/>
        </w:rPr>
        <w:t xml:space="preserve"> Interreg A, zewnętrzna współpraca transgraniczna</w:t>
      </w:r>
    </w:p>
  </w:footnote>
  <w:footnote w:id="12">
    <w:p w14:paraId="49AE15EF" w14:textId="77777777" w:rsidR="00E47C30" w:rsidRPr="00680741" w:rsidRDefault="00E47C30" w:rsidP="007E6D3D">
      <w:pPr>
        <w:pBdr>
          <w:top w:val="nil"/>
          <w:left w:val="nil"/>
          <w:bottom w:val="nil"/>
          <w:right w:val="nil"/>
          <w:between w:val="nil"/>
        </w:pBdr>
        <w:spacing w:before="0" w:line="240" w:lineRule="auto"/>
        <w:ind w:left="426" w:hanging="426"/>
        <w:rPr>
          <w:color w:val="000000"/>
          <w:lang w:val="sv-SE"/>
        </w:rPr>
      </w:pPr>
      <w:r>
        <w:rPr>
          <w:vertAlign w:val="superscript"/>
        </w:rPr>
        <w:footnoteRef/>
      </w:r>
      <w:r w:rsidRPr="00680741">
        <w:rPr>
          <w:rFonts w:ascii="Trebuchet MS" w:hAnsi="Trebuchet MS"/>
          <w:sz w:val="17"/>
          <w:lang w:val="sv-SE"/>
        </w:rPr>
        <w:t xml:space="preserve"> Interreg B i C</w:t>
      </w:r>
    </w:p>
  </w:footnote>
  <w:footnote w:id="13">
    <w:p w14:paraId="368C4585" w14:textId="77777777" w:rsidR="00E47C30" w:rsidRPr="00680741" w:rsidRDefault="00E47C30" w:rsidP="007E6D3D">
      <w:pPr>
        <w:pBdr>
          <w:top w:val="nil"/>
          <w:left w:val="nil"/>
          <w:bottom w:val="nil"/>
          <w:right w:val="nil"/>
          <w:between w:val="nil"/>
        </w:pBdr>
        <w:spacing w:before="0" w:line="240" w:lineRule="auto"/>
        <w:ind w:left="426" w:hanging="426"/>
        <w:rPr>
          <w:color w:val="000000"/>
          <w:lang w:val="sv-SE"/>
        </w:rPr>
      </w:pPr>
      <w:r>
        <w:rPr>
          <w:vertAlign w:val="superscript"/>
        </w:rPr>
        <w:footnoteRef/>
      </w:r>
      <w:r w:rsidRPr="00680741">
        <w:rPr>
          <w:rFonts w:ascii="Trebuchet MS" w:hAnsi="Trebuchet MS"/>
          <w:sz w:val="17"/>
          <w:lang w:val="sv-SE"/>
        </w:rPr>
        <w:t xml:space="preserve"> Interreg B i C</w:t>
      </w:r>
    </w:p>
  </w:footnote>
  <w:footnote w:id="14">
    <w:p w14:paraId="3E53D509" w14:textId="77777777" w:rsidR="00E47C30" w:rsidRPr="00680741" w:rsidRDefault="00E47C30" w:rsidP="007E6D3D">
      <w:pPr>
        <w:pBdr>
          <w:top w:val="nil"/>
          <w:left w:val="nil"/>
          <w:bottom w:val="nil"/>
          <w:right w:val="nil"/>
          <w:between w:val="nil"/>
        </w:pBdr>
        <w:spacing w:before="0" w:line="240" w:lineRule="auto"/>
        <w:ind w:left="426" w:hanging="426"/>
        <w:rPr>
          <w:i/>
          <w:color w:val="000000"/>
          <w:lang w:val="sv-SE"/>
        </w:rPr>
      </w:pPr>
      <w:r>
        <w:rPr>
          <w:vertAlign w:val="superscript"/>
        </w:rPr>
        <w:footnoteRef/>
      </w:r>
      <w:r w:rsidRPr="00680741">
        <w:rPr>
          <w:rFonts w:ascii="Trebuchet MS" w:hAnsi="Trebuchet MS"/>
          <w:sz w:val="17"/>
          <w:lang w:val="sv-SE"/>
        </w:rPr>
        <w:t xml:space="preserve"> Interreg B i C</w:t>
      </w:r>
    </w:p>
  </w:footnote>
  <w:footnote w:id="15">
    <w:p w14:paraId="31208C51" w14:textId="77777777" w:rsidR="00E47C30" w:rsidRPr="00680741" w:rsidRDefault="00E47C30" w:rsidP="007E6D3D">
      <w:pPr>
        <w:pBdr>
          <w:top w:val="nil"/>
          <w:left w:val="nil"/>
          <w:bottom w:val="nil"/>
          <w:right w:val="nil"/>
          <w:between w:val="nil"/>
        </w:pBdr>
        <w:spacing w:before="0" w:line="240" w:lineRule="auto"/>
        <w:ind w:left="426" w:hanging="426"/>
        <w:rPr>
          <w:color w:val="000000"/>
          <w:lang w:val="sv-SE"/>
        </w:rPr>
      </w:pPr>
      <w:r>
        <w:rPr>
          <w:vertAlign w:val="superscript"/>
        </w:rPr>
        <w:footnoteRef/>
      </w:r>
      <w:r w:rsidRPr="00680741">
        <w:rPr>
          <w:color w:val="000000"/>
          <w:lang w:val="sv-SE"/>
        </w:rPr>
        <w:t xml:space="preserve"> </w:t>
      </w:r>
      <w:r w:rsidRPr="00680741">
        <w:rPr>
          <w:rFonts w:ascii="Trebuchet MS" w:hAnsi="Trebuchet MS"/>
          <w:sz w:val="17"/>
          <w:lang w:val="sv-SE"/>
        </w:rPr>
        <w:t>Interreg C i D</w:t>
      </w:r>
    </w:p>
  </w:footnote>
  <w:footnote w:id="16">
    <w:p w14:paraId="48B3D54B" w14:textId="77777777" w:rsidR="00E47C30" w:rsidRPr="008727F2" w:rsidRDefault="00E47C30" w:rsidP="007E6D3D">
      <w:pPr>
        <w:pBdr>
          <w:top w:val="nil"/>
          <w:left w:val="nil"/>
          <w:bottom w:val="nil"/>
          <w:right w:val="nil"/>
          <w:between w:val="nil"/>
        </w:pBdr>
        <w:spacing w:before="0" w:line="240" w:lineRule="auto"/>
        <w:ind w:left="426" w:hanging="426"/>
        <w:rPr>
          <w:color w:val="000000"/>
        </w:rPr>
      </w:pPr>
      <w:r>
        <w:rPr>
          <w:vertAlign w:val="superscript"/>
        </w:rPr>
        <w:footnoteRef/>
      </w:r>
      <w:r>
        <w:rPr>
          <w:color w:val="000000"/>
        </w:rPr>
        <w:t xml:space="preserve"> </w:t>
      </w:r>
      <w:r>
        <w:rPr>
          <w:rFonts w:ascii="Trebuchet MS" w:hAnsi="Trebuchet MS"/>
          <w:sz w:val="17"/>
        </w:rPr>
        <w:t>EFRR, IPA III, NDICI lub OCTP, w przypadku gdy jest to pojedyncza kwota w ramach programów Interreg B i C</w:t>
      </w:r>
    </w:p>
  </w:footnote>
  <w:footnote w:id="17">
    <w:p w14:paraId="360A7E3B" w14:textId="77777777" w:rsidR="00E47C30" w:rsidRPr="007164DE" w:rsidRDefault="00E47C30" w:rsidP="00C223C3">
      <w:pPr>
        <w:pStyle w:val="Tekstprzypisudolnego"/>
        <w:rPr>
          <w:szCs w:val="17"/>
        </w:rPr>
      </w:pPr>
      <w:r>
        <w:rPr>
          <w:rStyle w:val="Odwoanieprzypisudolnego"/>
          <w:bCs/>
          <w:color w:val="auto"/>
          <w:szCs w:val="17"/>
        </w:rPr>
        <w:footnoteRef/>
      </w:r>
      <w:r>
        <w:rPr>
          <w:color w:val="auto"/>
        </w:rPr>
        <w:t xml:space="preserve"> </w:t>
      </w:r>
      <w:r>
        <w:rPr>
          <w:i/>
          <w:color w:val="auto"/>
        </w:rPr>
        <w:t>Dysponując mandatem częściowym, Rada zmieniła tytuł załącznika, zgodnie z częścią 6 rozporządzenia w sprawie wspólnych przepisów. Bez uszczerbku dla dalszego dostosowania w zależności od wyniku porozumienia międzyinstytucjonalnego w sprawie części 6 rozporządzenia w sprawie wspólnych przepisów.</w:t>
      </w:r>
    </w:p>
  </w:footnote>
  <w:footnote w:id="18">
    <w:p w14:paraId="4B996B0F" w14:textId="77777777" w:rsidR="00E47C30" w:rsidRPr="00882A63" w:rsidRDefault="00E47C30" w:rsidP="00C223C3">
      <w:pPr>
        <w:pStyle w:val="Tekstprzypisudolnego"/>
        <w:ind w:left="284" w:hanging="284"/>
        <w:rPr>
          <w:rFonts w:asciiTheme="minorHAnsi" w:hAnsiTheme="minorHAnsi"/>
          <w:color w:val="auto"/>
        </w:rPr>
      </w:pPr>
      <w:r>
        <w:rPr>
          <w:rStyle w:val="Odwoanieprzypisudolnego"/>
          <w:rFonts w:asciiTheme="minorHAnsi" w:hAnsiTheme="minorHAnsi"/>
          <w:color w:val="auto"/>
          <w:sz w:val="16"/>
        </w:rPr>
        <w:footnoteRef/>
      </w:r>
      <w:r>
        <w:rPr>
          <w:rFonts w:asciiTheme="minorHAnsi" w:hAnsiTheme="minorHAnsi"/>
          <w:color w:val="auto"/>
          <w:sz w:val="16"/>
        </w:rPr>
        <w:tab/>
        <w:t xml:space="preserve"> Dla jednego rodzaju operacji dopuszcza się kilka wskaźników o charakterze komplementarnym (np. jeden wskaźnik produktów i jeden wskaźnik wyników). Dla każdego wskaźnika należy wówczas wypełnić pola 1.3-1.11.</w:t>
      </w:r>
    </w:p>
  </w:footnote>
  <w:footnote w:id="19">
    <w:p w14:paraId="57ACFF2E" w14:textId="77777777" w:rsidR="00E47C30" w:rsidRPr="00C2573A" w:rsidRDefault="00E47C30" w:rsidP="00C223C3">
      <w:pPr>
        <w:pStyle w:val="Tekstprzypisudolnego"/>
        <w:rPr>
          <w:b/>
          <w:i/>
          <w:color w:val="auto"/>
          <w:highlight w:val="yellow"/>
          <w:u w:val="single"/>
        </w:rPr>
      </w:pPr>
      <w:r>
        <w:rPr>
          <w:rStyle w:val="Odwoanieprzypisudolnego"/>
          <w:b/>
          <w:i/>
          <w:color w:val="auto"/>
          <w:u w:val="single"/>
        </w:rPr>
        <w:footnoteRef/>
      </w:r>
      <w:r>
        <w:rPr>
          <w:b/>
          <w:i/>
          <w:color w:val="auto"/>
          <w:u w:val="single"/>
        </w:rPr>
        <w:t xml:space="preserve"> Dysponując mandatem częściowym, Rada dodała tę kolumnę zgodnie z częścią 6 rozporządzenia w sprawie wspólnych przepisów. Bez uszczerbku dla dalszego dostosowania w zależności od wyniku porozumienia międzyinstytucjonalnego w sprawie części 6 rozporządzenia w sprawie wspólnych przepisów. </w:t>
      </w:r>
    </w:p>
  </w:footnote>
  <w:footnote w:id="20">
    <w:p w14:paraId="22C674A9" w14:textId="77777777" w:rsidR="00E47C30" w:rsidRPr="00C2573A" w:rsidRDefault="00E47C30" w:rsidP="00C223C3">
      <w:pPr>
        <w:pStyle w:val="Tekstprzypisudolnego"/>
        <w:rPr>
          <w:i/>
          <w:color w:val="auto"/>
        </w:rPr>
      </w:pPr>
      <w:r>
        <w:rPr>
          <w:rStyle w:val="Odwoanieprzypisudolnego"/>
          <w:i/>
          <w:color w:val="auto"/>
        </w:rPr>
        <w:footnoteRef/>
      </w:r>
      <w:r>
        <w:rPr>
          <w:i/>
          <w:color w:val="auto"/>
        </w:rPr>
        <w:t xml:space="preserve"> Dysponując mandatem częściowym, Rada dodała punkt 1.10a, który został zmieniony dla celów poprawy jasności.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7D6BA7" w14:textId="77777777" w:rsidR="00E47C30" w:rsidRDefault="00E47C30">
    <w:pPr>
      <w:pStyle w:val="Nagwek"/>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7D39A" w14:textId="77777777" w:rsidR="00E47C30" w:rsidRDefault="00E47C30">
    <w:pPr>
      <w:pStyle w:val="Nagwek"/>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55A848" w14:textId="77777777" w:rsidR="00E47C30" w:rsidRDefault="00E47C30">
    <w:pPr>
      <w:pStyle w:val="Stopka"/>
      <w:pBdr>
        <w:bottom w:val="single" w:sz="4" w:space="1" w:color="7B6F46"/>
      </w:pBdr>
      <w:tabs>
        <w:tab w:val="right" w:pos="8820"/>
      </w:tabs>
      <w:ind w:right="3027"/>
      <w:jc w:val="cent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084183" w14:textId="77777777" w:rsidR="00E47C30" w:rsidRDefault="00E47C30">
    <w:pPr>
      <w:pStyle w:val="HeaderLandscap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70076" w14:textId="77777777" w:rsidR="00E47C30" w:rsidRDefault="00E47C30">
    <w:pPr>
      <w:pStyle w:val="Nagwek"/>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BDED99" w14:textId="77777777" w:rsidR="00E47C30" w:rsidRDefault="00E47C30">
    <w:pPr>
      <w:pStyle w:val="Nagwek"/>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0058B" w14:textId="77777777" w:rsidR="00E47C30" w:rsidRDefault="00E47C30">
    <w:pPr>
      <w:pStyle w:val="HeaderLandscap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F5D10E" w14:textId="77777777" w:rsidR="00E47C30" w:rsidRDefault="00E47C30">
    <w:pPr>
      <w:pStyle w:val="Nagwek"/>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572A1A" w14:textId="77777777" w:rsidR="00E47C30" w:rsidRDefault="00E47C30">
    <w:pPr>
      <w:pStyle w:val="Nagwek"/>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5D2B28" w14:textId="77777777" w:rsidR="00E47C30" w:rsidRDefault="00E47C30">
    <w:pPr>
      <w:pStyle w:val="HeaderLandscap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94157E" w14:textId="77777777" w:rsidR="00E47C30" w:rsidRDefault="00E47C30">
    <w:pPr>
      <w:pBdr>
        <w:top w:val="nil"/>
        <w:left w:val="nil"/>
        <w:bottom w:val="nil"/>
        <w:right w:val="nil"/>
        <w:between w:val="nil"/>
      </w:pBdr>
      <w:tabs>
        <w:tab w:val="center" w:pos="4536"/>
        <w:tab w:val="right" w:pos="9072"/>
      </w:tabs>
      <w:spacing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D225D9" w14:textId="77777777" w:rsidR="00E47C30" w:rsidRPr="00C8321B" w:rsidRDefault="00E47C30" w:rsidP="00C8321B">
    <w:pPr>
      <w:pStyle w:val="Nagwek"/>
      <w:jc w:val="center"/>
    </w:pPr>
    <w:r>
      <w:rPr>
        <w:noProof/>
        <w:lang w:eastAsia="pl-PL"/>
      </w:rPr>
      <w:drawing>
        <wp:anchor distT="0" distB="0" distL="114300" distR="114300" simplePos="0" relativeHeight="251656704" behindDoc="1" locked="0" layoutInCell="1" allowOverlap="1" wp14:anchorId="7E35F62B" wp14:editId="63E040A0">
          <wp:simplePos x="0" y="0"/>
          <wp:positionH relativeFrom="column">
            <wp:posOffset>-386713</wp:posOffset>
          </wp:positionH>
          <wp:positionV relativeFrom="paragraph">
            <wp:posOffset>9525</wp:posOffset>
          </wp:positionV>
          <wp:extent cx="6917130" cy="1439544"/>
          <wp:effectExtent l="0" t="0" r="0" b="8890"/>
          <wp:wrapNone/>
          <wp:docPr id="8" name="Grafik 12" title="Grafika programu Interreg Europa Środk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TORAGE\-Print\MA27\Report_DOC\Header50---long.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917130" cy="14395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2D72A" w14:textId="77777777" w:rsidR="00E47C30" w:rsidRDefault="00E47C30"/>
  <w:p w14:paraId="00053E3A" w14:textId="77777777" w:rsidR="00E47C30" w:rsidRDefault="00E47C30"/>
  <w:p w14:paraId="6430F3FC" w14:textId="77777777" w:rsidR="00E47C30" w:rsidRDefault="00E47C30"/>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38DB5" w14:textId="77777777" w:rsidR="00E47C30" w:rsidRDefault="00E47C30">
    <w:pPr>
      <w:pBdr>
        <w:top w:val="nil"/>
        <w:left w:val="nil"/>
        <w:bottom w:val="nil"/>
        <w:right w:val="nil"/>
        <w:between w:val="nil"/>
      </w:pBdr>
      <w:tabs>
        <w:tab w:val="center" w:pos="4536"/>
        <w:tab w:val="right" w:pos="9072"/>
      </w:tabs>
      <w:spacing w:line="240" w:lineRule="auto"/>
      <w:rPr>
        <w:color w:val="00000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65B91" w14:textId="77777777" w:rsidR="00E47C30" w:rsidRDefault="00E47C30">
    <w:pPr>
      <w:pBdr>
        <w:top w:val="nil"/>
        <w:left w:val="nil"/>
        <w:bottom w:val="nil"/>
        <w:right w:val="nil"/>
        <w:between w:val="nil"/>
      </w:pBdr>
      <w:tabs>
        <w:tab w:val="center" w:pos="7285"/>
        <w:tab w:val="right" w:pos="14003"/>
      </w:tabs>
      <w:spacing w:after="120" w:line="240" w:lineRule="auto"/>
      <w:rPr>
        <w:color w:val="000000"/>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59E6A4" w14:textId="77777777" w:rsidR="00E47C30" w:rsidRDefault="00E47C30" w:rsidP="00D41EE5">
    <w:pPr>
      <w:pStyle w:val="Nagwek"/>
      <w:ind w:left="-1559"/>
    </w:pPr>
    <w:r>
      <w:rPr>
        <w:noProof/>
        <w:lang w:eastAsia="pl-PL"/>
      </w:rPr>
      <w:drawing>
        <wp:anchor distT="0" distB="0" distL="114300" distR="114300" simplePos="0" relativeHeight="251657728" behindDoc="1" locked="0" layoutInCell="1" allowOverlap="1" wp14:anchorId="4B8054AD" wp14:editId="1EE81D47">
          <wp:simplePos x="0" y="0"/>
          <wp:positionH relativeFrom="column">
            <wp:posOffset>-775408</wp:posOffset>
          </wp:positionH>
          <wp:positionV relativeFrom="paragraph">
            <wp:posOffset>-9525</wp:posOffset>
          </wp:positionV>
          <wp:extent cx="7623263" cy="10783229"/>
          <wp:effectExtent l="0" t="0" r="0" b="0"/>
          <wp:wrapNone/>
          <wp:docPr id="9" name="Grafik 13" title="Grafika programu Interreg Europa Środk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3263" cy="10783229"/>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A7847" w14:textId="77777777" w:rsidR="00E47C30" w:rsidRDefault="00E47C30">
    <w:pPr>
      <w:pBdr>
        <w:top w:val="nil"/>
        <w:left w:val="nil"/>
        <w:bottom w:val="nil"/>
        <w:right w:val="nil"/>
        <w:between w:val="nil"/>
      </w:pBdr>
      <w:tabs>
        <w:tab w:val="center" w:pos="4536"/>
        <w:tab w:val="right" w:pos="9072"/>
      </w:tabs>
      <w:spacing w:line="240" w:lineRule="auto"/>
      <w:rPr>
        <w:color w:val="00000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C2740" w14:textId="77777777" w:rsidR="00E47C30" w:rsidRDefault="00E47C30">
    <w:pPr>
      <w:pBdr>
        <w:top w:val="nil"/>
        <w:left w:val="nil"/>
        <w:bottom w:val="nil"/>
        <w:right w:val="nil"/>
        <w:between w:val="nil"/>
      </w:pBdr>
      <w:tabs>
        <w:tab w:val="center" w:pos="4536"/>
        <w:tab w:val="right" w:pos="9072"/>
      </w:tabs>
      <w:spacing w:line="240" w:lineRule="auto"/>
      <w:rPr>
        <w:color w:val="00000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CE15D" w14:textId="77777777" w:rsidR="00E47C30" w:rsidRDefault="00E47C30">
    <w:pPr>
      <w:pBdr>
        <w:top w:val="nil"/>
        <w:left w:val="nil"/>
        <w:bottom w:val="nil"/>
        <w:right w:val="nil"/>
        <w:between w:val="nil"/>
      </w:pBdr>
      <w:tabs>
        <w:tab w:val="center" w:pos="4536"/>
        <w:tab w:val="right" w:pos="9072"/>
      </w:tabs>
      <w:spacing w:line="240" w:lineRule="auto"/>
      <w:rPr>
        <w:color w:val="00000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28168" w14:textId="77777777" w:rsidR="00E47C30" w:rsidRDefault="00E47C30">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92EB2" w14:textId="77777777" w:rsidR="00E47C30" w:rsidRPr="00882A63" w:rsidRDefault="00E47C30" w:rsidP="00882A63">
    <w:pPr>
      <w:pStyle w:val="Nagwek"/>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F98D7" w14:textId="77777777" w:rsidR="00E47C30" w:rsidRDefault="00E47C30">
    <w:pPr>
      <w:pStyle w:val="HeaderLandscap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D5AD7"/>
    <w:multiLevelType w:val="hybridMultilevel"/>
    <w:tmpl w:val="7546945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nsid w:val="04847587"/>
    <w:multiLevelType w:val="hybridMultilevel"/>
    <w:tmpl w:val="2E6C625A"/>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
    <w:nsid w:val="057A53A9"/>
    <w:multiLevelType w:val="hybridMultilevel"/>
    <w:tmpl w:val="2F7CF5E6"/>
    <w:lvl w:ilvl="0" w:tplc="79869E96">
      <w:start w:val="1"/>
      <w:numFmt w:val="upperLetter"/>
      <w:pStyle w:val="Headline1part"/>
      <w:lvlText w:val="%1."/>
      <w:lvlJc w:val="left"/>
      <w:pPr>
        <w:ind w:left="3054" w:hanging="360"/>
      </w:pPr>
      <w:rPr>
        <w:rFonts w:ascii="Arial Rounded MT Bold" w:eastAsia="Calibri" w:hAnsi="Arial Rounded MT Bold" w:cs="Times New Roman"/>
      </w:rPr>
    </w:lvl>
    <w:lvl w:ilvl="1" w:tplc="8F76168C" w:tentative="1">
      <w:start w:val="1"/>
      <w:numFmt w:val="lowerLetter"/>
      <w:lvlText w:val="%2."/>
      <w:lvlJc w:val="left"/>
      <w:pPr>
        <w:ind w:left="3774" w:hanging="360"/>
      </w:pPr>
    </w:lvl>
    <w:lvl w:ilvl="2" w:tplc="4866C924" w:tentative="1">
      <w:start w:val="1"/>
      <w:numFmt w:val="lowerRoman"/>
      <w:lvlText w:val="%3."/>
      <w:lvlJc w:val="right"/>
      <w:pPr>
        <w:ind w:left="4494" w:hanging="180"/>
      </w:pPr>
    </w:lvl>
    <w:lvl w:ilvl="3" w:tplc="2702F0F6" w:tentative="1">
      <w:start w:val="1"/>
      <w:numFmt w:val="decimal"/>
      <w:lvlText w:val="%4."/>
      <w:lvlJc w:val="left"/>
      <w:pPr>
        <w:ind w:left="5214" w:hanging="360"/>
      </w:pPr>
    </w:lvl>
    <w:lvl w:ilvl="4" w:tplc="ACFCB9A6" w:tentative="1">
      <w:start w:val="1"/>
      <w:numFmt w:val="lowerLetter"/>
      <w:lvlText w:val="%5."/>
      <w:lvlJc w:val="left"/>
      <w:pPr>
        <w:ind w:left="5934" w:hanging="360"/>
      </w:pPr>
    </w:lvl>
    <w:lvl w:ilvl="5" w:tplc="9B3CF642" w:tentative="1">
      <w:start w:val="1"/>
      <w:numFmt w:val="lowerRoman"/>
      <w:lvlText w:val="%6."/>
      <w:lvlJc w:val="right"/>
      <w:pPr>
        <w:ind w:left="6654" w:hanging="180"/>
      </w:pPr>
    </w:lvl>
    <w:lvl w:ilvl="6" w:tplc="D20802FA" w:tentative="1">
      <w:start w:val="1"/>
      <w:numFmt w:val="decimal"/>
      <w:lvlText w:val="%7."/>
      <w:lvlJc w:val="left"/>
      <w:pPr>
        <w:ind w:left="7374" w:hanging="360"/>
      </w:pPr>
    </w:lvl>
    <w:lvl w:ilvl="7" w:tplc="A6800A68" w:tentative="1">
      <w:start w:val="1"/>
      <w:numFmt w:val="lowerLetter"/>
      <w:lvlText w:val="%8."/>
      <w:lvlJc w:val="left"/>
      <w:pPr>
        <w:ind w:left="8094" w:hanging="360"/>
      </w:pPr>
    </w:lvl>
    <w:lvl w:ilvl="8" w:tplc="89B66CF6" w:tentative="1">
      <w:start w:val="1"/>
      <w:numFmt w:val="lowerRoman"/>
      <w:lvlText w:val="%9."/>
      <w:lvlJc w:val="right"/>
      <w:pPr>
        <w:ind w:left="8814" w:hanging="180"/>
      </w:pPr>
    </w:lvl>
  </w:abstractNum>
  <w:abstractNum w:abstractNumId="3">
    <w:nsid w:val="063B4036"/>
    <w:multiLevelType w:val="hybridMultilevel"/>
    <w:tmpl w:val="52DE7D8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72B2FBB"/>
    <w:multiLevelType w:val="hybridMultilevel"/>
    <w:tmpl w:val="9E3AA284"/>
    <w:lvl w:ilvl="0" w:tplc="08090017">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07C129B0"/>
    <w:multiLevelType w:val="hybridMultilevel"/>
    <w:tmpl w:val="D1482FDC"/>
    <w:lvl w:ilvl="0" w:tplc="18086192">
      <w:start w:val="1"/>
      <w:numFmt w:val="bullet"/>
      <w:pStyle w:val="CommsHeading1"/>
      <w:lvlText w:val="o"/>
      <w:lvlJc w:val="left"/>
      <w:pPr>
        <w:ind w:left="1789" w:hanging="360"/>
      </w:pPr>
      <w:rPr>
        <w:rFonts w:ascii="Courier New" w:hAnsi="Courier New" w:cs="Courier New" w:hint="default"/>
      </w:rPr>
    </w:lvl>
    <w:lvl w:ilvl="1" w:tplc="0C070019">
      <w:start w:val="1"/>
      <w:numFmt w:val="bullet"/>
      <w:lvlText w:val="o"/>
      <w:lvlJc w:val="left"/>
      <w:pPr>
        <w:ind w:left="2509" w:hanging="360"/>
      </w:pPr>
      <w:rPr>
        <w:rFonts w:ascii="Courier New" w:hAnsi="Courier New" w:cs="Courier New" w:hint="default"/>
      </w:rPr>
    </w:lvl>
    <w:lvl w:ilvl="2" w:tplc="0C07001B" w:tentative="1">
      <w:start w:val="1"/>
      <w:numFmt w:val="bullet"/>
      <w:lvlText w:val=""/>
      <w:lvlJc w:val="left"/>
      <w:pPr>
        <w:ind w:left="3229" w:hanging="360"/>
      </w:pPr>
      <w:rPr>
        <w:rFonts w:ascii="Wingdings" w:hAnsi="Wingdings" w:hint="default"/>
      </w:rPr>
    </w:lvl>
    <w:lvl w:ilvl="3" w:tplc="0C07000F" w:tentative="1">
      <w:start w:val="1"/>
      <w:numFmt w:val="bullet"/>
      <w:lvlText w:val=""/>
      <w:lvlJc w:val="left"/>
      <w:pPr>
        <w:ind w:left="3949" w:hanging="360"/>
      </w:pPr>
      <w:rPr>
        <w:rFonts w:ascii="Symbol" w:hAnsi="Symbol" w:hint="default"/>
      </w:rPr>
    </w:lvl>
    <w:lvl w:ilvl="4" w:tplc="0C070019" w:tentative="1">
      <w:start w:val="1"/>
      <w:numFmt w:val="bullet"/>
      <w:lvlText w:val="o"/>
      <w:lvlJc w:val="left"/>
      <w:pPr>
        <w:ind w:left="4669" w:hanging="360"/>
      </w:pPr>
      <w:rPr>
        <w:rFonts w:ascii="Courier New" w:hAnsi="Courier New" w:cs="Courier New" w:hint="default"/>
      </w:rPr>
    </w:lvl>
    <w:lvl w:ilvl="5" w:tplc="0C07001B" w:tentative="1">
      <w:start w:val="1"/>
      <w:numFmt w:val="bullet"/>
      <w:lvlText w:val=""/>
      <w:lvlJc w:val="left"/>
      <w:pPr>
        <w:ind w:left="5389" w:hanging="360"/>
      </w:pPr>
      <w:rPr>
        <w:rFonts w:ascii="Wingdings" w:hAnsi="Wingdings" w:hint="default"/>
      </w:rPr>
    </w:lvl>
    <w:lvl w:ilvl="6" w:tplc="0C07000F" w:tentative="1">
      <w:start w:val="1"/>
      <w:numFmt w:val="bullet"/>
      <w:lvlText w:val=""/>
      <w:lvlJc w:val="left"/>
      <w:pPr>
        <w:ind w:left="6109" w:hanging="360"/>
      </w:pPr>
      <w:rPr>
        <w:rFonts w:ascii="Symbol" w:hAnsi="Symbol" w:hint="default"/>
      </w:rPr>
    </w:lvl>
    <w:lvl w:ilvl="7" w:tplc="0C070019" w:tentative="1">
      <w:start w:val="1"/>
      <w:numFmt w:val="bullet"/>
      <w:lvlText w:val="o"/>
      <w:lvlJc w:val="left"/>
      <w:pPr>
        <w:ind w:left="6829" w:hanging="360"/>
      </w:pPr>
      <w:rPr>
        <w:rFonts w:ascii="Courier New" w:hAnsi="Courier New" w:cs="Courier New" w:hint="default"/>
      </w:rPr>
    </w:lvl>
    <w:lvl w:ilvl="8" w:tplc="0C07001B" w:tentative="1">
      <w:start w:val="1"/>
      <w:numFmt w:val="bullet"/>
      <w:lvlText w:val=""/>
      <w:lvlJc w:val="left"/>
      <w:pPr>
        <w:ind w:left="7549" w:hanging="360"/>
      </w:pPr>
      <w:rPr>
        <w:rFonts w:ascii="Wingdings" w:hAnsi="Wingdings" w:hint="default"/>
      </w:rPr>
    </w:lvl>
  </w:abstractNum>
  <w:abstractNum w:abstractNumId="6">
    <w:nsid w:val="0EDF2766"/>
    <w:multiLevelType w:val="hybridMultilevel"/>
    <w:tmpl w:val="0DA6FBEC"/>
    <w:lvl w:ilvl="0" w:tplc="0407000F">
      <w:start w:val="1"/>
      <w:numFmt w:val="decimal"/>
      <w:pStyle w:val="Nagwek3"/>
      <w:lvlText w:val="A.1.%1."/>
      <w:lvlJc w:val="left"/>
      <w:pPr>
        <w:ind w:left="2204" w:hanging="360"/>
      </w:pPr>
      <w:rPr>
        <w:rFonts w:hint="default"/>
      </w:rPr>
    </w:lvl>
    <w:lvl w:ilvl="1" w:tplc="0C070003" w:tentative="1">
      <w:start w:val="1"/>
      <w:numFmt w:val="lowerLetter"/>
      <w:lvlText w:val="%2."/>
      <w:lvlJc w:val="left"/>
      <w:pPr>
        <w:ind w:left="1440" w:hanging="360"/>
      </w:pPr>
    </w:lvl>
    <w:lvl w:ilvl="2" w:tplc="0C070005" w:tentative="1">
      <w:start w:val="1"/>
      <w:numFmt w:val="lowerRoman"/>
      <w:lvlText w:val="%3."/>
      <w:lvlJc w:val="right"/>
      <w:pPr>
        <w:ind w:left="2160" w:hanging="180"/>
      </w:pPr>
    </w:lvl>
    <w:lvl w:ilvl="3" w:tplc="0C070001" w:tentative="1">
      <w:start w:val="1"/>
      <w:numFmt w:val="decimal"/>
      <w:lvlText w:val="%4."/>
      <w:lvlJc w:val="left"/>
      <w:pPr>
        <w:ind w:left="2880" w:hanging="360"/>
      </w:pPr>
    </w:lvl>
    <w:lvl w:ilvl="4" w:tplc="0C070003" w:tentative="1">
      <w:start w:val="1"/>
      <w:numFmt w:val="lowerLetter"/>
      <w:lvlText w:val="%5."/>
      <w:lvlJc w:val="left"/>
      <w:pPr>
        <w:ind w:left="3600" w:hanging="360"/>
      </w:pPr>
    </w:lvl>
    <w:lvl w:ilvl="5" w:tplc="0C070005" w:tentative="1">
      <w:start w:val="1"/>
      <w:numFmt w:val="lowerRoman"/>
      <w:lvlText w:val="%6."/>
      <w:lvlJc w:val="right"/>
      <w:pPr>
        <w:ind w:left="4320" w:hanging="180"/>
      </w:pPr>
    </w:lvl>
    <w:lvl w:ilvl="6" w:tplc="0C070001" w:tentative="1">
      <w:start w:val="1"/>
      <w:numFmt w:val="decimal"/>
      <w:lvlText w:val="%7."/>
      <w:lvlJc w:val="left"/>
      <w:pPr>
        <w:ind w:left="5040" w:hanging="360"/>
      </w:pPr>
    </w:lvl>
    <w:lvl w:ilvl="7" w:tplc="0C070003" w:tentative="1">
      <w:start w:val="1"/>
      <w:numFmt w:val="lowerLetter"/>
      <w:lvlText w:val="%8."/>
      <w:lvlJc w:val="left"/>
      <w:pPr>
        <w:ind w:left="5760" w:hanging="360"/>
      </w:pPr>
    </w:lvl>
    <w:lvl w:ilvl="8" w:tplc="0C070005" w:tentative="1">
      <w:start w:val="1"/>
      <w:numFmt w:val="lowerRoman"/>
      <w:lvlText w:val="%9."/>
      <w:lvlJc w:val="right"/>
      <w:pPr>
        <w:ind w:left="6480" w:hanging="180"/>
      </w:pPr>
    </w:lvl>
  </w:abstractNum>
  <w:abstractNum w:abstractNumId="7">
    <w:nsid w:val="0F531A34"/>
    <w:multiLevelType w:val="multilevel"/>
    <w:tmpl w:val="1FE28E64"/>
    <w:styleLink w:val="CentralEuropeStandard"/>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8">
    <w:nsid w:val="0F903F6C"/>
    <w:multiLevelType w:val="hybridMultilevel"/>
    <w:tmpl w:val="9D30A51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9">
    <w:nsid w:val="18A117FF"/>
    <w:multiLevelType w:val="hybridMultilevel"/>
    <w:tmpl w:val="870AF06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nsid w:val="18AE6DF8"/>
    <w:multiLevelType w:val="multilevel"/>
    <w:tmpl w:val="21CCD3D4"/>
    <w:lvl w:ilvl="0">
      <w:start w:val="1"/>
      <w:numFmt w:val="decimal"/>
      <w:pStyle w:val="Point0number"/>
      <w:lvlText w:val="%1."/>
      <w:lvlJc w:val="left"/>
      <w:pPr>
        <w:tabs>
          <w:tab w:val="num" w:pos="720"/>
        </w:tabs>
        <w:ind w:left="720" w:hanging="720"/>
      </w:pPr>
    </w:lvl>
    <w:lvl w:ilvl="1">
      <w:start w:val="1"/>
      <w:numFmt w:val="decimal"/>
      <w:pStyle w:val="Point0letter"/>
      <w:lvlText w:val="%2."/>
      <w:lvlJc w:val="left"/>
      <w:pPr>
        <w:tabs>
          <w:tab w:val="num" w:pos="1440"/>
        </w:tabs>
        <w:ind w:left="1440" w:hanging="720"/>
      </w:pPr>
    </w:lvl>
    <w:lvl w:ilvl="2">
      <w:start w:val="1"/>
      <w:numFmt w:val="decimal"/>
      <w:pStyle w:val="Point1number"/>
      <w:lvlText w:val="%3."/>
      <w:lvlJc w:val="left"/>
      <w:pPr>
        <w:tabs>
          <w:tab w:val="num" w:pos="2160"/>
        </w:tabs>
        <w:ind w:left="2160" w:hanging="720"/>
      </w:pPr>
    </w:lvl>
    <w:lvl w:ilvl="3">
      <w:start w:val="1"/>
      <w:numFmt w:val="decimal"/>
      <w:pStyle w:val="Point1letter"/>
      <w:lvlText w:val="%4."/>
      <w:lvlJc w:val="left"/>
      <w:pPr>
        <w:tabs>
          <w:tab w:val="num" w:pos="2880"/>
        </w:tabs>
        <w:ind w:left="2880" w:hanging="720"/>
      </w:pPr>
    </w:lvl>
    <w:lvl w:ilvl="4">
      <w:start w:val="1"/>
      <w:numFmt w:val="decimal"/>
      <w:pStyle w:val="Point2number"/>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Point3number"/>
      <w:lvlText w:val="%7."/>
      <w:lvlJc w:val="left"/>
      <w:pPr>
        <w:tabs>
          <w:tab w:val="num" w:pos="5040"/>
        </w:tabs>
        <w:ind w:left="5040" w:hanging="720"/>
      </w:pPr>
    </w:lvl>
    <w:lvl w:ilvl="7">
      <w:start w:val="1"/>
      <w:numFmt w:val="decimal"/>
      <w:pStyle w:val="Point3letter"/>
      <w:lvlText w:val="%8."/>
      <w:lvlJc w:val="left"/>
      <w:pPr>
        <w:tabs>
          <w:tab w:val="num" w:pos="5760"/>
        </w:tabs>
        <w:ind w:left="5760" w:hanging="720"/>
      </w:pPr>
    </w:lvl>
    <w:lvl w:ilvl="8">
      <w:start w:val="1"/>
      <w:numFmt w:val="decimal"/>
      <w:pStyle w:val="Point4letter"/>
      <w:lvlText w:val="%9."/>
      <w:lvlJc w:val="left"/>
      <w:pPr>
        <w:tabs>
          <w:tab w:val="num" w:pos="6480"/>
        </w:tabs>
        <w:ind w:left="6480" w:hanging="720"/>
      </w:pPr>
    </w:lvl>
  </w:abstractNum>
  <w:abstractNum w:abstractNumId="11">
    <w:nsid w:val="199644BF"/>
    <w:multiLevelType w:val="hybridMultilevel"/>
    <w:tmpl w:val="29200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AC81F55"/>
    <w:multiLevelType w:val="hybridMultilevel"/>
    <w:tmpl w:val="6EFE772E"/>
    <w:lvl w:ilvl="0" w:tplc="5B3ECE72">
      <w:start w:val="1"/>
      <w:numFmt w:val="bullet"/>
      <w:pStyle w:val="CE-BulletPoint3"/>
      <w:lvlText w:val="&gt;"/>
      <w:lvlJc w:val="left"/>
      <w:pPr>
        <w:ind w:left="644" w:hanging="360"/>
      </w:pPr>
      <w:rPr>
        <w:rFonts w:ascii="Trebuchet MS" w:hAnsi="Trebuchet MS" w:hint="default"/>
        <w:color w:val="7E93A5" w:themeColor="background2"/>
      </w:rPr>
    </w:lvl>
    <w:lvl w:ilvl="1" w:tplc="0C070003" w:tentative="1">
      <w:start w:val="1"/>
      <w:numFmt w:val="bullet"/>
      <w:lvlText w:val="o"/>
      <w:lvlJc w:val="left"/>
      <w:pPr>
        <w:ind w:left="2007" w:hanging="360"/>
      </w:pPr>
      <w:rPr>
        <w:rFonts w:ascii="Courier New" w:hAnsi="Courier New" w:cs="Courier New" w:hint="default"/>
      </w:rPr>
    </w:lvl>
    <w:lvl w:ilvl="2" w:tplc="0C070005" w:tentative="1">
      <w:start w:val="1"/>
      <w:numFmt w:val="bullet"/>
      <w:lvlText w:val=""/>
      <w:lvlJc w:val="left"/>
      <w:pPr>
        <w:ind w:left="2727" w:hanging="360"/>
      </w:pPr>
      <w:rPr>
        <w:rFonts w:ascii="Wingdings" w:hAnsi="Wingdings" w:hint="default"/>
      </w:rPr>
    </w:lvl>
    <w:lvl w:ilvl="3" w:tplc="0C070001" w:tentative="1">
      <w:start w:val="1"/>
      <w:numFmt w:val="bullet"/>
      <w:lvlText w:val=""/>
      <w:lvlJc w:val="left"/>
      <w:pPr>
        <w:ind w:left="3447" w:hanging="360"/>
      </w:pPr>
      <w:rPr>
        <w:rFonts w:ascii="Symbol" w:hAnsi="Symbol" w:hint="default"/>
      </w:rPr>
    </w:lvl>
    <w:lvl w:ilvl="4" w:tplc="0C070003" w:tentative="1">
      <w:start w:val="1"/>
      <w:numFmt w:val="bullet"/>
      <w:lvlText w:val="o"/>
      <w:lvlJc w:val="left"/>
      <w:pPr>
        <w:ind w:left="4167" w:hanging="360"/>
      </w:pPr>
      <w:rPr>
        <w:rFonts w:ascii="Courier New" w:hAnsi="Courier New" w:cs="Courier New" w:hint="default"/>
      </w:rPr>
    </w:lvl>
    <w:lvl w:ilvl="5" w:tplc="0C070005" w:tentative="1">
      <w:start w:val="1"/>
      <w:numFmt w:val="bullet"/>
      <w:lvlText w:val=""/>
      <w:lvlJc w:val="left"/>
      <w:pPr>
        <w:ind w:left="4887" w:hanging="360"/>
      </w:pPr>
      <w:rPr>
        <w:rFonts w:ascii="Wingdings" w:hAnsi="Wingdings" w:hint="default"/>
      </w:rPr>
    </w:lvl>
    <w:lvl w:ilvl="6" w:tplc="0C070001" w:tentative="1">
      <w:start w:val="1"/>
      <w:numFmt w:val="bullet"/>
      <w:lvlText w:val=""/>
      <w:lvlJc w:val="left"/>
      <w:pPr>
        <w:ind w:left="5607" w:hanging="360"/>
      </w:pPr>
      <w:rPr>
        <w:rFonts w:ascii="Symbol" w:hAnsi="Symbol" w:hint="default"/>
      </w:rPr>
    </w:lvl>
    <w:lvl w:ilvl="7" w:tplc="0C070003" w:tentative="1">
      <w:start w:val="1"/>
      <w:numFmt w:val="bullet"/>
      <w:lvlText w:val="o"/>
      <w:lvlJc w:val="left"/>
      <w:pPr>
        <w:ind w:left="6327" w:hanging="360"/>
      </w:pPr>
      <w:rPr>
        <w:rFonts w:ascii="Courier New" w:hAnsi="Courier New" w:cs="Courier New" w:hint="default"/>
      </w:rPr>
    </w:lvl>
    <w:lvl w:ilvl="8" w:tplc="0C070005" w:tentative="1">
      <w:start w:val="1"/>
      <w:numFmt w:val="bullet"/>
      <w:lvlText w:val=""/>
      <w:lvlJc w:val="left"/>
      <w:pPr>
        <w:ind w:left="7047" w:hanging="360"/>
      </w:pPr>
      <w:rPr>
        <w:rFonts w:ascii="Wingdings" w:hAnsi="Wingdings" w:hint="default"/>
      </w:rPr>
    </w:lvl>
  </w:abstractNum>
  <w:abstractNum w:abstractNumId="13">
    <w:nsid w:val="1D3825C1"/>
    <w:multiLevelType w:val="hybridMultilevel"/>
    <w:tmpl w:val="4F6433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240D51B8"/>
    <w:multiLevelType w:val="multilevel"/>
    <w:tmpl w:val="99223750"/>
    <w:styleLink w:val="CE-HeadNumbering"/>
    <w:lvl w:ilvl="0">
      <w:start w:val="1"/>
      <w:numFmt w:val="decimal"/>
      <w:pStyle w:val="CE-Headline1"/>
      <w:suff w:val="space"/>
      <w:lvlText w:val="%1."/>
      <w:lvlJc w:val="left"/>
      <w:pPr>
        <w:ind w:left="0" w:firstLine="0"/>
      </w:pPr>
      <w:rPr>
        <w:rFonts w:hint="default"/>
      </w:rPr>
    </w:lvl>
    <w:lvl w:ilvl="1">
      <w:start w:val="1"/>
      <w:numFmt w:val="decimal"/>
      <w:pStyle w:val="CE-Headline2"/>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5">
    <w:nsid w:val="24C01312"/>
    <w:multiLevelType w:val="multilevel"/>
    <w:tmpl w:val="99223750"/>
    <w:numStyleLink w:val="CE-HeadNumbering"/>
  </w:abstractNum>
  <w:abstractNum w:abstractNumId="16">
    <w:nsid w:val="25252626"/>
    <w:multiLevelType w:val="multilevel"/>
    <w:tmpl w:val="7640E3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265C5F5E"/>
    <w:multiLevelType w:val="hybridMultilevel"/>
    <w:tmpl w:val="BCD85B3C"/>
    <w:lvl w:ilvl="0" w:tplc="08090001">
      <w:start w:val="1"/>
      <w:numFmt w:val="bullet"/>
      <w:lvlText w:val=""/>
      <w:lvlJc w:val="left"/>
      <w:pPr>
        <w:ind w:left="747" w:hanging="360"/>
      </w:pPr>
      <w:rPr>
        <w:rFonts w:ascii="Symbol" w:hAnsi="Symbol" w:hint="default"/>
      </w:rPr>
    </w:lvl>
    <w:lvl w:ilvl="1" w:tplc="08090003" w:tentative="1">
      <w:start w:val="1"/>
      <w:numFmt w:val="bullet"/>
      <w:lvlText w:val="o"/>
      <w:lvlJc w:val="left"/>
      <w:pPr>
        <w:ind w:left="1467" w:hanging="360"/>
      </w:pPr>
      <w:rPr>
        <w:rFonts w:ascii="Courier New" w:hAnsi="Courier New" w:cs="Courier New" w:hint="default"/>
      </w:rPr>
    </w:lvl>
    <w:lvl w:ilvl="2" w:tplc="08090005" w:tentative="1">
      <w:start w:val="1"/>
      <w:numFmt w:val="bullet"/>
      <w:lvlText w:val=""/>
      <w:lvlJc w:val="left"/>
      <w:pPr>
        <w:ind w:left="2187" w:hanging="360"/>
      </w:pPr>
      <w:rPr>
        <w:rFonts w:ascii="Wingdings" w:hAnsi="Wingdings" w:hint="default"/>
      </w:rPr>
    </w:lvl>
    <w:lvl w:ilvl="3" w:tplc="08090001" w:tentative="1">
      <w:start w:val="1"/>
      <w:numFmt w:val="bullet"/>
      <w:lvlText w:val=""/>
      <w:lvlJc w:val="left"/>
      <w:pPr>
        <w:ind w:left="2907" w:hanging="360"/>
      </w:pPr>
      <w:rPr>
        <w:rFonts w:ascii="Symbol" w:hAnsi="Symbol" w:hint="default"/>
      </w:rPr>
    </w:lvl>
    <w:lvl w:ilvl="4" w:tplc="08090003" w:tentative="1">
      <w:start w:val="1"/>
      <w:numFmt w:val="bullet"/>
      <w:lvlText w:val="o"/>
      <w:lvlJc w:val="left"/>
      <w:pPr>
        <w:ind w:left="3627" w:hanging="360"/>
      </w:pPr>
      <w:rPr>
        <w:rFonts w:ascii="Courier New" w:hAnsi="Courier New" w:cs="Courier New" w:hint="default"/>
      </w:rPr>
    </w:lvl>
    <w:lvl w:ilvl="5" w:tplc="08090005" w:tentative="1">
      <w:start w:val="1"/>
      <w:numFmt w:val="bullet"/>
      <w:lvlText w:val=""/>
      <w:lvlJc w:val="left"/>
      <w:pPr>
        <w:ind w:left="4347" w:hanging="360"/>
      </w:pPr>
      <w:rPr>
        <w:rFonts w:ascii="Wingdings" w:hAnsi="Wingdings" w:hint="default"/>
      </w:rPr>
    </w:lvl>
    <w:lvl w:ilvl="6" w:tplc="08090001" w:tentative="1">
      <w:start w:val="1"/>
      <w:numFmt w:val="bullet"/>
      <w:lvlText w:val=""/>
      <w:lvlJc w:val="left"/>
      <w:pPr>
        <w:ind w:left="5067" w:hanging="360"/>
      </w:pPr>
      <w:rPr>
        <w:rFonts w:ascii="Symbol" w:hAnsi="Symbol" w:hint="default"/>
      </w:rPr>
    </w:lvl>
    <w:lvl w:ilvl="7" w:tplc="08090003" w:tentative="1">
      <w:start w:val="1"/>
      <w:numFmt w:val="bullet"/>
      <w:lvlText w:val="o"/>
      <w:lvlJc w:val="left"/>
      <w:pPr>
        <w:ind w:left="5787" w:hanging="360"/>
      </w:pPr>
      <w:rPr>
        <w:rFonts w:ascii="Courier New" w:hAnsi="Courier New" w:cs="Courier New" w:hint="default"/>
      </w:rPr>
    </w:lvl>
    <w:lvl w:ilvl="8" w:tplc="08090005" w:tentative="1">
      <w:start w:val="1"/>
      <w:numFmt w:val="bullet"/>
      <w:lvlText w:val=""/>
      <w:lvlJc w:val="left"/>
      <w:pPr>
        <w:ind w:left="6507" w:hanging="360"/>
      </w:pPr>
      <w:rPr>
        <w:rFonts w:ascii="Wingdings" w:hAnsi="Wingdings" w:hint="default"/>
      </w:rPr>
    </w:lvl>
  </w:abstractNum>
  <w:abstractNum w:abstractNumId="18">
    <w:nsid w:val="270F24EA"/>
    <w:multiLevelType w:val="hybridMultilevel"/>
    <w:tmpl w:val="39DC1A16"/>
    <w:lvl w:ilvl="0" w:tplc="0C070001">
      <w:start w:val="1"/>
      <w:numFmt w:val="bullet"/>
      <w:lvlText w:val=""/>
      <w:lvlJc w:val="left"/>
      <w:pPr>
        <w:ind w:left="671" w:hanging="360"/>
      </w:pPr>
      <w:rPr>
        <w:rFonts w:ascii="Symbol" w:hAnsi="Symbol" w:hint="default"/>
      </w:rPr>
    </w:lvl>
    <w:lvl w:ilvl="1" w:tplc="0C070003" w:tentative="1">
      <w:start w:val="1"/>
      <w:numFmt w:val="bullet"/>
      <w:lvlText w:val="o"/>
      <w:lvlJc w:val="left"/>
      <w:pPr>
        <w:ind w:left="1391" w:hanging="360"/>
      </w:pPr>
      <w:rPr>
        <w:rFonts w:ascii="Courier New" w:hAnsi="Courier New" w:cs="Courier New" w:hint="default"/>
      </w:rPr>
    </w:lvl>
    <w:lvl w:ilvl="2" w:tplc="0C070005" w:tentative="1">
      <w:start w:val="1"/>
      <w:numFmt w:val="bullet"/>
      <w:lvlText w:val=""/>
      <w:lvlJc w:val="left"/>
      <w:pPr>
        <w:ind w:left="2111" w:hanging="360"/>
      </w:pPr>
      <w:rPr>
        <w:rFonts w:ascii="Wingdings" w:hAnsi="Wingdings" w:hint="default"/>
      </w:rPr>
    </w:lvl>
    <w:lvl w:ilvl="3" w:tplc="0C070001" w:tentative="1">
      <w:start w:val="1"/>
      <w:numFmt w:val="bullet"/>
      <w:lvlText w:val=""/>
      <w:lvlJc w:val="left"/>
      <w:pPr>
        <w:ind w:left="2831" w:hanging="360"/>
      </w:pPr>
      <w:rPr>
        <w:rFonts w:ascii="Symbol" w:hAnsi="Symbol" w:hint="default"/>
      </w:rPr>
    </w:lvl>
    <w:lvl w:ilvl="4" w:tplc="0C070003" w:tentative="1">
      <w:start w:val="1"/>
      <w:numFmt w:val="bullet"/>
      <w:lvlText w:val="o"/>
      <w:lvlJc w:val="left"/>
      <w:pPr>
        <w:ind w:left="3551" w:hanging="360"/>
      </w:pPr>
      <w:rPr>
        <w:rFonts w:ascii="Courier New" w:hAnsi="Courier New" w:cs="Courier New" w:hint="default"/>
      </w:rPr>
    </w:lvl>
    <w:lvl w:ilvl="5" w:tplc="0C070005" w:tentative="1">
      <w:start w:val="1"/>
      <w:numFmt w:val="bullet"/>
      <w:lvlText w:val=""/>
      <w:lvlJc w:val="left"/>
      <w:pPr>
        <w:ind w:left="4271" w:hanging="360"/>
      </w:pPr>
      <w:rPr>
        <w:rFonts w:ascii="Wingdings" w:hAnsi="Wingdings" w:hint="default"/>
      </w:rPr>
    </w:lvl>
    <w:lvl w:ilvl="6" w:tplc="0C070001" w:tentative="1">
      <w:start w:val="1"/>
      <w:numFmt w:val="bullet"/>
      <w:lvlText w:val=""/>
      <w:lvlJc w:val="left"/>
      <w:pPr>
        <w:ind w:left="4991" w:hanging="360"/>
      </w:pPr>
      <w:rPr>
        <w:rFonts w:ascii="Symbol" w:hAnsi="Symbol" w:hint="default"/>
      </w:rPr>
    </w:lvl>
    <w:lvl w:ilvl="7" w:tplc="0C070003" w:tentative="1">
      <w:start w:val="1"/>
      <w:numFmt w:val="bullet"/>
      <w:lvlText w:val="o"/>
      <w:lvlJc w:val="left"/>
      <w:pPr>
        <w:ind w:left="5711" w:hanging="360"/>
      </w:pPr>
      <w:rPr>
        <w:rFonts w:ascii="Courier New" w:hAnsi="Courier New" w:cs="Courier New" w:hint="default"/>
      </w:rPr>
    </w:lvl>
    <w:lvl w:ilvl="8" w:tplc="0C070005" w:tentative="1">
      <w:start w:val="1"/>
      <w:numFmt w:val="bullet"/>
      <w:lvlText w:val=""/>
      <w:lvlJc w:val="left"/>
      <w:pPr>
        <w:ind w:left="6431" w:hanging="360"/>
      </w:pPr>
      <w:rPr>
        <w:rFonts w:ascii="Wingdings" w:hAnsi="Wingdings" w:hint="default"/>
      </w:rPr>
    </w:lvl>
  </w:abstractNum>
  <w:abstractNum w:abstractNumId="19">
    <w:nsid w:val="2A7E5B9B"/>
    <w:multiLevelType w:val="hybridMultilevel"/>
    <w:tmpl w:val="2EFE13AC"/>
    <w:lvl w:ilvl="0" w:tplc="0C070001">
      <w:start w:val="1"/>
      <w:numFmt w:val="bullet"/>
      <w:lvlText w:val=""/>
      <w:lvlJc w:val="left"/>
      <w:pPr>
        <w:ind w:left="-1065" w:hanging="360"/>
      </w:pPr>
      <w:rPr>
        <w:rFonts w:ascii="Symbol" w:hAnsi="Symbol" w:hint="default"/>
      </w:rPr>
    </w:lvl>
    <w:lvl w:ilvl="1" w:tplc="0C070003">
      <w:start w:val="1"/>
      <w:numFmt w:val="bullet"/>
      <w:lvlText w:val="o"/>
      <w:lvlJc w:val="left"/>
      <w:pPr>
        <w:ind w:left="-345" w:hanging="360"/>
      </w:pPr>
      <w:rPr>
        <w:rFonts w:ascii="Courier New" w:hAnsi="Courier New" w:cs="Courier New" w:hint="default"/>
      </w:rPr>
    </w:lvl>
    <w:lvl w:ilvl="2" w:tplc="0C070005">
      <w:start w:val="1"/>
      <w:numFmt w:val="bullet"/>
      <w:lvlText w:val=""/>
      <w:lvlJc w:val="left"/>
      <w:pPr>
        <w:ind w:left="375" w:hanging="360"/>
      </w:pPr>
      <w:rPr>
        <w:rFonts w:ascii="Wingdings" w:hAnsi="Wingdings" w:hint="default"/>
      </w:rPr>
    </w:lvl>
    <w:lvl w:ilvl="3" w:tplc="0C070001" w:tentative="1">
      <w:start w:val="1"/>
      <w:numFmt w:val="bullet"/>
      <w:lvlText w:val=""/>
      <w:lvlJc w:val="left"/>
      <w:pPr>
        <w:ind w:left="1095" w:hanging="360"/>
      </w:pPr>
      <w:rPr>
        <w:rFonts w:ascii="Symbol" w:hAnsi="Symbol" w:hint="default"/>
      </w:rPr>
    </w:lvl>
    <w:lvl w:ilvl="4" w:tplc="0C070003" w:tentative="1">
      <w:start w:val="1"/>
      <w:numFmt w:val="bullet"/>
      <w:lvlText w:val="o"/>
      <w:lvlJc w:val="left"/>
      <w:pPr>
        <w:ind w:left="1815" w:hanging="360"/>
      </w:pPr>
      <w:rPr>
        <w:rFonts w:ascii="Courier New" w:hAnsi="Courier New" w:cs="Courier New" w:hint="default"/>
      </w:rPr>
    </w:lvl>
    <w:lvl w:ilvl="5" w:tplc="0C070005" w:tentative="1">
      <w:start w:val="1"/>
      <w:numFmt w:val="bullet"/>
      <w:lvlText w:val=""/>
      <w:lvlJc w:val="left"/>
      <w:pPr>
        <w:ind w:left="2535" w:hanging="360"/>
      </w:pPr>
      <w:rPr>
        <w:rFonts w:ascii="Wingdings" w:hAnsi="Wingdings" w:hint="default"/>
      </w:rPr>
    </w:lvl>
    <w:lvl w:ilvl="6" w:tplc="0C070001" w:tentative="1">
      <w:start w:val="1"/>
      <w:numFmt w:val="bullet"/>
      <w:lvlText w:val=""/>
      <w:lvlJc w:val="left"/>
      <w:pPr>
        <w:ind w:left="3255" w:hanging="360"/>
      </w:pPr>
      <w:rPr>
        <w:rFonts w:ascii="Symbol" w:hAnsi="Symbol" w:hint="default"/>
      </w:rPr>
    </w:lvl>
    <w:lvl w:ilvl="7" w:tplc="0C070003" w:tentative="1">
      <w:start w:val="1"/>
      <w:numFmt w:val="bullet"/>
      <w:lvlText w:val="o"/>
      <w:lvlJc w:val="left"/>
      <w:pPr>
        <w:ind w:left="3975" w:hanging="360"/>
      </w:pPr>
      <w:rPr>
        <w:rFonts w:ascii="Courier New" w:hAnsi="Courier New" w:cs="Courier New" w:hint="default"/>
      </w:rPr>
    </w:lvl>
    <w:lvl w:ilvl="8" w:tplc="0C070005" w:tentative="1">
      <w:start w:val="1"/>
      <w:numFmt w:val="bullet"/>
      <w:lvlText w:val=""/>
      <w:lvlJc w:val="left"/>
      <w:pPr>
        <w:ind w:left="4695" w:hanging="360"/>
      </w:pPr>
      <w:rPr>
        <w:rFonts w:ascii="Wingdings" w:hAnsi="Wingdings" w:hint="default"/>
      </w:rPr>
    </w:lvl>
  </w:abstractNum>
  <w:abstractNum w:abstractNumId="20">
    <w:nsid w:val="2ADC738C"/>
    <w:multiLevelType w:val="multilevel"/>
    <w:tmpl w:val="0C07001D"/>
    <w:styleLink w:val="Budgetlines"/>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2E24613E"/>
    <w:multiLevelType w:val="hybridMultilevel"/>
    <w:tmpl w:val="3B186FC2"/>
    <w:lvl w:ilvl="0" w:tplc="6316D04E">
      <w:start w:val="1"/>
      <w:numFmt w:val="decimal"/>
      <w:pStyle w:val="Nagwek2"/>
      <w:lvlText w:val="A.%1."/>
      <w:lvlJc w:val="left"/>
      <w:pPr>
        <w:ind w:left="1637" w:hanging="360"/>
      </w:pPr>
      <w:rPr>
        <w:rFonts w:ascii="Arial Rounded MT Bold" w:eastAsia="Calibri" w:hAnsi="Arial Rounded MT Bold" w:cs="Times New Roman"/>
      </w:rPr>
    </w:lvl>
    <w:lvl w:ilvl="1" w:tplc="B55AD682" w:tentative="1">
      <w:start w:val="1"/>
      <w:numFmt w:val="lowerLetter"/>
      <w:lvlText w:val="%2."/>
      <w:lvlJc w:val="left"/>
      <w:pPr>
        <w:ind w:left="3774" w:hanging="360"/>
      </w:pPr>
    </w:lvl>
    <w:lvl w:ilvl="2" w:tplc="DEB68484" w:tentative="1">
      <w:start w:val="1"/>
      <w:numFmt w:val="lowerRoman"/>
      <w:lvlText w:val="%3."/>
      <w:lvlJc w:val="right"/>
      <w:pPr>
        <w:ind w:left="4494" w:hanging="180"/>
      </w:pPr>
    </w:lvl>
    <w:lvl w:ilvl="3" w:tplc="49409994" w:tentative="1">
      <w:start w:val="1"/>
      <w:numFmt w:val="decimal"/>
      <w:lvlText w:val="%4."/>
      <w:lvlJc w:val="left"/>
      <w:pPr>
        <w:ind w:left="5214" w:hanging="360"/>
      </w:pPr>
    </w:lvl>
    <w:lvl w:ilvl="4" w:tplc="6652E44A" w:tentative="1">
      <w:start w:val="1"/>
      <w:numFmt w:val="lowerLetter"/>
      <w:lvlText w:val="%5."/>
      <w:lvlJc w:val="left"/>
      <w:pPr>
        <w:ind w:left="5934" w:hanging="360"/>
      </w:pPr>
    </w:lvl>
    <w:lvl w:ilvl="5" w:tplc="92205192" w:tentative="1">
      <w:start w:val="1"/>
      <w:numFmt w:val="lowerRoman"/>
      <w:lvlText w:val="%6."/>
      <w:lvlJc w:val="right"/>
      <w:pPr>
        <w:ind w:left="6654" w:hanging="180"/>
      </w:pPr>
    </w:lvl>
    <w:lvl w:ilvl="6" w:tplc="CB50346A" w:tentative="1">
      <w:start w:val="1"/>
      <w:numFmt w:val="decimal"/>
      <w:lvlText w:val="%7."/>
      <w:lvlJc w:val="left"/>
      <w:pPr>
        <w:ind w:left="7374" w:hanging="360"/>
      </w:pPr>
    </w:lvl>
    <w:lvl w:ilvl="7" w:tplc="57248D52" w:tentative="1">
      <w:start w:val="1"/>
      <w:numFmt w:val="lowerLetter"/>
      <w:lvlText w:val="%8."/>
      <w:lvlJc w:val="left"/>
      <w:pPr>
        <w:ind w:left="8094" w:hanging="360"/>
      </w:pPr>
    </w:lvl>
    <w:lvl w:ilvl="8" w:tplc="27A6974A" w:tentative="1">
      <w:start w:val="1"/>
      <w:numFmt w:val="lowerRoman"/>
      <w:lvlText w:val="%9."/>
      <w:lvlJc w:val="right"/>
      <w:pPr>
        <w:ind w:left="8814" w:hanging="180"/>
      </w:pPr>
    </w:lvl>
  </w:abstractNum>
  <w:abstractNum w:abstractNumId="22">
    <w:nsid w:val="31DC0738"/>
    <w:multiLevelType w:val="hybridMultilevel"/>
    <w:tmpl w:val="38CE9B2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nsid w:val="32FA6056"/>
    <w:multiLevelType w:val="hybridMultilevel"/>
    <w:tmpl w:val="3F1C859A"/>
    <w:lvl w:ilvl="0" w:tplc="08090001">
      <w:start w:val="1"/>
      <w:numFmt w:val="bullet"/>
      <w:lvlText w:val=""/>
      <w:lvlJc w:val="left"/>
      <w:pPr>
        <w:ind w:left="387" w:hanging="360"/>
      </w:pPr>
      <w:rPr>
        <w:rFonts w:ascii="Symbol" w:hAnsi="Symbol" w:hint="default"/>
      </w:rPr>
    </w:lvl>
    <w:lvl w:ilvl="1" w:tplc="08090003" w:tentative="1">
      <w:start w:val="1"/>
      <w:numFmt w:val="bullet"/>
      <w:lvlText w:val="o"/>
      <w:lvlJc w:val="left"/>
      <w:pPr>
        <w:ind w:left="1107" w:hanging="360"/>
      </w:pPr>
      <w:rPr>
        <w:rFonts w:ascii="Courier New" w:hAnsi="Courier New" w:cs="Courier New" w:hint="default"/>
      </w:rPr>
    </w:lvl>
    <w:lvl w:ilvl="2" w:tplc="08090005" w:tentative="1">
      <w:start w:val="1"/>
      <w:numFmt w:val="bullet"/>
      <w:lvlText w:val=""/>
      <w:lvlJc w:val="left"/>
      <w:pPr>
        <w:ind w:left="1827" w:hanging="360"/>
      </w:pPr>
      <w:rPr>
        <w:rFonts w:ascii="Wingdings" w:hAnsi="Wingdings" w:hint="default"/>
      </w:rPr>
    </w:lvl>
    <w:lvl w:ilvl="3" w:tplc="08090001" w:tentative="1">
      <w:start w:val="1"/>
      <w:numFmt w:val="bullet"/>
      <w:lvlText w:val=""/>
      <w:lvlJc w:val="left"/>
      <w:pPr>
        <w:ind w:left="2547" w:hanging="360"/>
      </w:pPr>
      <w:rPr>
        <w:rFonts w:ascii="Symbol" w:hAnsi="Symbol" w:hint="default"/>
      </w:rPr>
    </w:lvl>
    <w:lvl w:ilvl="4" w:tplc="08090003" w:tentative="1">
      <w:start w:val="1"/>
      <w:numFmt w:val="bullet"/>
      <w:lvlText w:val="o"/>
      <w:lvlJc w:val="left"/>
      <w:pPr>
        <w:ind w:left="3267" w:hanging="360"/>
      </w:pPr>
      <w:rPr>
        <w:rFonts w:ascii="Courier New" w:hAnsi="Courier New" w:cs="Courier New" w:hint="default"/>
      </w:rPr>
    </w:lvl>
    <w:lvl w:ilvl="5" w:tplc="08090005" w:tentative="1">
      <w:start w:val="1"/>
      <w:numFmt w:val="bullet"/>
      <w:lvlText w:val=""/>
      <w:lvlJc w:val="left"/>
      <w:pPr>
        <w:ind w:left="3987" w:hanging="360"/>
      </w:pPr>
      <w:rPr>
        <w:rFonts w:ascii="Wingdings" w:hAnsi="Wingdings" w:hint="default"/>
      </w:rPr>
    </w:lvl>
    <w:lvl w:ilvl="6" w:tplc="08090001" w:tentative="1">
      <w:start w:val="1"/>
      <w:numFmt w:val="bullet"/>
      <w:lvlText w:val=""/>
      <w:lvlJc w:val="left"/>
      <w:pPr>
        <w:ind w:left="4707" w:hanging="360"/>
      </w:pPr>
      <w:rPr>
        <w:rFonts w:ascii="Symbol" w:hAnsi="Symbol" w:hint="default"/>
      </w:rPr>
    </w:lvl>
    <w:lvl w:ilvl="7" w:tplc="08090003" w:tentative="1">
      <w:start w:val="1"/>
      <w:numFmt w:val="bullet"/>
      <w:lvlText w:val="o"/>
      <w:lvlJc w:val="left"/>
      <w:pPr>
        <w:ind w:left="5427" w:hanging="360"/>
      </w:pPr>
      <w:rPr>
        <w:rFonts w:ascii="Courier New" w:hAnsi="Courier New" w:cs="Courier New" w:hint="default"/>
      </w:rPr>
    </w:lvl>
    <w:lvl w:ilvl="8" w:tplc="08090005" w:tentative="1">
      <w:start w:val="1"/>
      <w:numFmt w:val="bullet"/>
      <w:lvlText w:val=""/>
      <w:lvlJc w:val="left"/>
      <w:pPr>
        <w:ind w:left="6147" w:hanging="360"/>
      </w:pPr>
      <w:rPr>
        <w:rFonts w:ascii="Wingdings" w:hAnsi="Wingdings" w:hint="default"/>
      </w:rPr>
    </w:lvl>
  </w:abstractNum>
  <w:abstractNum w:abstractNumId="24">
    <w:nsid w:val="332417A9"/>
    <w:multiLevelType w:val="multilevel"/>
    <w:tmpl w:val="74B811E0"/>
    <w:lvl w:ilvl="0">
      <w:start w:val="1"/>
      <w:numFmt w:val="upperLetter"/>
      <w:pStyle w:val="CE-HeadlineChapter"/>
      <w:lvlText w:val="%1."/>
      <w:lvlJc w:val="left"/>
      <w:pPr>
        <w:ind w:left="360" w:hanging="360"/>
      </w:pPr>
      <w:rPr>
        <w:rFonts w:hint="default"/>
      </w:rPr>
    </w:lvl>
    <w:lvl w:ilvl="1">
      <w:start w:val="1"/>
      <w:numFmt w:val="upperLetter"/>
      <w:lvlRestart w:val="0"/>
      <w:suff w:val="space"/>
      <w:lvlText w:val="%2."/>
      <w:lvlJc w:val="left"/>
      <w:pPr>
        <w:ind w:left="0" w:firstLine="0"/>
      </w:pPr>
      <w:rPr>
        <w:rFonts w:hint="default"/>
      </w:rPr>
    </w:lvl>
    <w:lvl w:ilvl="2">
      <w:start w:val="1"/>
      <w:numFmt w:val="upperLetter"/>
      <w:lvlRestart w:val="0"/>
      <w:suff w:val="space"/>
      <w:lvlText w:val="%3."/>
      <w:lvlJc w:val="left"/>
      <w:pPr>
        <w:ind w:left="0" w:firstLine="0"/>
      </w:pPr>
      <w:rPr>
        <w:rFonts w:hint="default"/>
      </w:rPr>
    </w:lvl>
    <w:lvl w:ilvl="3">
      <w:start w:val="1"/>
      <w:numFmt w:val="upperLetter"/>
      <w:lvlRestart w:val="0"/>
      <w:suff w:val="space"/>
      <w:lvlText w:val="%4."/>
      <w:lvlJc w:val="left"/>
      <w:pPr>
        <w:ind w:left="0" w:firstLine="0"/>
      </w:pPr>
      <w:rPr>
        <w:rFonts w:hint="default"/>
      </w:rPr>
    </w:lvl>
    <w:lvl w:ilvl="4">
      <w:start w:val="1"/>
      <w:numFmt w:val="upperLetter"/>
      <w:lvlRestart w:val="0"/>
      <w:suff w:val="space"/>
      <w:lvlText w:val="%5."/>
      <w:lvlJc w:val="left"/>
      <w:pPr>
        <w:ind w:left="0" w:firstLine="0"/>
      </w:pPr>
      <w:rPr>
        <w:rFonts w:hint="default"/>
      </w:rPr>
    </w:lvl>
    <w:lvl w:ilvl="5">
      <w:start w:val="1"/>
      <w:numFmt w:val="upperLetter"/>
      <w:lvlRestart w:val="0"/>
      <w:suff w:val="space"/>
      <w:lvlText w:val="%6."/>
      <w:lvlJc w:val="left"/>
      <w:pPr>
        <w:ind w:left="0" w:firstLine="0"/>
      </w:pPr>
      <w:rPr>
        <w:rFonts w:hint="default"/>
      </w:rPr>
    </w:lvl>
    <w:lvl w:ilvl="6">
      <w:start w:val="1"/>
      <w:numFmt w:val="upperLetter"/>
      <w:lvlRestart w:val="0"/>
      <w:suff w:val="space"/>
      <w:lvlText w:val="%7."/>
      <w:lvlJc w:val="left"/>
      <w:pPr>
        <w:ind w:left="0" w:firstLine="0"/>
      </w:pPr>
      <w:rPr>
        <w:rFonts w:hint="default"/>
      </w:rPr>
    </w:lvl>
    <w:lvl w:ilvl="7">
      <w:start w:val="1"/>
      <w:numFmt w:val="upperLetter"/>
      <w:lvlRestart w:val="0"/>
      <w:suff w:val="space"/>
      <w:lvlText w:val="%8."/>
      <w:lvlJc w:val="left"/>
      <w:pPr>
        <w:ind w:left="0" w:firstLine="0"/>
      </w:pPr>
      <w:rPr>
        <w:rFonts w:hint="default"/>
      </w:rPr>
    </w:lvl>
    <w:lvl w:ilvl="8">
      <w:start w:val="1"/>
      <w:numFmt w:val="upperLetter"/>
      <w:lvlRestart w:val="0"/>
      <w:suff w:val="space"/>
      <w:lvlText w:val="%9."/>
      <w:lvlJc w:val="left"/>
      <w:pPr>
        <w:ind w:left="0" w:firstLine="0"/>
      </w:pPr>
      <w:rPr>
        <w:rFonts w:hint="default"/>
      </w:rPr>
    </w:lvl>
  </w:abstractNum>
  <w:abstractNum w:abstractNumId="25">
    <w:nsid w:val="339056F1"/>
    <w:multiLevelType w:val="hybridMultilevel"/>
    <w:tmpl w:val="399CA9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4F37981"/>
    <w:multiLevelType w:val="multilevel"/>
    <w:tmpl w:val="34E469F8"/>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35F11CC9"/>
    <w:multiLevelType w:val="hybridMultilevel"/>
    <w:tmpl w:val="17DCB45A"/>
    <w:lvl w:ilvl="0" w:tplc="84A6758C">
      <w:start w:val="1"/>
      <w:numFmt w:val="bullet"/>
      <w:pStyle w:val="CE-List-Bullet"/>
      <w:lvlText w:val="×"/>
      <w:lvlJc w:val="left"/>
      <w:pPr>
        <w:ind w:left="720" w:hanging="360"/>
      </w:pPr>
      <w:rPr>
        <w:rFonts w:ascii="Trebuchet MS" w:hAnsi="Trebuchet MS" w:hint="default"/>
        <w:b/>
        <w:i w:val="0"/>
        <w:caps w:val="0"/>
        <w:strike w:val="0"/>
        <w:dstrike w:val="0"/>
        <w:vanish w:val="0"/>
        <w:color w:val="7D8B8A" w:themeColor="accent1"/>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nsid w:val="366801D2"/>
    <w:multiLevelType w:val="hybridMultilevel"/>
    <w:tmpl w:val="AADE8CEA"/>
    <w:lvl w:ilvl="0" w:tplc="0C070005">
      <w:start w:val="1"/>
      <w:numFmt w:val="bullet"/>
      <w:lvlText w:val=""/>
      <w:lvlJc w:val="left"/>
      <w:pPr>
        <w:ind w:left="360" w:hanging="360"/>
      </w:pPr>
      <w:rPr>
        <w:rFonts w:ascii="Symbol" w:hAnsi="Symbol" w:hint="default"/>
      </w:rPr>
    </w:lvl>
    <w:lvl w:ilvl="1" w:tplc="0C070003">
      <w:start w:val="1"/>
      <w:numFmt w:val="bullet"/>
      <w:pStyle w:val="bulletpoints2"/>
      <w:lvlText w:val="à"/>
      <w:lvlJc w:val="left"/>
      <w:pPr>
        <w:ind w:left="1080" w:hanging="360"/>
      </w:pPr>
      <w:rPr>
        <w:rFonts w:ascii="Wingdings" w:hAnsi="Wingdings" w:hint="default"/>
      </w:rPr>
    </w:lvl>
    <w:lvl w:ilvl="2" w:tplc="0C070005">
      <w:start w:val="1"/>
      <w:numFmt w:val="bullet"/>
      <w:lvlText w:val=""/>
      <w:lvlJc w:val="left"/>
      <w:pPr>
        <w:ind w:left="1800" w:hanging="360"/>
      </w:pPr>
      <w:rPr>
        <w:rFonts w:ascii="Wingdings" w:hAnsi="Wingdings" w:hint="default"/>
      </w:rPr>
    </w:lvl>
    <w:lvl w:ilvl="3" w:tplc="6C30F2A0">
      <w:numFmt w:val="bullet"/>
      <w:lvlText w:val="•"/>
      <w:lvlJc w:val="left"/>
      <w:pPr>
        <w:ind w:left="2880" w:hanging="720"/>
      </w:pPr>
      <w:rPr>
        <w:rFonts w:ascii="Trebuchet MS" w:eastAsia="Calibri" w:hAnsi="Trebuchet MS" w:cs="Times New Roman"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9">
    <w:nsid w:val="36FC28A4"/>
    <w:multiLevelType w:val="hybridMultilevel"/>
    <w:tmpl w:val="BF861A5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380E200A"/>
    <w:multiLevelType w:val="hybridMultilevel"/>
    <w:tmpl w:val="A73648E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8920150"/>
    <w:multiLevelType w:val="hybridMultilevel"/>
    <w:tmpl w:val="02A4C4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9FC4642"/>
    <w:multiLevelType w:val="multilevel"/>
    <w:tmpl w:val="55AAE5B0"/>
    <w:lvl w:ilvl="0">
      <w:start w:val="1"/>
      <w:numFmt w:val="upperLetter"/>
      <w:pStyle w:val="IM1"/>
      <w:lvlText w:val="%1."/>
      <w:lvlJc w:val="left"/>
      <w:pPr>
        <w:ind w:left="0" w:firstLine="0"/>
      </w:pPr>
    </w:lvl>
    <w:lvl w:ilvl="1">
      <w:start w:val="1"/>
      <w:numFmt w:val="decimal"/>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3">
    <w:nsid w:val="3A452D29"/>
    <w:multiLevelType w:val="hybridMultilevel"/>
    <w:tmpl w:val="52A6FAB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nsid w:val="3A6F7862"/>
    <w:multiLevelType w:val="multilevel"/>
    <w:tmpl w:val="B56C78C4"/>
    <w:styleLink w:val="CE-ListStandardText"/>
    <w:lvl w:ilvl="0">
      <w:start w:val="1"/>
      <w:numFmt w:val="decimal"/>
      <w:suff w:val="space"/>
      <w:lvlText w:val="%1."/>
      <w:lvlJc w:val="left"/>
      <w:pPr>
        <w:ind w:left="357" w:hanging="357"/>
      </w:pPr>
      <w:rPr>
        <w:rFonts w:hint="default"/>
      </w:rPr>
    </w:lvl>
    <w:lvl w:ilvl="1">
      <w:start w:val="1"/>
      <w:numFmt w:val="decimal"/>
      <w:lvlRestart w:val="0"/>
      <w:suff w:val="space"/>
      <w:lvlText w:val="%1.%2."/>
      <w:lvlJc w:val="left"/>
      <w:pPr>
        <w:ind w:left="527" w:hanging="357"/>
      </w:pPr>
      <w:rPr>
        <w:rFonts w:hint="default"/>
      </w:rPr>
    </w:lvl>
    <w:lvl w:ilvl="2">
      <w:start w:val="1"/>
      <w:numFmt w:val="decimal"/>
      <w:lvlRestart w:val="0"/>
      <w:suff w:val="space"/>
      <w:lvlText w:val="%1.%2.%3."/>
      <w:lvlJc w:val="left"/>
      <w:pPr>
        <w:ind w:left="697" w:hanging="357"/>
      </w:pPr>
      <w:rPr>
        <w:rFonts w:hint="default"/>
      </w:rPr>
    </w:lvl>
    <w:lvl w:ilvl="3">
      <w:start w:val="1"/>
      <w:numFmt w:val="decimal"/>
      <w:lvlRestart w:val="0"/>
      <w:suff w:val="space"/>
      <w:lvlText w:val="%1.%2.%3.%4."/>
      <w:lvlJc w:val="left"/>
      <w:pPr>
        <w:ind w:left="867" w:hanging="357"/>
      </w:pPr>
      <w:rPr>
        <w:rFonts w:hint="default"/>
      </w:rPr>
    </w:lvl>
    <w:lvl w:ilvl="4">
      <w:start w:val="1"/>
      <w:numFmt w:val="decimal"/>
      <w:suff w:val="space"/>
      <w:lvlText w:val="%1.%2.%3.%4.%5."/>
      <w:lvlJc w:val="left"/>
      <w:pPr>
        <w:ind w:left="1037" w:hanging="357"/>
      </w:pPr>
      <w:rPr>
        <w:rFonts w:hint="default"/>
      </w:rPr>
    </w:lvl>
    <w:lvl w:ilvl="5">
      <w:start w:val="1"/>
      <w:numFmt w:val="decimal"/>
      <w:suff w:val="space"/>
      <w:lvlText w:val="%1.%2.%3.%4.%5.%6."/>
      <w:lvlJc w:val="left"/>
      <w:pPr>
        <w:ind w:left="1207" w:hanging="357"/>
      </w:pPr>
      <w:rPr>
        <w:rFonts w:hint="default"/>
      </w:rPr>
    </w:lvl>
    <w:lvl w:ilvl="6">
      <w:start w:val="1"/>
      <w:numFmt w:val="decimal"/>
      <w:suff w:val="space"/>
      <w:lvlText w:val="%1.%2.%3.%4.%5.%6.%7."/>
      <w:lvlJc w:val="left"/>
      <w:pPr>
        <w:ind w:left="1377" w:hanging="357"/>
      </w:pPr>
      <w:rPr>
        <w:rFonts w:hint="default"/>
      </w:rPr>
    </w:lvl>
    <w:lvl w:ilvl="7">
      <w:start w:val="1"/>
      <w:numFmt w:val="decimal"/>
      <w:suff w:val="space"/>
      <w:lvlText w:val="%1.%2.%3.%4.%5.%6.%7.%8."/>
      <w:lvlJc w:val="left"/>
      <w:pPr>
        <w:ind w:left="1547" w:hanging="357"/>
      </w:pPr>
      <w:rPr>
        <w:rFonts w:hint="default"/>
      </w:rPr>
    </w:lvl>
    <w:lvl w:ilvl="8">
      <w:start w:val="1"/>
      <w:numFmt w:val="decimal"/>
      <w:suff w:val="space"/>
      <w:lvlText w:val="%1.%2.%3.%4.%5.%6.%7.%8.%9."/>
      <w:lvlJc w:val="left"/>
      <w:pPr>
        <w:ind w:left="1717" w:hanging="357"/>
      </w:pPr>
      <w:rPr>
        <w:rFonts w:hint="default"/>
      </w:rPr>
    </w:lvl>
  </w:abstractNum>
  <w:abstractNum w:abstractNumId="35">
    <w:nsid w:val="3C444B86"/>
    <w:multiLevelType w:val="hybridMultilevel"/>
    <w:tmpl w:val="5756D392"/>
    <w:lvl w:ilvl="0" w:tplc="04070005">
      <w:start w:val="2"/>
      <w:numFmt w:val="bullet"/>
      <w:lvlText w:val=""/>
      <w:lvlJc w:val="left"/>
      <w:pPr>
        <w:ind w:left="720" w:hanging="360"/>
      </w:pPr>
      <w:rPr>
        <w:rFonts w:ascii="Wingdings" w:eastAsiaTheme="minorHAnsi" w:hAnsi="Wingdings" w:cs="Trebuchet MS" w:hint="default"/>
      </w:rPr>
    </w:lvl>
    <w:lvl w:ilvl="1" w:tplc="04070003">
      <w:start w:val="2"/>
      <w:numFmt w:val="bullet"/>
      <w:pStyle w:val="Subbullets"/>
      <w:lvlText w:val=""/>
      <w:lvlJc w:val="left"/>
      <w:pPr>
        <w:ind w:left="1440" w:hanging="360"/>
      </w:pPr>
      <w:rPr>
        <w:rFonts w:ascii="Wingdings" w:eastAsiaTheme="minorHAnsi" w:hAnsi="Wingdings" w:cs="Trebuchet MS"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3C8B5294"/>
    <w:multiLevelType w:val="hybridMultilevel"/>
    <w:tmpl w:val="9708A17A"/>
    <w:lvl w:ilvl="0" w:tplc="0C070001">
      <w:start w:val="1"/>
      <w:numFmt w:val="bullet"/>
      <w:lvlText w:val=""/>
      <w:lvlJc w:val="left"/>
      <w:pPr>
        <w:ind w:left="671" w:hanging="360"/>
      </w:pPr>
      <w:rPr>
        <w:rFonts w:ascii="Symbol" w:hAnsi="Symbol" w:hint="default"/>
      </w:rPr>
    </w:lvl>
    <w:lvl w:ilvl="1" w:tplc="0C070003" w:tentative="1">
      <w:start w:val="1"/>
      <w:numFmt w:val="bullet"/>
      <w:lvlText w:val="o"/>
      <w:lvlJc w:val="left"/>
      <w:pPr>
        <w:ind w:left="1391" w:hanging="360"/>
      </w:pPr>
      <w:rPr>
        <w:rFonts w:ascii="Courier New" w:hAnsi="Courier New" w:cs="Courier New" w:hint="default"/>
      </w:rPr>
    </w:lvl>
    <w:lvl w:ilvl="2" w:tplc="0C070005" w:tentative="1">
      <w:start w:val="1"/>
      <w:numFmt w:val="bullet"/>
      <w:lvlText w:val=""/>
      <w:lvlJc w:val="left"/>
      <w:pPr>
        <w:ind w:left="2111" w:hanging="360"/>
      </w:pPr>
      <w:rPr>
        <w:rFonts w:ascii="Wingdings" w:hAnsi="Wingdings" w:hint="default"/>
      </w:rPr>
    </w:lvl>
    <w:lvl w:ilvl="3" w:tplc="0C070001" w:tentative="1">
      <w:start w:val="1"/>
      <w:numFmt w:val="bullet"/>
      <w:lvlText w:val=""/>
      <w:lvlJc w:val="left"/>
      <w:pPr>
        <w:ind w:left="2831" w:hanging="360"/>
      </w:pPr>
      <w:rPr>
        <w:rFonts w:ascii="Symbol" w:hAnsi="Symbol" w:hint="default"/>
      </w:rPr>
    </w:lvl>
    <w:lvl w:ilvl="4" w:tplc="0C070003" w:tentative="1">
      <w:start w:val="1"/>
      <w:numFmt w:val="bullet"/>
      <w:lvlText w:val="o"/>
      <w:lvlJc w:val="left"/>
      <w:pPr>
        <w:ind w:left="3551" w:hanging="360"/>
      </w:pPr>
      <w:rPr>
        <w:rFonts w:ascii="Courier New" w:hAnsi="Courier New" w:cs="Courier New" w:hint="default"/>
      </w:rPr>
    </w:lvl>
    <w:lvl w:ilvl="5" w:tplc="0C070005" w:tentative="1">
      <w:start w:val="1"/>
      <w:numFmt w:val="bullet"/>
      <w:lvlText w:val=""/>
      <w:lvlJc w:val="left"/>
      <w:pPr>
        <w:ind w:left="4271" w:hanging="360"/>
      </w:pPr>
      <w:rPr>
        <w:rFonts w:ascii="Wingdings" w:hAnsi="Wingdings" w:hint="default"/>
      </w:rPr>
    </w:lvl>
    <w:lvl w:ilvl="6" w:tplc="0C070001" w:tentative="1">
      <w:start w:val="1"/>
      <w:numFmt w:val="bullet"/>
      <w:lvlText w:val=""/>
      <w:lvlJc w:val="left"/>
      <w:pPr>
        <w:ind w:left="4991" w:hanging="360"/>
      </w:pPr>
      <w:rPr>
        <w:rFonts w:ascii="Symbol" w:hAnsi="Symbol" w:hint="default"/>
      </w:rPr>
    </w:lvl>
    <w:lvl w:ilvl="7" w:tplc="0C070003" w:tentative="1">
      <w:start w:val="1"/>
      <w:numFmt w:val="bullet"/>
      <w:lvlText w:val="o"/>
      <w:lvlJc w:val="left"/>
      <w:pPr>
        <w:ind w:left="5711" w:hanging="360"/>
      </w:pPr>
      <w:rPr>
        <w:rFonts w:ascii="Courier New" w:hAnsi="Courier New" w:cs="Courier New" w:hint="default"/>
      </w:rPr>
    </w:lvl>
    <w:lvl w:ilvl="8" w:tplc="0C070005" w:tentative="1">
      <w:start w:val="1"/>
      <w:numFmt w:val="bullet"/>
      <w:lvlText w:val=""/>
      <w:lvlJc w:val="left"/>
      <w:pPr>
        <w:ind w:left="6431" w:hanging="360"/>
      </w:pPr>
      <w:rPr>
        <w:rFonts w:ascii="Wingdings" w:hAnsi="Wingdings" w:hint="default"/>
      </w:rPr>
    </w:lvl>
  </w:abstractNum>
  <w:abstractNum w:abstractNumId="37">
    <w:nsid w:val="3C960020"/>
    <w:multiLevelType w:val="hybridMultilevel"/>
    <w:tmpl w:val="ECF8A8E8"/>
    <w:lvl w:ilvl="0" w:tplc="97E49668">
      <w:start w:val="1"/>
      <w:numFmt w:val="bullet"/>
      <w:pStyle w:val="CE-BulletPoint1"/>
      <w:lvlText w:val=""/>
      <w:lvlJc w:val="left"/>
      <w:pPr>
        <w:ind w:left="1004" w:hanging="360"/>
      </w:pPr>
      <w:rPr>
        <w:rFonts w:ascii="Wingdings 2" w:hAnsi="Wingdings 2" w:hint="default"/>
        <w:color w:val="7E93A5" w:themeColor="background2"/>
      </w:rPr>
    </w:lvl>
    <w:lvl w:ilvl="1" w:tplc="0C070003">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38">
    <w:nsid w:val="3DED7E24"/>
    <w:multiLevelType w:val="hybridMultilevel"/>
    <w:tmpl w:val="F3CA2840"/>
    <w:lvl w:ilvl="0" w:tplc="0450BF60">
      <w:numFmt w:val="bullet"/>
      <w:lvlText w:val="•"/>
      <w:lvlJc w:val="left"/>
      <w:pPr>
        <w:ind w:left="387" w:hanging="360"/>
      </w:pPr>
      <w:rPr>
        <w:rFonts w:ascii="Trebuchet MS" w:eastAsia="Times New Roman" w:hAnsi="Trebuchet MS" w:cs="Times New Roman" w:hint="default"/>
      </w:rPr>
    </w:lvl>
    <w:lvl w:ilvl="1" w:tplc="08090003" w:tentative="1">
      <w:start w:val="1"/>
      <w:numFmt w:val="bullet"/>
      <w:lvlText w:val="o"/>
      <w:lvlJc w:val="left"/>
      <w:pPr>
        <w:ind w:left="1107" w:hanging="360"/>
      </w:pPr>
      <w:rPr>
        <w:rFonts w:ascii="Courier New" w:hAnsi="Courier New" w:cs="Courier New" w:hint="default"/>
      </w:rPr>
    </w:lvl>
    <w:lvl w:ilvl="2" w:tplc="08090005" w:tentative="1">
      <w:start w:val="1"/>
      <w:numFmt w:val="bullet"/>
      <w:lvlText w:val=""/>
      <w:lvlJc w:val="left"/>
      <w:pPr>
        <w:ind w:left="1827" w:hanging="360"/>
      </w:pPr>
      <w:rPr>
        <w:rFonts w:ascii="Wingdings" w:hAnsi="Wingdings" w:hint="default"/>
      </w:rPr>
    </w:lvl>
    <w:lvl w:ilvl="3" w:tplc="08090001" w:tentative="1">
      <w:start w:val="1"/>
      <w:numFmt w:val="bullet"/>
      <w:lvlText w:val=""/>
      <w:lvlJc w:val="left"/>
      <w:pPr>
        <w:ind w:left="2547" w:hanging="360"/>
      </w:pPr>
      <w:rPr>
        <w:rFonts w:ascii="Symbol" w:hAnsi="Symbol" w:hint="default"/>
      </w:rPr>
    </w:lvl>
    <w:lvl w:ilvl="4" w:tplc="08090003" w:tentative="1">
      <w:start w:val="1"/>
      <w:numFmt w:val="bullet"/>
      <w:lvlText w:val="o"/>
      <w:lvlJc w:val="left"/>
      <w:pPr>
        <w:ind w:left="3267" w:hanging="360"/>
      </w:pPr>
      <w:rPr>
        <w:rFonts w:ascii="Courier New" w:hAnsi="Courier New" w:cs="Courier New" w:hint="default"/>
      </w:rPr>
    </w:lvl>
    <w:lvl w:ilvl="5" w:tplc="08090005" w:tentative="1">
      <w:start w:val="1"/>
      <w:numFmt w:val="bullet"/>
      <w:lvlText w:val=""/>
      <w:lvlJc w:val="left"/>
      <w:pPr>
        <w:ind w:left="3987" w:hanging="360"/>
      </w:pPr>
      <w:rPr>
        <w:rFonts w:ascii="Wingdings" w:hAnsi="Wingdings" w:hint="default"/>
      </w:rPr>
    </w:lvl>
    <w:lvl w:ilvl="6" w:tplc="08090001" w:tentative="1">
      <w:start w:val="1"/>
      <w:numFmt w:val="bullet"/>
      <w:lvlText w:val=""/>
      <w:lvlJc w:val="left"/>
      <w:pPr>
        <w:ind w:left="4707" w:hanging="360"/>
      </w:pPr>
      <w:rPr>
        <w:rFonts w:ascii="Symbol" w:hAnsi="Symbol" w:hint="default"/>
      </w:rPr>
    </w:lvl>
    <w:lvl w:ilvl="7" w:tplc="08090003" w:tentative="1">
      <w:start w:val="1"/>
      <w:numFmt w:val="bullet"/>
      <w:lvlText w:val="o"/>
      <w:lvlJc w:val="left"/>
      <w:pPr>
        <w:ind w:left="5427" w:hanging="360"/>
      </w:pPr>
      <w:rPr>
        <w:rFonts w:ascii="Courier New" w:hAnsi="Courier New" w:cs="Courier New" w:hint="default"/>
      </w:rPr>
    </w:lvl>
    <w:lvl w:ilvl="8" w:tplc="08090005" w:tentative="1">
      <w:start w:val="1"/>
      <w:numFmt w:val="bullet"/>
      <w:lvlText w:val=""/>
      <w:lvlJc w:val="left"/>
      <w:pPr>
        <w:ind w:left="6147" w:hanging="360"/>
      </w:pPr>
      <w:rPr>
        <w:rFonts w:ascii="Wingdings" w:hAnsi="Wingdings" w:hint="default"/>
      </w:rPr>
    </w:lvl>
  </w:abstractNum>
  <w:abstractNum w:abstractNumId="39">
    <w:nsid w:val="3F014B40"/>
    <w:multiLevelType w:val="multilevel"/>
    <w:tmpl w:val="DAA805E6"/>
    <w:lvl w:ilvl="0">
      <w:start w:val="1"/>
      <w:numFmt w:val="decimal"/>
      <w:pStyle w:val="IM2"/>
      <w:lvlText w:val="A.%1"/>
      <w:lvlJc w:val="left"/>
      <w:pPr>
        <w:ind w:left="360" w:hanging="360"/>
      </w:pPr>
      <w:rPr>
        <w:rFonts w:hint="default"/>
      </w:rPr>
    </w:lvl>
    <w:lvl w:ilvl="1">
      <w:start w:val="1"/>
      <w:numFmt w:val="upperLetter"/>
      <w:lvlText w:val="%2.1.1"/>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0">
    <w:nsid w:val="3FB708A5"/>
    <w:multiLevelType w:val="hybridMultilevel"/>
    <w:tmpl w:val="BB2E6F5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1">
    <w:nsid w:val="41DA14CB"/>
    <w:multiLevelType w:val="hybridMultilevel"/>
    <w:tmpl w:val="C2967D2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2">
    <w:nsid w:val="42D348FC"/>
    <w:multiLevelType w:val="hybridMultilevel"/>
    <w:tmpl w:val="601A23D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45200D38"/>
    <w:multiLevelType w:val="hybridMultilevel"/>
    <w:tmpl w:val="91B8CCD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4">
    <w:nsid w:val="45C96D52"/>
    <w:multiLevelType w:val="hybridMultilevel"/>
    <w:tmpl w:val="87D8F0B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5">
    <w:nsid w:val="4671134E"/>
    <w:multiLevelType w:val="hybridMultilevel"/>
    <w:tmpl w:val="5DECBA00"/>
    <w:lvl w:ilvl="0" w:tplc="0407000F">
      <w:start w:val="1"/>
      <w:numFmt w:val="upperLetter"/>
      <w:pStyle w:val="Nagwek1"/>
      <w:lvlText w:val="%1."/>
      <w:lvlJc w:val="left"/>
      <w:pPr>
        <w:ind w:left="360" w:hanging="360"/>
      </w:pPr>
      <w:rPr>
        <w:rFonts w:hint="default"/>
      </w:rPr>
    </w:lvl>
    <w:lvl w:ilvl="1" w:tplc="0C070003" w:tentative="1">
      <w:start w:val="1"/>
      <w:numFmt w:val="lowerLetter"/>
      <w:lvlText w:val="%2."/>
      <w:lvlJc w:val="left"/>
      <w:pPr>
        <w:ind w:left="1080" w:hanging="360"/>
      </w:pPr>
    </w:lvl>
    <w:lvl w:ilvl="2" w:tplc="0C070005" w:tentative="1">
      <w:start w:val="1"/>
      <w:numFmt w:val="lowerRoman"/>
      <w:lvlText w:val="%3."/>
      <w:lvlJc w:val="right"/>
      <w:pPr>
        <w:ind w:left="1800" w:hanging="180"/>
      </w:pPr>
    </w:lvl>
    <w:lvl w:ilvl="3" w:tplc="0C070001" w:tentative="1">
      <w:start w:val="1"/>
      <w:numFmt w:val="decimal"/>
      <w:lvlText w:val="%4."/>
      <w:lvlJc w:val="left"/>
      <w:pPr>
        <w:ind w:left="2520" w:hanging="360"/>
      </w:pPr>
    </w:lvl>
    <w:lvl w:ilvl="4" w:tplc="0C070003" w:tentative="1">
      <w:start w:val="1"/>
      <w:numFmt w:val="lowerLetter"/>
      <w:lvlText w:val="%5."/>
      <w:lvlJc w:val="left"/>
      <w:pPr>
        <w:ind w:left="3240" w:hanging="360"/>
      </w:pPr>
    </w:lvl>
    <w:lvl w:ilvl="5" w:tplc="0C070005" w:tentative="1">
      <w:start w:val="1"/>
      <w:numFmt w:val="lowerRoman"/>
      <w:lvlText w:val="%6."/>
      <w:lvlJc w:val="right"/>
      <w:pPr>
        <w:ind w:left="3960" w:hanging="180"/>
      </w:pPr>
    </w:lvl>
    <w:lvl w:ilvl="6" w:tplc="0C070001" w:tentative="1">
      <w:start w:val="1"/>
      <w:numFmt w:val="decimal"/>
      <w:lvlText w:val="%7."/>
      <w:lvlJc w:val="left"/>
      <w:pPr>
        <w:ind w:left="4680" w:hanging="360"/>
      </w:pPr>
    </w:lvl>
    <w:lvl w:ilvl="7" w:tplc="0C070003" w:tentative="1">
      <w:start w:val="1"/>
      <w:numFmt w:val="lowerLetter"/>
      <w:lvlText w:val="%8."/>
      <w:lvlJc w:val="left"/>
      <w:pPr>
        <w:ind w:left="5400" w:hanging="360"/>
      </w:pPr>
    </w:lvl>
    <w:lvl w:ilvl="8" w:tplc="0C070005" w:tentative="1">
      <w:start w:val="1"/>
      <w:numFmt w:val="lowerRoman"/>
      <w:lvlText w:val="%9."/>
      <w:lvlJc w:val="right"/>
      <w:pPr>
        <w:ind w:left="6120" w:hanging="180"/>
      </w:pPr>
    </w:lvl>
  </w:abstractNum>
  <w:abstractNum w:abstractNumId="46">
    <w:nsid w:val="47154635"/>
    <w:multiLevelType w:val="multilevel"/>
    <w:tmpl w:val="0C07001D"/>
    <w:styleLink w:val="CE-List"/>
    <w:lvl w:ilvl="0">
      <w:start w:val="1"/>
      <w:numFmt w:val="bullet"/>
      <w:lvlText w:val=""/>
      <w:lvlJc w:val="left"/>
      <w:pPr>
        <w:ind w:left="360" w:hanging="360"/>
      </w:pPr>
      <w:rPr>
        <w:rFonts w:ascii="Wingdings 2" w:hAnsi="Wingdings 2" w:hint="default"/>
        <w:color w:val="7E93A5" w:themeColor="background2"/>
        <w:sz w:val="1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487D180B"/>
    <w:multiLevelType w:val="hybridMultilevel"/>
    <w:tmpl w:val="4288AF0A"/>
    <w:lvl w:ilvl="0" w:tplc="04090005">
      <w:start w:val="1"/>
      <w:numFmt w:val="bullet"/>
      <w:lvlText w:val=""/>
      <w:lvlJc w:val="left"/>
      <w:pPr>
        <w:ind w:left="360" w:hanging="360"/>
      </w:pPr>
      <w:rPr>
        <w:rFonts w:ascii="Wingdings" w:hAnsi="Wingding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48">
    <w:nsid w:val="4997762B"/>
    <w:multiLevelType w:val="multilevel"/>
    <w:tmpl w:val="F5704D40"/>
    <w:lvl w:ilvl="0">
      <w:start w:val="1"/>
      <w:numFmt w:val="decimal"/>
      <w:pStyle w:val="IM3"/>
      <w:lvlText w:val="A.%1"/>
      <w:lvlJc w:val="left"/>
      <w:pPr>
        <w:ind w:left="360" w:hanging="360"/>
      </w:pPr>
      <w:rPr>
        <w:rFonts w:hint="default"/>
      </w:rPr>
    </w:lvl>
    <w:lvl w:ilvl="1">
      <w:start w:val="1"/>
      <w:numFmt w:val="lowerLetter"/>
      <w:pStyle w:val="IM3"/>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9">
    <w:nsid w:val="4A085D45"/>
    <w:multiLevelType w:val="hybridMultilevel"/>
    <w:tmpl w:val="B090FDEC"/>
    <w:lvl w:ilvl="0" w:tplc="0C07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nsid w:val="4B485867"/>
    <w:multiLevelType w:val="hybridMultilevel"/>
    <w:tmpl w:val="60EA8002"/>
    <w:lvl w:ilvl="0" w:tplc="2270A592">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4C8147B2"/>
    <w:multiLevelType w:val="hybridMultilevel"/>
    <w:tmpl w:val="5D0C169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2">
    <w:nsid w:val="4D8535FD"/>
    <w:multiLevelType w:val="hybridMultilevel"/>
    <w:tmpl w:val="C3E00DCA"/>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3">
    <w:nsid w:val="507C6E84"/>
    <w:multiLevelType w:val="hybridMultilevel"/>
    <w:tmpl w:val="F4E46CF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4">
    <w:nsid w:val="5100406F"/>
    <w:multiLevelType w:val="multilevel"/>
    <w:tmpl w:val="098ED234"/>
    <w:lvl w:ilvl="0">
      <w:start w:val="1"/>
      <w:numFmt w:val="decimal"/>
      <w:lvlText w:val="%1."/>
      <w:lvlJc w:val="left"/>
      <w:pPr>
        <w:ind w:left="360" w:hanging="360"/>
      </w:pPr>
      <w:rPr>
        <w:i w:val="0"/>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4882DEB"/>
    <w:multiLevelType w:val="hybridMultilevel"/>
    <w:tmpl w:val="8448640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5C28431B"/>
    <w:multiLevelType w:val="hybridMultilevel"/>
    <w:tmpl w:val="3438BB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7">
    <w:nsid w:val="5E011593"/>
    <w:multiLevelType w:val="hybridMultilevel"/>
    <w:tmpl w:val="B07E81E6"/>
    <w:lvl w:ilvl="0" w:tplc="5316DADC">
      <w:start w:val="1"/>
      <w:numFmt w:val="bullet"/>
      <w:pStyle w:val="CE-BulletPoint2"/>
      <w:lvlText w:val=""/>
      <w:lvlJc w:val="left"/>
      <w:pPr>
        <w:ind w:left="1004" w:hanging="360"/>
      </w:pPr>
      <w:rPr>
        <w:rFonts w:ascii="Wingdings" w:hAnsi="Wingdings" w:hint="default"/>
        <w:color w:val="7E93A5" w:themeColor="background2"/>
        <w:sz w:val="24"/>
      </w:rPr>
    </w:lvl>
    <w:lvl w:ilvl="1" w:tplc="0C070003" w:tentative="1">
      <w:start w:val="1"/>
      <w:numFmt w:val="bullet"/>
      <w:lvlText w:val="o"/>
      <w:lvlJc w:val="left"/>
      <w:pPr>
        <w:ind w:left="1724" w:hanging="360"/>
      </w:pPr>
      <w:rPr>
        <w:rFonts w:ascii="Courier New" w:hAnsi="Courier New" w:cs="Courier New" w:hint="default"/>
      </w:rPr>
    </w:lvl>
    <w:lvl w:ilvl="2" w:tplc="0C070005" w:tentative="1">
      <w:start w:val="1"/>
      <w:numFmt w:val="bullet"/>
      <w:lvlText w:val=""/>
      <w:lvlJc w:val="left"/>
      <w:pPr>
        <w:ind w:left="2444" w:hanging="360"/>
      </w:pPr>
      <w:rPr>
        <w:rFonts w:ascii="Wingdings" w:hAnsi="Wingdings" w:hint="default"/>
      </w:rPr>
    </w:lvl>
    <w:lvl w:ilvl="3" w:tplc="0C070001" w:tentative="1">
      <w:start w:val="1"/>
      <w:numFmt w:val="bullet"/>
      <w:lvlText w:val=""/>
      <w:lvlJc w:val="left"/>
      <w:pPr>
        <w:ind w:left="3164" w:hanging="360"/>
      </w:pPr>
      <w:rPr>
        <w:rFonts w:ascii="Symbol" w:hAnsi="Symbol" w:hint="default"/>
      </w:rPr>
    </w:lvl>
    <w:lvl w:ilvl="4" w:tplc="0C070003" w:tentative="1">
      <w:start w:val="1"/>
      <w:numFmt w:val="bullet"/>
      <w:lvlText w:val="o"/>
      <w:lvlJc w:val="left"/>
      <w:pPr>
        <w:ind w:left="3884" w:hanging="360"/>
      </w:pPr>
      <w:rPr>
        <w:rFonts w:ascii="Courier New" w:hAnsi="Courier New" w:cs="Courier New" w:hint="default"/>
      </w:rPr>
    </w:lvl>
    <w:lvl w:ilvl="5" w:tplc="0C070005" w:tentative="1">
      <w:start w:val="1"/>
      <w:numFmt w:val="bullet"/>
      <w:lvlText w:val=""/>
      <w:lvlJc w:val="left"/>
      <w:pPr>
        <w:ind w:left="4604" w:hanging="360"/>
      </w:pPr>
      <w:rPr>
        <w:rFonts w:ascii="Wingdings" w:hAnsi="Wingdings" w:hint="default"/>
      </w:rPr>
    </w:lvl>
    <w:lvl w:ilvl="6" w:tplc="0C070001" w:tentative="1">
      <w:start w:val="1"/>
      <w:numFmt w:val="bullet"/>
      <w:lvlText w:val=""/>
      <w:lvlJc w:val="left"/>
      <w:pPr>
        <w:ind w:left="5324" w:hanging="360"/>
      </w:pPr>
      <w:rPr>
        <w:rFonts w:ascii="Symbol" w:hAnsi="Symbol" w:hint="default"/>
      </w:rPr>
    </w:lvl>
    <w:lvl w:ilvl="7" w:tplc="0C070003" w:tentative="1">
      <w:start w:val="1"/>
      <w:numFmt w:val="bullet"/>
      <w:lvlText w:val="o"/>
      <w:lvlJc w:val="left"/>
      <w:pPr>
        <w:ind w:left="6044" w:hanging="360"/>
      </w:pPr>
      <w:rPr>
        <w:rFonts w:ascii="Courier New" w:hAnsi="Courier New" w:cs="Courier New" w:hint="default"/>
      </w:rPr>
    </w:lvl>
    <w:lvl w:ilvl="8" w:tplc="0C070005" w:tentative="1">
      <w:start w:val="1"/>
      <w:numFmt w:val="bullet"/>
      <w:lvlText w:val=""/>
      <w:lvlJc w:val="left"/>
      <w:pPr>
        <w:ind w:left="6764" w:hanging="360"/>
      </w:pPr>
      <w:rPr>
        <w:rFonts w:ascii="Wingdings" w:hAnsi="Wingdings" w:hint="default"/>
      </w:rPr>
    </w:lvl>
  </w:abstractNum>
  <w:abstractNum w:abstractNumId="58">
    <w:nsid w:val="5E4D091E"/>
    <w:multiLevelType w:val="hybridMultilevel"/>
    <w:tmpl w:val="07909B28"/>
    <w:lvl w:ilvl="0" w:tplc="0C07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5E9B2E0C"/>
    <w:multiLevelType w:val="hybridMultilevel"/>
    <w:tmpl w:val="2DB87536"/>
    <w:lvl w:ilvl="0" w:tplc="DBBA2EC2">
      <w:numFmt w:val="bullet"/>
      <w:lvlText w:val="-"/>
      <w:lvlJc w:val="left"/>
      <w:pPr>
        <w:ind w:left="1778" w:hanging="360"/>
      </w:pPr>
      <w:rPr>
        <w:rFonts w:ascii="Times New Roman" w:eastAsia="Times New Roman" w:hAnsi="Times New Roman" w:cs="Times New Roman"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60">
    <w:nsid w:val="5EE843DA"/>
    <w:multiLevelType w:val="hybridMultilevel"/>
    <w:tmpl w:val="2AFC7E54"/>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61">
    <w:nsid w:val="611E1646"/>
    <w:multiLevelType w:val="hybridMultilevel"/>
    <w:tmpl w:val="7D686A0E"/>
    <w:lvl w:ilvl="0" w:tplc="04150001">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637F4713"/>
    <w:multiLevelType w:val="hybridMultilevel"/>
    <w:tmpl w:val="B3DCB0A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3">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64">
    <w:nsid w:val="686A0703"/>
    <w:multiLevelType w:val="hybridMultilevel"/>
    <w:tmpl w:val="FA645642"/>
    <w:lvl w:ilvl="0" w:tplc="285C9AA0">
      <w:start w:val="1"/>
      <w:numFmt w:val="bullet"/>
      <w:pStyle w:val="bulletpoints"/>
      <w:lvlText w:val=""/>
      <w:lvlJc w:val="left"/>
      <w:pPr>
        <w:ind w:left="1778" w:hanging="360"/>
      </w:pPr>
      <w:rPr>
        <w:rFonts w:ascii="Symbol" w:hAnsi="Symbol" w:hint="default"/>
        <w:color w:val="auto"/>
      </w:rPr>
    </w:lvl>
    <w:lvl w:ilvl="1" w:tplc="7BA4ABEA">
      <w:start w:val="1"/>
      <w:numFmt w:val="bullet"/>
      <w:lvlText w:val="o"/>
      <w:lvlJc w:val="left"/>
      <w:pPr>
        <w:ind w:left="1080" w:hanging="360"/>
      </w:pPr>
      <w:rPr>
        <w:rFonts w:ascii="Courier New" w:hAnsi="Courier New" w:cs="Courier New" w:hint="default"/>
      </w:rPr>
    </w:lvl>
    <w:lvl w:ilvl="2" w:tplc="9B56C568">
      <w:start w:val="1"/>
      <w:numFmt w:val="bullet"/>
      <w:lvlText w:val=""/>
      <w:lvlJc w:val="left"/>
      <w:pPr>
        <w:ind w:left="1800" w:hanging="360"/>
      </w:pPr>
      <w:rPr>
        <w:rFonts w:ascii="Wingdings" w:hAnsi="Wingdings" w:hint="default"/>
      </w:rPr>
    </w:lvl>
    <w:lvl w:ilvl="3" w:tplc="C1A09372" w:tentative="1">
      <w:start w:val="1"/>
      <w:numFmt w:val="bullet"/>
      <w:lvlText w:val=""/>
      <w:lvlJc w:val="left"/>
      <w:pPr>
        <w:ind w:left="2520" w:hanging="360"/>
      </w:pPr>
      <w:rPr>
        <w:rFonts w:ascii="Symbol" w:hAnsi="Symbol" w:hint="default"/>
      </w:rPr>
    </w:lvl>
    <w:lvl w:ilvl="4" w:tplc="04E07FB0" w:tentative="1">
      <w:start w:val="1"/>
      <w:numFmt w:val="bullet"/>
      <w:lvlText w:val="o"/>
      <w:lvlJc w:val="left"/>
      <w:pPr>
        <w:ind w:left="3240" w:hanging="360"/>
      </w:pPr>
      <w:rPr>
        <w:rFonts w:ascii="Courier New" w:hAnsi="Courier New" w:cs="Courier New" w:hint="default"/>
      </w:rPr>
    </w:lvl>
    <w:lvl w:ilvl="5" w:tplc="102CA6BA" w:tentative="1">
      <w:start w:val="1"/>
      <w:numFmt w:val="bullet"/>
      <w:lvlText w:val=""/>
      <w:lvlJc w:val="left"/>
      <w:pPr>
        <w:ind w:left="3960" w:hanging="360"/>
      </w:pPr>
      <w:rPr>
        <w:rFonts w:ascii="Wingdings" w:hAnsi="Wingdings" w:hint="default"/>
      </w:rPr>
    </w:lvl>
    <w:lvl w:ilvl="6" w:tplc="9BDE0EA2" w:tentative="1">
      <w:start w:val="1"/>
      <w:numFmt w:val="bullet"/>
      <w:lvlText w:val=""/>
      <w:lvlJc w:val="left"/>
      <w:pPr>
        <w:ind w:left="4680" w:hanging="360"/>
      </w:pPr>
      <w:rPr>
        <w:rFonts w:ascii="Symbol" w:hAnsi="Symbol" w:hint="default"/>
      </w:rPr>
    </w:lvl>
    <w:lvl w:ilvl="7" w:tplc="9AECFF42" w:tentative="1">
      <w:start w:val="1"/>
      <w:numFmt w:val="bullet"/>
      <w:lvlText w:val="o"/>
      <w:lvlJc w:val="left"/>
      <w:pPr>
        <w:ind w:left="5400" w:hanging="360"/>
      </w:pPr>
      <w:rPr>
        <w:rFonts w:ascii="Courier New" w:hAnsi="Courier New" w:cs="Courier New" w:hint="default"/>
      </w:rPr>
    </w:lvl>
    <w:lvl w:ilvl="8" w:tplc="1C4AC9AA" w:tentative="1">
      <w:start w:val="1"/>
      <w:numFmt w:val="bullet"/>
      <w:lvlText w:val=""/>
      <w:lvlJc w:val="left"/>
      <w:pPr>
        <w:ind w:left="6120" w:hanging="360"/>
      </w:pPr>
      <w:rPr>
        <w:rFonts w:ascii="Wingdings" w:hAnsi="Wingdings" w:hint="default"/>
      </w:rPr>
    </w:lvl>
  </w:abstractNum>
  <w:abstractNum w:abstractNumId="65">
    <w:nsid w:val="69B811AE"/>
    <w:multiLevelType w:val="multilevel"/>
    <w:tmpl w:val="A4606672"/>
    <w:styleLink w:val="Formatvorlage2"/>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gt;"/>
      <w:lvlJc w:val="left"/>
      <w:pPr>
        <w:ind w:left="852" w:hanging="284"/>
      </w:pPr>
      <w:rPr>
        <w:rFonts w:ascii="Trebuchet MS" w:hAnsi="Trebuchet MS" w:hint="default"/>
        <w:color w:val="7D8B8A" w:themeColor="accent1"/>
      </w:rPr>
    </w:lvl>
    <w:lvl w:ilvl="3">
      <w:start w:val="1"/>
      <w:numFmt w:val="bullet"/>
      <w:lvlText w:val="&gt;"/>
      <w:lvlJc w:val="left"/>
      <w:pPr>
        <w:ind w:left="1136" w:hanging="284"/>
      </w:pPr>
      <w:rPr>
        <w:rFonts w:ascii="Trebuchet MS" w:hAnsi="Trebuchet MS" w:hint="default"/>
        <w:color w:val="7D8B8A" w:themeColor="accent1"/>
      </w:rPr>
    </w:lvl>
    <w:lvl w:ilvl="4">
      <w:start w:val="1"/>
      <w:numFmt w:val="bullet"/>
      <w:lvlText w:val="&gt;"/>
      <w:lvlJc w:val="left"/>
      <w:pPr>
        <w:ind w:left="1420" w:hanging="284"/>
      </w:pPr>
      <w:rPr>
        <w:rFonts w:ascii="Trebuchet MS" w:hAnsi="Trebuchet MS" w:cs="Courier New" w:hint="default"/>
        <w:color w:val="7D8B8A" w:themeColor="accent1"/>
      </w:rPr>
    </w:lvl>
    <w:lvl w:ilvl="5">
      <w:start w:val="1"/>
      <w:numFmt w:val="bullet"/>
      <w:lvlText w:val="&gt;"/>
      <w:lvlJc w:val="left"/>
      <w:pPr>
        <w:ind w:left="1704" w:hanging="284"/>
      </w:pPr>
      <w:rPr>
        <w:rFonts w:ascii="Trebuchet MS" w:hAnsi="Trebuchet MS" w:hint="default"/>
        <w:color w:val="7D8B8A" w:themeColor="accent1"/>
      </w:rPr>
    </w:lvl>
    <w:lvl w:ilvl="6">
      <w:start w:val="1"/>
      <w:numFmt w:val="bullet"/>
      <w:lvlText w:val="&gt;"/>
      <w:lvlJc w:val="left"/>
      <w:pPr>
        <w:ind w:left="1988" w:hanging="284"/>
      </w:pPr>
      <w:rPr>
        <w:rFonts w:ascii="Trebuchet MS" w:hAnsi="Trebuchet MS" w:hint="default"/>
        <w:color w:val="7D8B8A" w:themeColor="accent1"/>
      </w:rPr>
    </w:lvl>
    <w:lvl w:ilvl="7">
      <w:start w:val="1"/>
      <w:numFmt w:val="bullet"/>
      <w:lvlText w:val="&gt;"/>
      <w:lvlJc w:val="left"/>
      <w:pPr>
        <w:ind w:left="2272" w:hanging="284"/>
      </w:pPr>
      <w:rPr>
        <w:rFonts w:ascii="Trebuchet MS" w:hAnsi="Trebuchet MS" w:cs="Courier New" w:hint="default"/>
        <w:color w:val="7D8B8A" w:themeColor="accent1"/>
      </w:rPr>
    </w:lvl>
    <w:lvl w:ilvl="8">
      <w:start w:val="1"/>
      <w:numFmt w:val="bullet"/>
      <w:lvlText w:val="&gt;"/>
      <w:lvlJc w:val="left"/>
      <w:pPr>
        <w:ind w:left="2556" w:hanging="284"/>
      </w:pPr>
      <w:rPr>
        <w:rFonts w:ascii="Trebuchet MS" w:hAnsi="Trebuchet MS" w:hint="default"/>
        <w:color w:val="7D8B8A" w:themeColor="accent1"/>
      </w:rPr>
    </w:lvl>
  </w:abstractNum>
  <w:abstractNum w:abstractNumId="66">
    <w:nsid w:val="69E12E56"/>
    <w:multiLevelType w:val="hybridMultilevel"/>
    <w:tmpl w:val="A058FD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B0571C7"/>
    <w:multiLevelType w:val="hybridMultilevel"/>
    <w:tmpl w:val="426201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6B9635F8"/>
    <w:multiLevelType w:val="hybridMultilevel"/>
    <w:tmpl w:val="31DE6078"/>
    <w:lvl w:ilvl="0" w:tplc="04090005">
      <w:start w:val="1"/>
      <w:numFmt w:val="bullet"/>
      <w:lvlText w:val=""/>
      <w:lvlJc w:val="left"/>
      <w:pPr>
        <w:ind w:left="360" w:hanging="360"/>
      </w:pPr>
      <w:rPr>
        <w:rFonts w:ascii="Wingdings" w:hAnsi="Wingdings" w:hint="default"/>
      </w:rPr>
    </w:lvl>
    <w:lvl w:ilvl="1" w:tplc="04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nsid w:val="6C8C0667"/>
    <w:multiLevelType w:val="hybridMultilevel"/>
    <w:tmpl w:val="AD46F29E"/>
    <w:lvl w:ilvl="0" w:tplc="0C070001">
      <w:start w:val="1"/>
      <w:numFmt w:val="bullet"/>
      <w:lvlText w:val=""/>
      <w:lvlJc w:val="left"/>
      <w:pPr>
        <w:ind w:left="1031" w:hanging="360"/>
      </w:pPr>
      <w:rPr>
        <w:rFonts w:ascii="Symbol" w:hAnsi="Symbol" w:hint="default"/>
      </w:rPr>
    </w:lvl>
    <w:lvl w:ilvl="1" w:tplc="0C070003" w:tentative="1">
      <w:start w:val="1"/>
      <w:numFmt w:val="bullet"/>
      <w:lvlText w:val="o"/>
      <w:lvlJc w:val="left"/>
      <w:pPr>
        <w:ind w:left="1751" w:hanging="360"/>
      </w:pPr>
      <w:rPr>
        <w:rFonts w:ascii="Courier New" w:hAnsi="Courier New" w:cs="Courier New" w:hint="default"/>
      </w:rPr>
    </w:lvl>
    <w:lvl w:ilvl="2" w:tplc="0C070005" w:tentative="1">
      <w:start w:val="1"/>
      <w:numFmt w:val="bullet"/>
      <w:lvlText w:val=""/>
      <w:lvlJc w:val="left"/>
      <w:pPr>
        <w:ind w:left="2471" w:hanging="360"/>
      </w:pPr>
      <w:rPr>
        <w:rFonts w:ascii="Wingdings" w:hAnsi="Wingdings" w:hint="default"/>
      </w:rPr>
    </w:lvl>
    <w:lvl w:ilvl="3" w:tplc="0C070001" w:tentative="1">
      <w:start w:val="1"/>
      <w:numFmt w:val="bullet"/>
      <w:lvlText w:val=""/>
      <w:lvlJc w:val="left"/>
      <w:pPr>
        <w:ind w:left="3191" w:hanging="360"/>
      </w:pPr>
      <w:rPr>
        <w:rFonts w:ascii="Symbol" w:hAnsi="Symbol" w:hint="default"/>
      </w:rPr>
    </w:lvl>
    <w:lvl w:ilvl="4" w:tplc="0C070003" w:tentative="1">
      <w:start w:val="1"/>
      <w:numFmt w:val="bullet"/>
      <w:lvlText w:val="o"/>
      <w:lvlJc w:val="left"/>
      <w:pPr>
        <w:ind w:left="3911" w:hanging="360"/>
      </w:pPr>
      <w:rPr>
        <w:rFonts w:ascii="Courier New" w:hAnsi="Courier New" w:cs="Courier New" w:hint="default"/>
      </w:rPr>
    </w:lvl>
    <w:lvl w:ilvl="5" w:tplc="0C070005" w:tentative="1">
      <w:start w:val="1"/>
      <w:numFmt w:val="bullet"/>
      <w:lvlText w:val=""/>
      <w:lvlJc w:val="left"/>
      <w:pPr>
        <w:ind w:left="4631" w:hanging="360"/>
      </w:pPr>
      <w:rPr>
        <w:rFonts w:ascii="Wingdings" w:hAnsi="Wingdings" w:hint="default"/>
      </w:rPr>
    </w:lvl>
    <w:lvl w:ilvl="6" w:tplc="0C070001" w:tentative="1">
      <w:start w:val="1"/>
      <w:numFmt w:val="bullet"/>
      <w:lvlText w:val=""/>
      <w:lvlJc w:val="left"/>
      <w:pPr>
        <w:ind w:left="5351" w:hanging="360"/>
      </w:pPr>
      <w:rPr>
        <w:rFonts w:ascii="Symbol" w:hAnsi="Symbol" w:hint="default"/>
      </w:rPr>
    </w:lvl>
    <w:lvl w:ilvl="7" w:tplc="0C070003" w:tentative="1">
      <w:start w:val="1"/>
      <w:numFmt w:val="bullet"/>
      <w:lvlText w:val="o"/>
      <w:lvlJc w:val="left"/>
      <w:pPr>
        <w:ind w:left="6071" w:hanging="360"/>
      </w:pPr>
      <w:rPr>
        <w:rFonts w:ascii="Courier New" w:hAnsi="Courier New" w:cs="Courier New" w:hint="default"/>
      </w:rPr>
    </w:lvl>
    <w:lvl w:ilvl="8" w:tplc="0C070005" w:tentative="1">
      <w:start w:val="1"/>
      <w:numFmt w:val="bullet"/>
      <w:lvlText w:val=""/>
      <w:lvlJc w:val="left"/>
      <w:pPr>
        <w:ind w:left="6791" w:hanging="360"/>
      </w:pPr>
      <w:rPr>
        <w:rFonts w:ascii="Wingdings" w:hAnsi="Wingdings" w:hint="default"/>
      </w:rPr>
    </w:lvl>
  </w:abstractNum>
  <w:abstractNum w:abstractNumId="70">
    <w:nsid w:val="6F252829"/>
    <w:multiLevelType w:val="hybridMultilevel"/>
    <w:tmpl w:val="8FDEDE46"/>
    <w:lvl w:ilvl="0" w:tplc="87D8118C">
      <w:start w:val="1"/>
      <w:numFmt w:val="bullet"/>
      <w:pStyle w:val="Bullet1"/>
      <w:lvlText w:val=""/>
      <w:lvlJc w:val="left"/>
      <w:pPr>
        <w:tabs>
          <w:tab w:val="num" w:pos="1069"/>
        </w:tabs>
        <w:ind w:left="1069" w:hanging="360"/>
      </w:pPr>
      <w:rPr>
        <w:rFonts w:ascii="Symbol" w:hAnsi="Symbol" w:hint="default"/>
      </w:rPr>
    </w:lvl>
    <w:lvl w:ilvl="1" w:tplc="0C070003">
      <w:start w:val="1"/>
      <w:numFmt w:val="bullet"/>
      <w:pStyle w:val="Bullet2"/>
      <w:lvlText w:val="o"/>
      <w:lvlJc w:val="left"/>
      <w:pPr>
        <w:tabs>
          <w:tab w:val="num" w:pos="1789"/>
        </w:tabs>
        <w:ind w:left="1789" w:hanging="360"/>
      </w:pPr>
      <w:rPr>
        <w:rFonts w:ascii="Courier New" w:hAnsi="Courier New" w:hint="default"/>
      </w:rPr>
    </w:lvl>
    <w:lvl w:ilvl="2" w:tplc="0C070005">
      <w:start w:val="1"/>
      <w:numFmt w:val="bullet"/>
      <w:lvlText w:val=""/>
      <w:lvlJc w:val="left"/>
      <w:pPr>
        <w:tabs>
          <w:tab w:val="num" w:pos="2509"/>
        </w:tabs>
        <w:ind w:left="2509" w:hanging="360"/>
      </w:pPr>
      <w:rPr>
        <w:rFonts w:ascii="Wingdings" w:hAnsi="Wingdings" w:hint="default"/>
      </w:rPr>
    </w:lvl>
    <w:lvl w:ilvl="3" w:tplc="0C070001" w:tentative="1">
      <w:start w:val="1"/>
      <w:numFmt w:val="bullet"/>
      <w:lvlText w:val=""/>
      <w:lvlJc w:val="left"/>
      <w:pPr>
        <w:tabs>
          <w:tab w:val="num" w:pos="3229"/>
        </w:tabs>
        <w:ind w:left="3229" w:hanging="360"/>
      </w:pPr>
      <w:rPr>
        <w:rFonts w:ascii="Symbol" w:hAnsi="Symbol" w:hint="default"/>
      </w:rPr>
    </w:lvl>
    <w:lvl w:ilvl="4" w:tplc="0C070003" w:tentative="1">
      <w:start w:val="1"/>
      <w:numFmt w:val="bullet"/>
      <w:lvlText w:val="o"/>
      <w:lvlJc w:val="left"/>
      <w:pPr>
        <w:tabs>
          <w:tab w:val="num" w:pos="3949"/>
        </w:tabs>
        <w:ind w:left="3949" w:hanging="360"/>
      </w:pPr>
      <w:rPr>
        <w:rFonts w:ascii="Courier New" w:hAnsi="Courier New" w:hint="default"/>
      </w:rPr>
    </w:lvl>
    <w:lvl w:ilvl="5" w:tplc="0C070005" w:tentative="1">
      <w:start w:val="1"/>
      <w:numFmt w:val="bullet"/>
      <w:lvlText w:val=""/>
      <w:lvlJc w:val="left"/>
      <w:pPr>
        <w:tabs>
          <w:tab w:val="num" w:pos="4669"/>
        </w:tabs>
        <w:ind w:left="4669" w:hanging="360"/>
      </w:pPr>
      <w:rPr>
        <w:rFonts w:ascii="Wingdings" w:hAnsi="Wingdings" w:hint="default"/>
      </w:rPr>
    </w:lvl>
    <w:lvl w:ilvl="6" w:tplc="0C070001" w:tentative="1">
      <w:start w:val="1"/>
      <w:numFmt w:val="bullet"/>
      <w:lvlText w:val=""/>
      <w:lvlJc w:val="left"/>
      <w:pPr>
        <w:tabs>
          <w:tab w:val="num" w:pos="5389"/>
        </w:tabs>
        <w:ind w:left="5389" w:hanging="360"/>
      </w:pPr>
      <w:rPr>
        <w:rFonts w:ascii="Symbol" w:hAnsi="Symbol" w:hint="default"/>
      </w:rPr>
    </w:lvl>
    <w:lvl w:ilvl="7" w:tplc="0C070003" w:tentative="1">
      <w:start w:val="1"/>
      <w:numFmt w:val="bullet"/>
      <w:lvlText w:val="o"/>
      <w:lvlJc w:val="left"/>
      <w:pPr>
        <w:tabs>
          <w:tab w:val="num" w:pos="6109"/>
        </w:tabs>
        <w:ind w:left="6109" w:hanging="360"/>
      </w:pPr>
      <w:rPr>
        <w:rFonts w:ascii="Courier New" w:hAnsi="Courier New" w:hint="default"/>
      </w:rPr>
    </w:lvl>
    <w:lvl w:ilvl="8" w:tplc="0C070005" w:tentative="1">
      <w:start w:val="1"/>
      <w:numFmt w:val="bullet"/>
      <w:lvlText w:val=""/>
      <w:lvlJc w:val="left"/>
      <w:pPr>
        <w:tabs>
          <w:tab w:val="num" w:pos="6829"/>
        </w:tabs>
        <w:ind w:left="6829" w:hanging="360"/>
      </w:pPr>
      <w:rPr>
        <w:rFonts w:ascii="Wingdings" w:hAnsi="Wingdings" w:hint="default"/>
      </w:rPr>
    </w:lvl>
  </w:abstractNum>
  <w:abstractNum w:abstractNumId="71">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Nagwek5"/>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pStyle w:val="Nagwek7"/>
      <w:lvlText w:val="%1.%2.%3.%4.%5.%6.%7"/>
      <w:lvlJc w:val="left"/>
      <w:pPr>
        <w:tabs>
          <w:tab w:val="num" w:pos="1296"/>
        </w:tabs>
        <w:ind w:left="1296" w:hanging="1296"/>
      </w:pPr>
      <w:rPr>
        <w:rFonts w:hint="default"/>
      </w:rPr>
    </w:lvl>
    <w:lvl w:ilvl="7">
      <w:start w:val="1"/>
      <w:numFmt w:val="decimal"/>
      <w:pStyle w:val="Nagwek8"/>
      <w:lvlText w:val="%1.%2.%3.%4.%5.%6.%7.%8"/>
      <w:lvlJc w:val="left"/>
      <w:pPr>
        <w:tabs>
          <w:tab w:val="num" w:pos="1440"/>
        </w:tabs>
        <w:ind w:left="1440" w:hanging="1440"/>
      </w:pPr>
      <w:rPr>
        <w:rFonts w:hint="default"/>
      </w:rPr>
    </w:lvl>
    <w:lvl w:ilvl="8">
      <w:start w:val="1"/>
      <w:numFmt w:val="decimal"/>
      <w:pStyle w:val="Nagwek9"/>
      <w:lvlText w:val="%1.%2.%3.%4.%5.%6.%7.%8.%9"/>
      <w:lvlJc w:val="left"/>
      <w:pPr>
        <w:tabs>
          <w:tab w:val="num" w:pos="1584"/>
        </w:tabs>
        <w:ind w:left="1584" w:hanging="1584"/>
      </w:pPr>
      <w:rPr>
        <w:rFonts w:hint="default"/>
      </w:rPr>
    </w:lvl>
  </w:abstractNum>
  <w:abstractNum w:abstractNumId="72">
    <w:nsid w:val="71C42A22"/>
    <w:multiLevelType w:val="hybridMultilevel"/>
    <w:tmpl w:val="30AA4196"/>
    <w:lvl w:ilvl="0" w:tplc="C81C78D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7736208D"/>
    <w:multiLevelType w:val="hybridMultilevel"/>
    <w:tmpl w:val="F9BE80A8"/>
    <w:lvl w:ilvl="0" w:tplc="0C070001">
      <w:start w:val="1"/>
      <w:numFmt w:val="bullet"/>
      <w:lvlText w:val=""/>
      <w:lvlJc w:val="left"/>
      <w:pPr>
        <w:ind w:left="387" w:hanging="360"/>
      </w:pPr>
      <w:rPr>
        <w:rFonts w:ascii="Symbol" w:hAnsi="Symbol" w:hint="default"/>
      </w:rPr>
    </w:lvl>
    <w:lvl w:ilvl="1" w:tplc="0C070003" w:tentative="1">
      <w:start w:val="1"/>
      <w:numFmt w:val="bullet"/>
      <w:lvlText w:val="o"/>
      <w:lvlJc w:val="left"/>
      <w:pPr>
        <w:ind w:left="1107" w:hanging="360"/>
      </w:pPr>
      <w:rPr>
        <w:rFonts w:ascii="Courier New" w:hAnsi="Courier New" w:cs="Courier New" w:hint="default"/>
      </w:rPr>
    </w:lvl>
    <w:lvl w:ilvl="2" w:tplc="0C070005" w:tentative="1">
      <w:start w:val="1"/>
      <w:numFmt w:val="bullet"/>
      <w:lvlText w:val=""/>
      <w:lvlJc w:val="left"/>
      <w:pPr>
        <w:ind w:left="1827" w:hanging="360"/>
      </w:pPr>
      <w:rPr>
        <w:rFonts w:ascii="Wingdings" w:hAnsi="Wingdings" w:hint="default"/>
      </w:rPr>
    </w:lvl>
    <w:lvl w:ilvl="3" w:tplc="0C070001" w:tentative="1">
      <w:start w:val="1"/>
      <w:numFmt w:val="bullet"/>
      <w:lvlText w:val=""/>
      <w:lvlJc w:val="left"/>
      <w:pPr>
        <w:ind w:left="2547" w:hanging="360"/>
      </w:pPr>
      <w:rPr>
        <w:rFonts w:ascii="Symbol" w:hAnsi="Symbol" w:hint="default"/>
      </w:rPr>
    </w:lvl>
    <w:lvl w:ilvl="4" w:tplc="0C070003" w:tentative="1">
      <w:start w:val="1"/>
      <w:numFmt w:val="bullet"/>
      <w:lvlText w:val="o"/>
      <w:lvlJc w:val="left"/>
      <w:pPr>
        <w:ind w:left="3267" w:hanging="360"/>
      </w:pPr>
      <w:rPr>
        <w:rFonts w:ascii="Courier New" w:hAnsi="Courier New" w:cs="Courier New" w:hint="default"/>
      </w:rPr>
    </w:lvl>
    <w:lvl w:ilvl="5" w:tplc="0C070005" w:tentative="1">
      <w:start w:val="1"/>
      <w:numFmt w:val="bullet"/>
      <w:lvlText w:val=""/>
      <w:lvlJc w:val="left"/>
      <w:pPr>
        <w:ind w:left="3987" w:hanging="360"/>
      </w:pPr>
      <w:rPr>
        <w:rFonts w:ascii="Wingdings" w:hAnsi="Wingdings" w:hint="default"/>
      </w:rPr>
    </w:lvl>
    <w:lvl w:ilvl="6" w:tplc="0C070001" w:tentative="1">
      <w:start w:val="1"/>
      <w:numFmt w:val="bullet"/>
      <w:lvlText w:val=""/>
      <w:lvlJc w:val="left"/>
      <w:pPr>
        <w:ind w:left="4707" w:hanging="360"/>
      </w:pPr>
      <w:rPr>
        <w:rFonts w:ascii="Symbol" w:hAnsi="Symbol" w:hint="default"/>
      </w:rPr>
    </w:lvl>
    <w:lvl w:ilvl="7" w:tplc="0C070003" w:tentative="1">
      <w:start w:val="1"/>
      <w:numFmt w:val="bullet"/>
      <w:lvlText w:val="o"/>
      <w:lvlJc w:val="left"/>
      <w:pPr>
        <w:ind w:left="5427" w:hanging="360"/>
      </w:pPr>
      <w:rPr>
        <w:rFonts w:ascii="Courier New" w:hAnsi="Courier New" w:cs="Courier New" w:hint="default"/>
      </w:rPr>
    </w:lvl>
    <w:lvl w:ilvl="8" w:tplc="0C070005" w:tentative="1">
      <w:start w:val="1"/>
      <w:numFmt w:val="bullet"/>
      <w:lvlText w:val=""/>
      <w:lvlJc w:val="left"/>
      <w:pPr>
        <w:ind w:left="6147" w:hanging="360"/>
      </w:pPr>
      <w:rPr>
        <w:rFonts w:ascii="Wingdings" w:hAnsi="Wingdings" w:hint="default"/>
      </w:rPr>
    </w:lvl>
  </w:abstractNum>
  <w:abstractNum w:abstractNumId="74">
    <w:nsid w:val="77763E50"/>
    <w:multiLevelType w:val="hybridMultilevel"/>
    <w:tmpl w:val="2B5CDBC2"/>
    <w:lvl w:ilvl="0" w:tplc="29EA637C">
      <w:start w:val="1"/>
      <w:numFmt w:val="bullet"/>
      <w:pStyle w:val="CE-List-Numbers"/>
      <w:lvlText w:val="×"/>
      <w:lvlJc w:val="left"/>
      <w:pPr>
        <w:ind w:left="720" w:hanging="360"/>
      </w:pPr>
      <w:rPr>
        <w:rFonts w:ascii="Trebuchet MS" w:hAnsi="Trebuchet MS" w:hint="default"/>
        <w:b/>
        <w:i w:val="0"/>
        <w:caps w:val="0"/>
        <w:strike w:val="0"/>
        <w:dstrike w:val="0"/>
        <w:vanish w:val="0"/>
        <w:color w:val="7D8B8A" w:themeColor="accent1"/>
        <w:spacing w:val="0"/>
        <w:position w:val="0"/>
        <w:sz w:val="20"/>
        <w:u w:val="none"/>
        <w:vertAlign w:val="baseline"/>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5">
    <w:nsid w:val="779C766B"/>
    <w:multiLevelType w:val="hybridMultilevel"/>
    <w:tmpl w:val="70689F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6">
    <w:nsid w:val="790F0F67"/>
    <w:multiLevelType w:val="hybridMultilevel"/>
    <w:tmpl w:val="111CD32C"/>
    <w:lvl w:ilvl="0" w:tplc="0C07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nsid w:val="79B85DC1"/>
    <w:multiLevelType w:val="hybridMultilevel"/>
    <w:tmpl w:val="73D2D046"/>
    <w:lvl w:ilvl="0" w:tplc="11961190">
      <w:start w:val="1"/>
      <w:numFmt w:val="bullet"/>
      <w:pStyle w:val="Listapunktowana"/>
      <w:lvlText w:val="–"/>
      <w:lvlJc w:val="left"/>
      <w:pPr>
        <w:ind w:left="720" w:hanging="360"/>
      </w:pPr>
      <w:rPr>
        <w:rFonts w:ascii="Arial" w:hAnsi="Arial" w:cs="Arial" w:hint="default"/>
        <w:color w:val="0060A9"/>
      </w:rPr>
    </w:lvl>
    <w:lvl w:ilvl="1" w:tplc="0C070019" w:tentative="1">
      <w:start w:val="1"/>
      <w:numFmt w:val="bullet"/>
      <w:lvlText w:val="o"/>
      <w:lvlJc w:val="left"/>
      <w:pPr>
        <w:ind w:left="1440" w:hanging="360"/>
      </w:pPr>
      <w:rPr>
        <w:rFonts w:ascii="Courier New" w:hAnsi="Courier New" w:cs="Courier New" w:hint="default"/>
      </w:rPr>
    </w:lvl>
    <w:lvl w:ilvl="2" w:tplc="0C07001B" w:tentative="1">
      <w:start w:val="1"/>
      <w:numFmt w:val="bullet"/>
      <w:lvlText w:val=""/>
      <w:lvlJc w:val="left"/>
      <w:pPr>
        <w:ind w:left="2160" w:hanging="360"/>
      </w:pPr>
      <w:rPr>
        <w:rFonts w:ascii="Wingdings" w:hAnsi="Wingdings" w:hint="default"/>
      </w:rPr>
    </w:lvl>
    <w:lvl w:ilvl="3" w:tplc="0C07000F" w:tentative="1">
      <w:start w:val="1"/>
      <w:numFmt w:val="bullet"/>
      <w:lvlText w:val=""/>
      <w:lvlJc w:val="left"/>
      <w:pPr>
        <w:ind w:left="2880" w:hanging="360"/>
      </w:pPr>
      <w:rPr>
        <w:rFonts w:ascii="Symbol" w:hAnsi="Symbol" w:hint="default"/>
      </w:rPr>
    </w:lvl>
    <w:lvl w:ilvl="4" w:tplc="0C070019" w:tentative="1">
      <w:start w:val="1"/>
      <w:numFmt w:val="bullet"/>
      <w:lvlText w:val="o"/>
      <w:lvlJc w:val="left"/>
      <w:pPr>
        <w:ind w:left="3600" w:hanging="360"/>
      </w:pPr>
      <w:rPr>
        <w:rFonts w:ascii="Courier New" w:hAnsi="Courier New" w:cs="Courier New" w:hint="default"/>
      </w:rPr>
    </w:lvl>
    <w:lvl w:ilvl="5" w:tplc="0C07001B" w:tentative="1">
      <w:start w:val="1"/>
      <w:numFmt w:val="bullet"/>
      <w:lvlText w:val=""/>
      <w:lvlJc w:val="left"/>
      <w:pPr>
        <w:ind w:left="4320" w:hanging="360"/>
      </w:pPr>
      <w:rPr>
        <w:rFonts w:ascii="Wingdings" w:hAnsi="Wingdings" w:hint="default"/>
      </w:rPr>
    </w:lvl>
    <w:lvl w:ilvl="6" w:tplc="0C07000F" w:tentative="1">
      <w:start w:val="1"/>
      <w:numFmt w:val="bullet"/>
      <w:lvlText w:val=""/>
      <w:lvlJc w:val="left"/>
      <w:pPr>
        <w:ind w:left="5040" w:hanging="360"/>
      </w:pPr>
      <w:rPr>
        <w:rFonts w:ascii="Symbol" w:hAnsi="Symbol" w:hint="default"/>
      </w:rPr>
    </w:lvl>
    <w:lvl w:ilvl="7" w:tplc="0C070019" w:tentative="1">
      <w:start w:val="1"/>
      <w:numFmt w:val="bullet"/>
      <w:lvlText w:val="o"/>
      <w:lvlJc w:val="left"/>
      <w:pPr>
        <w:ind w:left="5760" w:hanging="360"/>
      </w:pPr>
      <w:rPr>
        <w:rFonts w:ascii="Courier New" w:hAnsi="Courier New" w:cs="Courier New" w:hint="default"/>
      </w:rPr>
    </w:lvl>
    <w:lvl w:ilvl="8" w:tplc="0C07001B" w:tentative="1">
      <w:start w:val="1"/>
      <w:numFmt w:val="bullet"/>
      <w:lvlText w:val=""/>
      <w:lvlJc w:val="left"/>
      <w:pPr>
        <w:ind w:left="6480" w:hanging="360"/>
      </w:pPr>
      <w:rPr>
        <w:rFonts w:ascii="Wingdings" w:hAnsi="Wingdings" w:hint="default"/>
      </w:rPr>
    </w:lvl>
  </w:abstractNum>
  <w:abstractNum w:abstractNumId="78">
    <w:nsid w:val="79F032A7"/>
    <w:multiLevelType w:val="hybridMultilevel"/>
    <w:tmpl w:val="FF446312"/>
    <w:lvl w:ilvl="0" w:tplc="0C070001">
      <w:start w:val="1"/>
      <w:numFmt w:val="bullet"/>
      <w:lvlText w:val=""/>
      <w:lvlJc w:val="left"/>
      <w:pPr>
        <w:ind w:left="720" w:hanging="360"/>
      </w:pPr>
      <w:rPr>
        <w:rFonts w:ascii="Symbol" w:hAnsi="Symbol" w:hint="default"/>
      </w:rPr>
    </w:lvl>
    <w:lvl w:ilvl="1" w:tplc="0450BF60">
      <w:numFmt w:val="bullet"/>
      <w:lvlText w:val="•"/>
      <w:lvlJc w:val="left"/>
      <w:pPr>
        <w:ind w:left="1788" w:hanging="708"/>
      </w:pPr>
      <w:rPr>
        <w:rFonts w:ascii="Trebuchet MS" w:eastAsia="Times New Roman" w:hAnsi="Trebuchet MS" w:cs="Times New Roman"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9">
    <w:nsid w:val="7B09619C"/>
    <w:multiLevelType w:val="hybridMultilevel"/>
    <w:tmpl w:val="E35E4F90"/>
    <w:lvl w:ilvl="0" w:tplc="0C070001">
      <w:start w:val="1"/>
      <w:numFmt w:val="bullet"/>
      <w:lvlText w:val=""/>
      <w:lvlJc w:val="left"/>
      <w:pPr>
        <w:ind w:left="360" w:hanging="360"/>
      </w:pPr>
      <w:rPr>
        <w:rFonts w:ascii="Symbol" w:hAnsi="Symbol" w:hint="default"/>
      </w:rPr>
    </w:lvl>
    <w:lvl w:ilvl="1" w:tplc="0C070001">
      <w:start w:val="1"/>
      <w:numFmt w:val="bullet"/>
      <w:lvlText w:val=""/>
      <w:lvlJc w:val="left"/>
      <w:pPr>
        <w:ind w:left="1428" w:hanging="708"/>
      </w:pPr>
      <w:rPr>
        <w:rFonts w:ascii="Symbol" w:hAnsi="Symbol"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80">
    <w:nsid w:val="7B9E3A11"/>
    <w:multiLevelType w:val="hybridMultilevel"/>
    <w:tmpl w:val="6AEEB808"/>
    <w:lvl w:ilvl="0" w:tplc="0C070001">
      <w:start w:val="1"/>
      <w:numFmt w:val="bullet"/>
      <w:lvlText w:val=""/>
      <w:lvlJc w:val="left"/>
      <w:pPr>
        <w:ind w:left="720" w:hanging="360"/>
      </w:pPr>
      <w:rPr>
        <w:rFonts w:ascii="Symbol" w:hAnsi="Symbol" w:hint="default"/>
      </w:rPr>
    </w:lvl>
    <w:lvl w:ilvl="1" w:tplc="87C88702">
      <w:numFmt w:val="bullet"/>
      <w:lvlText w:val="–"/>
      <w:lvlJc w:val="left"/>
      <w:pPr>
        <w:ind w:left="1788" w:hanging="708"/>
      </w:pPr>
      <w:rPr>
        <w:rFonts w:ascii="Trebuchet MS" w:eastAsia="Times New Roman" w:hAnsi="Trebuchet MS" w:cs="Times New Roman"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1">
    <w:nsid w:val="7D0466F1"/>
    <w:multiLevelType w:val="hybridMultilevel"/>
    <w:tmpl w:val="09B853EC"/>
    <w:lvl w:ilvl="0" w:tplc="0C070001">
      <w:start w:val="1"/>
      <w:numFmt w:val="bullet"/>
      <w:lvlText w:val=""/>
      <w:lvlJc w:val="left"/>
      <w:pPr>
        <w:ind w:left="720" w:hanging="360"/>
      </w:pPr>
      <w:rPr>
        <w:rFonts w:ascii="Symbol" w:hAnsi="Symbol" w:hint="default"/>
      </w:rPr>
    </w:lvl>
    <w:lvl w:ilvl="1" w:tplc="2032A34A">
      <w:numFmt w:val="bullet"/>
      <w:lvlText w:val="•"/>
      <w:lvlJc w:val="left"/>
      <w:pPr>
        <w:ind w:left="1440" w:hanging="360"/>
      </w:pPr>
      <w:rPr>
        <w:rFonts w:ascii="Trebuchet MS" w:eastAsia="Times New Roman" w:hAnsi="Trebuchet MS" w:cs="Times New Roman"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2">
    <w:nsid w:val="7D660AB2"/>
    <w:multiLevelType w:val="multilevel"/>
    <w:tmpl w:val="EA58F362"/>
    <w:styleLink w:val="Formatvorlage1"/>
    <w:lvl w:ilvl="0">
      <w:start w:val="1"/>
      <w:numFmt w:val="bullet"/>
      <w:lvlText w:val=""/>
      <w:lvlJc w:val="left"/>
      <w:pPr>
        <w:ind w:left="284" w:hanging="284"/>
      </w:pPr>
      <w:rPr>
        <w:rFonts w:ascii="Wingdings 2" w:hAnsi="Wingdings 2" w:hint="default"/>
        <w:color w:val="7D8B8A" w:themeColor="accent1"/>
        <w:sz w:val="18"/>
      </w:rPr>
    </w:lvl>
    <w:lvl w:ilvl="1">
      <w:start w:val="1"/>
      <w:numFmt w:val="bullet"/>
      <w:lvlText w:val=""/>
      <w:lvlJc w:val="left"/>
      <w:pPr>
        <w:ind w:left="568" w:hanging="284"/>
      </w:pPr>
      <w:rPr>
        <w:rFonts w:ascii="Wingdings" w:hAnsi="Wingdings"/>
        <w:color w:val="7D8B8A" w:themeColor="accent1"/>
        <w:sz w:val="24"/>
      </w:rPr>
    </w:lvl>
    <w:lvl w:ilvl="2">
      <w:start w:val="1"/>
      <w:numFmt w:val="bullet"/>
      <w:lvlText w:val=""/>
      <w:lvlJc w:val="left"/>
      <w:pPr>
        <w:ind w:left="852" w:hanging="284"/>
      </w:pPr>
      <w:rPr>
        <w:rFonts w:ascii="Symbol" w:hAnsi="Symbol" w:hint="default"/>
        <w:b w:val="0"/>
        <w:i w:val="0"/>
        <w:color w:val="7D8B8A" w:themeColor="accent1"/>
        <w:sz w:val="18"/>
      </w:rPr>
    </w:lvl>
    <w:lvl w:ilvl="3">
      <w:start w:val="1"/>
      <w:numFmt w:val="bullet"/>
      <w:lvlText w:val=""/>
      <w:lvlJc w:val="left"/>
      <w:pPr>
        <w:ind w:left="1136" w:hanging="284"/>
      </w:pPr>
      <w:rPr>
        <w:rFonts w:ascii="Symbol" w:hAnsi="Symbol" w:hint="default"/>
        <w:b w:val="0"/>
        <w:i w:val="0"/>
        <w:color w:val="7D8B8A" w:themeColor="accent1"/>
        <w:sz w:val="18"/>
      </w:rPr>
    </w:lvl>
    <w:lvl w:ilvl="4">
      <w:start w:val="1"/>
      <w:numFmt w:val="bullet"/>
      <w:lvlText w:val=""/>
      <w:lvlJc w:val="left"/>
      <w:pPr>
        <w:ind w:left="1420" w:hanging="284"/>
      </w:pPr>
      <w:rPr>
        <w:rFonts w:ascii="Symbol" w:hAnsi="Symbol" w:hint="default"/>
        <w:color w:val="7D8B8A" w:themeColor="accent1"/>
      </w:rPr>
    </w:lvl>
    <w:lvl w:ilvl="5">
      <w:start w:val="1"/>
      <w:numFmt w:val="bullet"/>
      <w:lvlText w:val=""/>
      <w:lvlJc w:val="left"/>
      <w:pPr>
        <w:ind w:left="1704" w:hanging="284"/>
      </w:pPr>
      <w:rPr>
        <w:rFonts w:ascii="Symbol" w:hAnsi="Symbol" w:hint="default"/>
        <w:color w:val="7D8B8A" w:themeColor="accent1"/>
      </w:rPr>
    </w:lvl>
    <w:lvl w:ilvl="6">
      <w:start w:val="1"/>
      <w:numFmt w:val="bullet"/>
      <w:lvlText w:val=""/>
      <w:lvlJc w:val="left"/>
      <w:pPr>
        <w:ind w:left="1988" w:hanging="284"/>
      </w:pPr>
      <w:rPr>
        <w:rFonts w:ascii="Symbol" w:hAnsi="Symbol" w:hint="default"/>
        <w:color w:val="7D8B8A" w:themeColor="accent1"/>
      </w:rPr>
    </w:lvl>
    <w:lvl w:ilvl="7">
      <w:start w:val="1"/>
      <w:numFmt w:val="bullet"/>
      <w:lvlText w:val=""/>
      <w:lvlJc w:val="left"/>
      <w:pPr>
        <w:ind w:left="2272" w:hanging="284"/>
      </w:pPr>
      <w:rPr>
        <w:rFonts w:ascii="Symbol" w:hAnsi="Symbol" w:hint="default"/>
        <w:color w:val="7D8B8A" w:themeColor="accent1"/>
      </w:rPr>
    </w:lvl>
    <w:lvl w:ilvl="8">
      <w:start w:val="1"/>
      <w:numFmt w:val="bullet"/>
      <w:lvlText w:val=""/>
      <w:lvlJc w:val="left"/>
      <w:pPr>
        <w:ind w:left="2556" w:hanging="284"/>
      </w:pPr>
      <w:rPr>
        <w:rFonts w:ascii="Symbol" w:hAnsi="Symbol"/>
        <w:color w:val="7D8B8A" w:themeColor="accent1"/>
      </w:rPr>
    </w:lvl>
  </w:abstractNum>
  <w:num w:numId="1">
    <w:abstractNumId w:val="70"/>
  </w:num>
  <w:num w:numId="2">
    <w:abstractNumId w:val="71"/>
  </w:num>
  <w:num w:numId="3">
    <w:abstractNumId w:val="5"/>
  </w:num>
  <w:num w:numId="4">
    <w:abstractNumId w:val="77"/>
  </w:num>
  <w:num w:numId="5">
    <w:abstractNumId w:val="63"/>
  </w:num>
  <w:num w:numId="6">
    <w:abstractNumId w:val="32"/>
  </w:num>
  <w:num w:numId="7">
    <w:abstractNumId w:val="39"/>
  </w:num>
  <w:num w:numId="8">
    <w:abstractNumId w:val="48"/>
  </w:num>
  <w:num w:numId="9">
    <w:abstractNumId w:val="6"/>
  </w:num>
  <w:num w:numId="10">
    <w:abstractNumId w:val="64"/>
  </w:num>
  <w:num w:numId="11">
    <w:abstractNumId w:val="45"/>
  </w:num>
  <w:num w:numId="12">
    <w:abstractNumId w:val="21"/>
  </w:num>
  <w:num w:numId="13">
    <w:abstractNumId w:val="28"/>
  </w:num>
  <w:num w:numId="14">
    <w:abstractNumId w:val="2"/>
  </w:num>
  <w:num w:numId="15">
    <w:abstractNumId w:val="35"/>
  </w:num>
  <w:num w:numId="16">
    <w:abstractNumId w:val="20"/>
  </w:num>
  <w:num w:numId="17">
    <w:abstractNumId w:val="27"/>
  </w:num>
  <w:num w:numId="18">
    <w:abstractNumId w:val="74"/>
  </w:num>
  <w:num w:numId="19">
    <w:abstractNumId w:val="7"/>
  </w:num>
  <w:num w:numId="20">
    <w:abstractNumId w:val="46"/>
  </w:num>
  <w:num w:numId="21">
    <w:abstractNumId w:val="12"/>
  </w:num>
  <w:num w:numId="22">
    <w:abstractNumId w:val="82"/>
  </w:num>
  <w:num w:numId="23">
    <w:abstractNumId w:val="65"/>
  </w:num>
  <w:num w:numId="24">
    <w:abstractNumId w:val="34"/>
  </w:num>
  <w:num w:numId="25">
    <w:abstractNumId w:val="14"/>
  </w:num>
  <w:num w:numId="26">
    <w:abstractNumId w:val="15"/>
  </w:num>
  <w:num w:numId="27">
    <w:abstractNumId w:val="24"/>
  </w:num>
  <w:num w:numId="28">
    <w:abstractNumId w:val="37"/>
  </w:num>
  <w:num w:numId="29">
    <w:abstractNumId w:val="57"/>
  </w:num>
  <w:num w:numId="30">
    <w:abstractNumId w:val="54"/>
  </w:num>
  <w:num w:numId="31">
    <w:abstractNumId w:val="10"/>
  </w:num>
  <w:num w:numId="32">
    <w:abstractNumId w:val="16"/>
  </w:num>
  <w:num w:numId="33">
    <w:abstractNumId w:val="33"/>
  </w:num>
  <w:num w:numId="34">
    <w:abstractNumId w:val="81"/>
  </w:num>
  <w:num w:numId="35">
    <w:abstractNumId w:val="53"/>
  </w:num>
  <w:num w:numId="36">
    <w:abstractNumId w:val="26"/>
  </w:num>
  <w:num w:numId="37">
    <w:abstractNumId w:val="22"/>
  </w:num>
  <w:num w:numId="38">
    <w:abstractNumId w:val="60"/>
  </w:num>
  <w:num w:numId="39">
    <w:abstractNumId w:val="69"/>
  </w:num>
  <w:num w:numId="40">
    <w:abstractNumId w:val="75"/>
  </w:num>
  <w:num w:numId="41">
    <w:abstractNumId w:val="8"/>
  </w:num>
  <w:num w:numId="42">
    <w:abstractNumId w:val="44"/>
  </w:num>
  <w:num w:numId="43">
    <w:abstractNumId w:val="40"/>
  </w:num>
  <w:num w:numId="44">
    <w:abstractNumId w:val="43"/>
  </w:num>
  <w:num w:numId="45">
    <w:abstractNumId w:val="19"/>
  </w:num>
  <w:num w:numId="46">
    <w:abstractNumId w:val="9"/>
  </w:num>
  <w:num w:numId="47">
    <w:abstractNumId w:val="52"/>
  </w:num>
  <w:num w:numId="48">
    <w:abstractNumId w:val="80"/>
  </w:num>
  <w:num w:numId="49">
    <w:abstractNumId w:val="0"/>
  </w:num>
  <w:num w:numId="50">
    <w:abstractNumId w:val="41"/>
  </w:num>
  <w:num w:numId="51">
    <w:abstractNumId w:val="51"/>
  </w:num>
  <w:num w:numId="52">
    <w:abstractNumId w:val="78"/>
  </w:num>
  <w:num w:numId="53">
    <w:abstractNumId w:val="1"/>
  </w:num>
  <w:num w:numId="54">
    <w:abstractNumId w:val="68"/>
  </w:num>
  <w:num w:numId="55">
    <w:abstractNumId w:val="18"/>
  </w:num>
  <w:num w:numId="56">
    <w:abstractNumId w:val="73"/>
  </w:num>
  <w:num w:numId="57">
    <w:abstractNumId w:val="56"/>
  </w:num>
  <w:num w:numId="58">
    <w:abstractNumId w:val="36"/>
  </w:num>
  <w:num w:numId="59">
    <w:abstractNumId w:val="11"/>
  </w:num>
  <w:num w:numId="60">
    <w:abstractNumId w:val="62"/>
  </w:num>
  <w:num w:numId="61">
    <w:abstractNumId w:val="23"/>
  </w:num>
  <w:num w:numId="62">
    <w:abstractNumId w:val="17"/>
  </w:num>
  <w:num w:numId="63">
    <w:abstractNumId w:val="38"/>
  </w:num>
  <w:num w:numId="64">
    <w:abstractNumId w:val="59"/>
  </w:num>
  <w:num w:numId="65">
    <w:abstractNumId w:val="76"/>
  </w:num>
  <w:num w:numId="66">
    <w:abstractNumId w:val="49"/>
  </w:num>
  <w:num w:numId="67">
    <w:abstractNumId w:val="79"/>
  </w:num>
  <w:num w:numId="68">
    <w:abstractNumId w:val="37"/>
  </w:num>
  <w:num w:numId="69">
    <w:abstractNumId w:val="47"/>
  </w:num>
  <w:num w:numId="70">
    <w:abstractNumId w:val="50"/>
  </w:num>
  <w:num w:numId="71">
    <w:abstractNumId w:val="15"/>
  </w:num>
  <w:num w:numId="72">
    <w:abstractNumId w:val="72"/>
  </w:num>
  <w:num w:numId="73">
    <w:abstractNumId w:val="4"/>
  </w:num>
  <w:num w:numId="74">
    <w:abstractNumId w:val="66"/>
  </w:num>
  <w:num w:numId="75">
    <w:abstractNumId w:val="42"/>
  </w:num>
  <w:num w:numId="76">
    <w:abstractNumId w:val="29"/>
  </w:num>
  <w:num w:numId="77">
    <w:abstractNumId w:val="13"/>
  </w:num>
  <w:num w:numId="78">
    <w:abstractNumId w:val="25"/>
  </w:num>
  <w:num w:numId="79">
    <w:abstractNumId w:val="67"/>
  </w:num>
  <w:num w:numId="80">
    <w:abstractNumId w:val="3"/>
  </w:num>
  <w:num w:numId="81">
    <w:abstractNumId w:val="31"/>
  </w:num>
  <w:num w:numId="82">
    <w:abstractNumId w:val="55"/>
  </w:num>
  <w:num w:numId="83">
    <w:abstractNumId w:val="30"/>
  </w:num>
  <w:num w:numId="84">
    <w:abstractNumId w:val="61"/>
  </w:num>
  <w:num w:numId="85">
    <w:abstractNumId w:val="5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activeWritingStyle w:appName="MSWord" w:lang="it-IT" w:vendorID="64" w:dllVersion="6" w:nlCheck="1" w:checkStyle="0"/>
  <w:activeWritingStyle w:appName="MSWord" w:lang="en-GB" w:vendorID="64" w:dllVersion="6" w:nlCheck="1" w:checkStyle="0"/>
  <w:activeWritingStyle w:appName="MSWord" w:lang="en-US" w:vendorID="64" w:dllVersion="6" w:nlCheck="1" w:checkStyle="0"/>
  <w:activeWritingStyle w:appName="MSWord" w:lang="de-DE" w:vendorID="64" w:dllVersion="6" w:nlCheck="1" w:checkStyle="0"/>
  <w:activeWritingStyle w:appName="MSWord" w:lang="fr-FR" w:vendorID="64" w:dllVersion="6" w:nlCheck="1" w:checkStyle="0"/>
  <w:activeWritingStyle w:appName="MSWord" w:lang="de-AT" w:vendorID="64" w:dllVersion="6" w:nlCheck="1" w:checkStyle="0"/>
  <w:activeWritingStyle w:appName="MSWord" w:lang="en-GB" w:vendorID="64" w:dllVersion="0" w:nlCheck="1" w:checkStyle="0"/>
  <w:activeWritingStyle w:appName="MSWord" w:lang="de-AT" w:vendorID="64" w:dllVersion="0" w:nlCheck="1" w:checkStyle="0"/>
  <w:activeWritingStyle w:appName="MSWord" w:lang="en-US" w:vendorID="64" w:dllVersion="0" w:nlCheck="1" w:checkStyle="0"/>
  <w:activeWritingStyle w:appName="MSWord" w:lang="it-IT" w:vendorID="64" w:dllVersion="0" w:nlCheck="1" w:checkStyle="0"/>
  <w:activeWritingStyle w:appName="MSWord" w:lang="fr-FR" w:vendorID="64" w:dllVersion="0" w:nlCheck="1" w:checkStyle="0"/>
  <w:activeWritingStyle w:appName="MSWord" w:lang="de-DE" w:vendorID="64" w:dllVersion="0" w:nlCheck="1" w:checkStyle="0"/>
  <w:activeWritingStyle w:appName="MSWord" w:lang="en-US" w:vendorID="64" w:dllVersion="131078" w:nlCheck="1" w:checkStyle="1"/>
  <w:documentProtection w:formatting="1" w:enforcement="0"/>
  <w:defaultTabStop w:val="709"/>
  <w:hyphenationZone w:val="425"/>
  <w:drawingGridHorizontalSpacing w:val="181"/>
  <w:drawingGridVerticalSpacing w:val="181"/>
  <w:displayHorizontalDrawingGridEvery w:val="4"/>
  <w:displayVerticalDrawingGridEvery w:val="4"/>
  <w:doNotUseMarginsForDrawingGridOrigin/>
  <w:drawingGridHorizontalOrigin w:val="1985"/>
  <w:drawingGridVerticalOrigin w:val="1389"/>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A32"/>
    <w:rsid w:val="000001AA"/>
    <w:rsid w:val="00000299"/>
    <w:rsid w:val="00000678"/>
    <w:rsid w:val="000006C3"/>
    <w:rsid w:val="00000910"/>
    <w:rsid w:val="00000ADB"/>
    <w:rsid w:val="000015B2"/>
    <w:rsid w:val="0000185C"/>
    <w:rsid w:val="00001D60"/>
    <w:rsid w:val="00001DDB"/>
    <w:rsid w:val="0000226F"/>
    <w:rsid w:val="0000233B"/>
    <w:rsid w:val="00002B1B"/>
    <w:rsid w:val="00002B49"/>
    <w:rsid w:val="00003864"/>
    <w:rsid w:val="0000390E"/>
    <w:rsid w:val="00003A3A"/>
    <w:rsid w:val="00003AF4"/>
    <w:rsid w:val="00004460"/>
    <w:rsid w:val="00004898"/>
    <w:rsid w:val="00004AF7"/>
    <w:rsid w:val="00004D27"/>
    <w:rsid w:val="00004E1B"/>
    <w:rsid w:val="0000512C"/>
    <w:rsid w:val="00005755"/>
    <w:rsid w:val="000062D2"/>
    <w:rsid w:val="000067AB"/>
    <w:rsid w:val="0000689F"/>
    <w:rsid w:val="000068EE"/>
    <w:rsid w:val="00006FB6"/>
    <w:rsid w:val="00007771"/>
    <w:rsid w:val="00007DBB"/>
    <w:rsid w:val="00010938"/>
    <w:rsid w:val="00010AC4"/>
    <w:rsid w:val="00010DE5"/>
    <w:rsid w:val="00010E22"/>
    <w:rsid w:val="00010E49"/>
    <w:rsid w:val="00010EC3"/>
    <w:rsid w:val="00010F10"/>
    <w:rsid w:val="00011FE2"/>
    <w:rsid w:val="000121D8"/>
    <w:rsid w:val="0001337B"/>
    <w:rsid w:val="0001340E"/>
    <w:rsid w:val="00013588"/>
    <w:rsid w:val="00013D79"/>
    <w:rsid w:val="0001422D"/>
    <w:rsid w:val="0001465C"/>
    <w:rsid w:val="00015CA8"/>
    <w:rsid w:val="00015E9A"/>
    <w:rsid w:val="0001620B"/>
    <w:rsid w:val="00016469"/>
    <w:rsid w:val="000165BE"/>
    <w:rsid w:val="00017C5F"/>
    <w:rsid w:val="00017F07"/>
    <w:rsid w:val="00017F0B"/>
    <w:rsid w:val="00017F1E"/>
    <w:rsid w:val="00020014"/>
    <w:rsid w:val="000200B2"/>
    <w:rsid w:val="0002090C"/>
    <w:rsid w:val="00021065"/>
    <w:rsid w:val="00021F63"/>
    <w:rsid w:val="00021FAC"/>
    <w:rsid w:val="000229C7"/>
    <w:rsid w:val="00023360"/>
    <w:rsid w:val="00023C35"/>
    <w:rsid w:val="000248D6"/>
    <w:rsid w:val="00024A7A"/>
    <w:rsid w:val="00024D05"/>
    <w:rsid w:val="0003003F"/>
    <w:rsid w:val="000300CE"/>
    <w:rsid w:val="0003039C"/>
    <w:rsid w:val="000306E3"/>
    <w:rsid w:val="000307E5"/>
    <w:rsid w:val="00030BF5"/>
    <w:rsid w:val="00030D29"/>
    <w:rsid w:val="00030E75"/>
    <w:rsid w:val="00030F29"/>
    <w:rsid w:val="00032995"/>
    <w:rsid w:val="00032B6B"/>
    <w:rsid w:val="000332B8"/>
    <w:rsid w:val="0003369D"/>
    <w:rsid w:val="0003371A"/>
    <w:rsid w:val="00033869"/>
    <w:rsid w:val="00034267"/>
    <w:rsid w:val="00035319"/>
    <w:rsid w:val="0003535E"/>
    <w:rsid w:val="00035418"/>
    <w:rsid w:val="000356FF"/>
    <w:rsid w:val="0003614D"/>
    <w:rsid w:val="00036205"/>
    <w:rsid w:val="00036E4E"/>
    <w:rsid w:val="00037109"/>
    <w:rsid w:val="0004039C"/>
    <w:rsid w:val="000404BF"/>
    <w:rsid w:val="0004083A"/>
    <w:rsid w:val="00040CCE"/>
    <w:rsid w:val="00040D3C"/>
    <w:rsid w:val="00040FDD"/>
    <w:rsid w:val="000412EF"/>
    <w:rsid w:val="0004190D"/>
    <w:rsid w:val="00041CD9"/>
    <w:rsid w:val="0004223D"/>
    <w:rsid w:val="000425F4"/>
    <w:rsid w:val="0004260F"/>
    <w:rsid w:val="00042A9F"/>
    <w:rsid w:val="000437C2"/>
    <w:rsid w:val="000449FF"/>
    <w:rsid w:val="00044A7F"/>
    <w:rsid w:val="00044C77"/>
    <w:rsid w:val="000459B4"/>
    <w:rsid w:val="00046148"/>
    <w:rsid w:val="000465E1"/>
    <w:rsid w:val="00046E89"/>
    <w:rsid w:val="00046FED"/>
    <w:rsid w:val="00047266"/>
    <w:rsid w:val="0004730D"/>
    <w:rsid w:val="000474C2"/>
    <w:rsid w:val="00047AA9"/>
    <w:rsid w:val="00047BB8"/>
    <w:rsid w:val="00047EAA"/>
    <w:rsid w:val="0005065E"/>
    <w:rsid w:val="00050E62"/>
    <w:rsid w:val="000511C2"/>
    <w:rsid w:val="00051533"/>
    <w:rsid w:val="00051C5B"/>
    <w:rsid w:val="00051CF1"/>
    <w:rsid w:val="00051D5A"/>
    <w:rsid w:val="000522AF"/>
    <w:rsid w:val="0005245F"/>
    <w:rsid w:val="00052487"/>
    <w:rsid w:val="000526B3"/>
    <w:rsid w:val="00053D6C"/>
    <w:rsid w:val="00053DAC"/>
    <w:rsid w:val="00054611"/>
    <w:rsid w:val="000548C0"/>
    <w:rsid w:val="000549A8"/>
    <w:rsid w:val="00055229"/>
    <w:rsid w:val="00055421"/>
    <w:rsid w:val="000562B2"/>
    <w:rsid w:val="000562D3"/>
    <w:rsid w:val="0005651B"/>
    <w:rsid w:val="00056BAE"/>
    <w:rsid w:val="00056D27"/>
    <w:rsid w:val="0005711E"/>
    <w:rsid w:val="0005729C"/>
    <w:rsid w:val="0006038B"/>
    <w:rsid w:val="00060902"/>
    <w:rsid w:val="00061338"/>
    <w:rsid w:val="00062D2C"/>
    <w:rsid w:val="00062EBF"/>
    <w:rsid w:val="00063313"/>
    <w:rsid w:val="00063D14"/>
    <w:rsid w:val="00064141"/>
    <w:rsid w:val="00064A8C"/>
    <w:rsid w:val="00064D0D"/>
    <w:rsid w:val="00064E5B"/>
    <w:rsid w:val="0006517B"/>
    <w:rsid w:val="000651A7"/>
    <w:rsid w:val="00066089"/>
    <w:rsid w:val="0006634E"/>
    <w:rsid w:val="00066780"/>
    <w:rsid w:val="00066B79"/>
    <w:rsid w:val="00066C27"/>
    <w:rsid w:val="0006742A"/>
    <w:rsid w:val="00067A7F"/>
    <w:rsid w:val="0007114E"/>
    <w:rsid w:val="000715FC"/>
    <w:rsid w:val="00072572"/>
    <w:rsid w:val="0007294D"/>
    <w:rsid w:val="00073061"/>
    <w:rsid w:val="00073118"/>
    <w:rsid w:val="00073140"/>
    <w:rsid w:val="000736DC"/>
    <w:rsid w:val="00074D43"/>
    <w:rsid w:val="0007513D"/>
    <w:rsid w:val="000751D0"/>
    <w:rsid w:val="00076669"/>
    <w:rsid w:val="00076DD1"/>
    <w:rsid w:val="0007742F"/>
    <w:rsid w:val="000777CE"/>
    <w:rsid w:val="00077A67"/>
    <w:rsid w:val="00077F8B"/>
    <w:rsid w:val="00080238"/>
    <w:rsid w:val="000806EF"/>
    <w:rsid w:val="00080C76"/>
    <w:rsid w:val="000811BC"/>
    <w:rsid w:val="000819DD"/>
    <w:rsid w:val="00081B27"/>
    <w:rsid w:val="00081FC2"/>
    <w:rsid w:val="000829E4"/>
    <w:rsid w:val="00082A32"/>
    <w:rsid w:val="00083A50"/>
    <w:rsid w:val="00083BD0"/>
    <w:rsid w:val="00084A52"/>
    <w:rsid w:val="00084E48"/>
    <w:rsid w:val="000850EE"/>
    <w:rsid w:val="00085941"/>
    <w:rsid w:val="00086306"/>
    <w:rsid w:val="0008636D"/>
    <w:rsid w:val="000863C1"/>
    <w:rsid w:val="000865F7"/>
    <w:rsid w:val="000869AF"/>
    <w:rsid w:val="00086B39"/>
    <w:rsid w:val="00086BD2"/>
    <w:rsid w:val="00087548"/>
    <w:rsid w:val="000875AD"/>
    <w:rsid w:val="00087967"/>
    <w:rsid w:val="000902F1"/>
    <w:rsid w:val="000905C2"/>
    <w:rsid w:val="000910D5"/>
    <w:rsid w:val="00091A43"/>
    <w:rsid w:val="00091C86"/>
    <w:rsid w:val="00092285"/>
    <w:rsid w:val="000924CA"/>
    <w:rsid w:val="0009253C"/>
    <w:rsid w:val="0009274C"/>
    <w:rsid w:val="00092B05"/>
    <w:rsid w:val="000930C2"/>
    <w:rsid w:val="000937E5"/>
    <w:rsid w:val="000939E4"/>
    <w:rsid w:val="00094019"/>
    <w:rsid w:val="000942B6"/>
    <w:rsid w:val="00094C50"/>
    <w:rsid w:val="00094D90"/>
    <w:rsid w:val="00094DAC"/>
    <w:rsid w:val="00095478"/>
    <w:rsid w:val="00095F54"/>
    <w:rsid w:val="0009630C"/>
    <w:rsid w:val="00097181"/>
    <w:rsid w:val="000972B3"/>
    <w:rsid w:val="00097C90"/>
    <w:rsid w:val="000A00A7"/>
    <w:rsid w:val="000A08F2"/>
    <w:rsid w:val="000A12A1"/>
    <w:rsid w:val="000A12E5"/>
    <w:rsid w:val="000A1611"/>
    <w:rsid w:val="000A1765"/>
    <w:rsid w:val="000A19EB"/>
    <w:rsid w:val="000A1D33"/>
    <w:rsid w:val="000A21A9"/>
    <w:rsid w:val="000A2419"/>
    <w:rsid w:val="000A2474"/>
    <w:rsid w:val="000A2986"/>
    <w:rsid w:val="000A299D"/>
    <w:rsid w:val="000A2E6A"/>
    <w:rsid w:val="000A30DA"/>
    <w:rsid w:val="000A357C"/>
    <w:rsid w:val="000A35A1"/>
    <w:rsid w:val="000A37B4"/>
    <w:rsid w:val="000A3B3C"/>
    <w:rsid w:val="000A4086"/>
    <w:rsid w:val="000A420C"/>
    <w:rsid w:val="000A424C"/>
    <w:rsid w:val="000A42D7"/>
    <w:rsid w:val="000A45FC"/>
    <w:rsid w:val="000A506F"/>
    <w:rsid w:val="000A555B"/>
    <w:rsid w:val="000A5615"/>
    <w:rsid w:val="000A5884"/>
    <w:rsid w:val="000A5ACA"/>
    <w:rsid w:val="000A5C35"/>
    <w:rsid w:val="000A5EF9"/>
    <w:rsid w:val="000A6B01"/>
    <w:rsid w:val="000A6D62"/>
    <w:rsid w:val="000A6F77"/>
    <w:rsid w:val="000A7077"/>
    <w:rsid w:val="000A7376"/>
    <w:rsid w:val="000A739F"/>
    <w:rsid w:val="000B021A"/>
    <w:rsid w:val="000B0AFF"/>
    <w:rsid w:val="000B1243"/>
    <w:rsid w:val="000B1B1C"/>
    <w:rsid w:val="000B207C"/>
    <w:rsid w:val="000B21A6"/>
    <w:rsid w:val="000B21D8"/>
    <w:rsid w:val="000B24D0"/>
    <w:rsid w:val="000B269C"/>
    <w:rsid w:val="000B3E1C"/>
    <w:rsid w:val="000B4AD9"/>
    <w:rsid w:val="000B4D10"/>
    <w:rsid w:val="000B51C5"/>
    <w:rsid w:val="000B5B36"/>
    <w:rsid w:val="000B5E64"/>
    <w:rsid w:val="000B63B7"/>
    <w:rsid w:val="000B6938"/>
    <w:rsid w:val="000B6998"/>
    <w:rsid w:val="000B69B2"/>
    <w:rsid w:val="000B6E12"/>
    <w:rsid w:val="000B70EF"/>
    <w:rsid w:val="000B7318"/>
    <w:rsid w:val="000B73E8"/>
    <w:rsid w:val="000C00DA"/>
    <w:rsid w:val="000C0861"/>
    <w:rsid w:val="000C0A50"/>
    <w:rsid w:val="000C1289"/>
    <w:rsid w:val="000C15AA"/>
    <w:rsid w:val="000C15F3"/>
    <w:rsid w:val="000C185D"/>
    <w:rsid w:val="000C1BE7"/>
    <w:rsid w:val="000C1C3B"/>
    <w:rsid w:val="000C2AAD"/>
    <w:rsid w:val="000C3137"/>
    <w:rsid w:val="000C3244"/>
    <w:rsid w:val="000C3525"/>
    <w:rsid w:val="000C45A7"/>
    <w:rsid w:val="000C45E3"/>
    <w:rsid w:val="000C46F4"/>
    <w:rsid w:val="000C5A98"/>
    <w:rsid w:val="000C5D31"/>
    <w:rsid w:val="000C68D6"/>
    <w:rsid w:val="000C697F"/>
    <w:rsid w:val="000C6D65"/>
    <w:rsid w:val="000C7163"/>
    <w:rsid w:val="000C72FC"/>
    <w:rsid w:val="000C7C28"/>
    <w:rsid w:val="000D0197"/>
    <w:rsid w:val="000D042C"/>
    <w:rsid w:val="000D04EA"/>
    <w:rsid w:val="000D2038"/>
    <w:rsid w:val="000D207C"/>
    <w:rsid w:val="000D2521"/>
    <w:rsid w:val="000D31C0"/>
    <w:rsid w:val="000D34B9"/>
    <w:rsid w:val="000D37DC"/>
    <w:rsid w:val="000D48BB"/>
    <w:rsid w:val="000D50F0"/>
    <w:rsid w:val="000D52D4"/>
    <w:rsid w:val="000D5BF6"/>
    <w:rsid w:val="000D6D6B"/>
    <w:rsid w:val="000D77A4"/>
    <w:rsid w:val="000D7AB7"/>
    <w:rsid w:val="000E142B"/>
    <w:rsid w:val="000E14C7"/>
    <w:rsid w:val="000E246C"/>
    <w:rsid w:val="000E27F7"/>
    <w:rsid w:val="000E2A3B"/>
    <w:rsid w:val="000E2E04"/>
    <w:rsid w:val="000E335A"/>
    <w:rsid w:val="000E4197"/>
    <w:rsid w:val="000E4198"/>
    <w:rsid w:val="000E4339"/>
    <w:rsid w:val="000E45FE"/>
    <w:rsid w:val="000E476C"/>
    <w:rsid w:val="000E4807"/>
    <w:rsid w:val="000E4A1E"/>
    <w:rsid w:val="000E4C08"/>
    <w:rsid w:val="000E5755"/>
    <w:rsid w:val="000E5CA1"/>
    <w:rsid w:val="000E5DB0"/>
    <w:rsid w:val="000E60C9"/>
    <w:rsid w:val="000E6367"/>
    <w:rsid w:val="000E6897"/>
    <w:rsid w:val="000E6968"/>
    <w:rsid w:val="000E6B48"/>
    <w:rsid w:val="000E6CC4"/>
    <w:rsid w:val="000F01D9"/>
    <w:rsid w:val="000F0569"/>
    <w:rsid w:val="000F0BA1"/>
    <w:rsid w:val="000F0C51"/>
    <w:rsid w:val="000F1452"/>
    <w:rsid w:val="000F1A3F"/>
    <w:rsid w:val="000F1C90"/>
    <w:rsid w:val="000F24FD"/>
    <w:rsid w:val="000F2B30"/>
    <w:rsid w:val="000F41C2"/>
    <w:rsid w:val="000F4201"/>
    <w:rsid w:val="000F42A5"/>
    <w:rsid w:val="000F4B48"/>
    <w:rsid w:val="000F5239"/>
    <w:rsid w:val="000F5AC4"/>
    <w:rsid w:val="000F5D2E"/>
    <w:rsid w:val="000F5E46"/>
    <w:rsid w:val="000F61B5"/>
    <w:rsid w:val="000F642B"/>
    <w:rsid w:val="000F6E3B"/>
    <w:rsid w:val="000F72BA"/>
    <w:rsid w:val="000F7443"/>
    <w:rsid w:val="000F7FA7"/>
    <w:rsid w:val="00100B8E"/>
    <w:rsid w:val="001020E1"/>
    <w:rsid w:val="00103424"/>
    <w:rsid w:val="0010495C"/>
    <w:rsid w:val="001049F5"/>
    <w:rsid w:val="00104E98"/>
    <w:rsid w:val="00104F75"/>
    <w:rsid w:val="00105F5F"/>
    <w:rsid w:val="00106631"/>
    <w:rsid w:val="00106A7E"/>
    <w:rsid w:val="00106A91"/>
    <w:rsid w:val="00106D6D"/>
    <w:rsid w:val="00106EF3"/>
    <w:rsid w:val="001072A4"/>
    <w:rsid w:val="00107620"/>
    <w:rsid w:val="00107E65"/>
    <w:rsid w:val="00107FB0"/>
    <w:rsid w:val="00110898"/>
    <w:rsid w:val="001108BE"/>
    <w:rsid w:val="00111488"/>
    <w:rsid w:val="00111A6F"/>
    <w:rsid w:val="00111A8C"/>
    <w:rsid w:val="00112243"/>
    <w:rsid w:val="00112DB3"/>
    <w:rsid w:val="00113358"/>
    <w:rsid w:val="00113BE2"/>
    <w:rsid w:val="00114531"/>
    <w:rsid w:val="001149ED"/>
    <w:rsid w:val="00115050"/>
    <w:rsid w:val="00115498"/>
    <w:rsid w:val="001156CA"/>
    <w:rsid w:val="001158C6"/>
    <w:rsid w:val="00115929"/>
    <w:rsid w:val="00115B2D"/>
    <w:rsid w:val="001161C3"/>
    <w:rsid w:val="00116269"/>
    <w:rsid w:val="001168FF"/>
    <w:rsid w:val="001171EC"/>
    <w:rsid w:val="001172B4"/>
    <w:rsid w:val="001172FB"/>
    <w:rsid w:val="0011733C"/>
    <w:rsid w:val="00117E5D"/>
    <w:rsid w:val="0012004F"/>
    <w:rsid w:val="001205FB"/>
    <w:rsid w:val="001218B5"/>
    <w:rsid w:val="00121D9D"/>
    <w:rsid w:val="00122665"/>
    <w:rsid w:val="0012270D"/>
    <w:rsid w:val="00122B57"/>
    <w:rsid w:val="00122D98"/>
    <w:rsid w:val="00122E64"/>
    <w:rsid w:val="00122EE6"/>
    <w:rsid w:val="00123354"/>
    <w:rsid w:val="00124431"/>
    <w:rsid w:val="00124745"/>
    <w:rsid w:val="001249AC"/>
    <w:rsid w:val="00124F2C"/>
    <w:rsid w:val="0012600E"/>
    <w:rsid w:val="0012694E"/>
    <w:rsid w:val="00126F2C"/>
    <w:rsid w:val="00127608"/>
    <w:rsid w:val="0012764A"/>
    <w:rsid w:val="001279D2"/>
    <w:rsid w:val="00127ABC"/>
    <w:rsid w:val="00127C1A"/>
    <w:rsid w:val="00127D22"/>
    <w:rsid w:val="001301BA"/>
    <w:rsid w:val="00130342"/>
    <w:rsid w:val="00130FC5"/>
    <w:rsid w:val="001313D2"/>
    <w:rsid w:val="001318BA"/>
    <w:rsid w:val="00132192"/>
    <w:rsid w:val="001336BA"/>
    <w:rsid w:val="001344CB"/>
    <w:rsid w:val="00134A16"/>
    <w:rsid w:val="001351A1"/>
    <w:rsid w:val="001356CB"/>
    <w:rsid w:val="00136A79"/>
    <w:rsid w:val="00136B5F"/>
    <w:rsid w:val="00136D67"/>
    <w:rsid w:val="00137A9F"/>
    <w:rsid w:val="00137C89"/>
    <w:rsid w:val="00137E19"/>
    <w:rsid w:val="0014070B"/>
    <w:rsid w:val="00140AB1"/>
    <w:rsid w:val="00140FCF"/>
    <w:rsid w:val="0014120F"/>
    <w:rsid w:val="0014168F"/>
    <w:rsid w:val="001416BB"/>
    <w:rsid w:val="00142172"/>
    <w:rsid w:val="00142AD5"/>
    <w:rsid w:val="00142AD6"/>
    <w:rsid w:val="00143169"/>
    <w:rsid w:val="00143532"/>
    <w:rsid w:val="00143CCB"/>
    <w:rsid w:val="00143EF4"/>
    <w:rsid w:val="0014427B"/>
    <w:rsid w:val="001442F5"/>
    <w:rsid w:val="001444A0"/>
    <w:rsid w:val="00144838"/>
    <w:rsid w:val="0014488E"/>
    <w:rsid w:val="001454AA"/>
    <w:rsid w:val="001454E7"/>
    <w:rsid w:val="00145736"/>
    <w:rsid w:val="001461FD"/>
    <w:rsid w:val="00146614"/>
    <w:rsid w:val="001479F7"/>
    <w:rsid w:val="00150AA1"/>
    <w:rsid w:val="0015157B"/>
    <w:rsid w:val="001525C2"/>
    <w:rsid w:val="001528DB"/>
    <w:rsid w:val="00152FF2"/>
    <w:rsid w:val="001545CF"/>
    <w:rsid w:val="00154850"/>
    <w:rsid w:val="00155C1B"/>
    <w:rsid w:val="00155D38"/>
    <w:rsid w:val="00156F4D"/>
    <w:rsid w:val="00157504"/>
    <w:rsid w:val="00157617"/>
    <w:rsid w:val="001577D3"/>
    <w:rsid w:val="0015793E"/>
    <w:rsid w:val="00157975"/>
    <w:rsid w:val="00157FC0"/>
    <w:rsid w:val="001602C9"/>
    <w:rsid w:val="00160591"/>
    <w:rsid w:val="00161B8E"/>
    <w:rsid w:val="00162044"/>
    <w:rsid w:val="00162266"/>
    <w:rsid w:val="0016276B"/>
    <w:rsid w:val="00162775"/>
    <w:rsid w:val="00162F9D"/>
    <w:rsid w:val="001630E8"/>
    <w:rsid w:val="001639DA"/>
    <w:rsid w:val="00163AEE"/>
    <w:rsid w:val="0016432C"/>
    <w:rsid w:val="00164816"/>
    <w:rsid w:val="00165A11"/>
    <w:rsid w:val="00165AB4"/>
    <w:rsid w:val="00165B7C"/>
    <w:rsid w:val="001660E3"/>
    <w:rsid w:val="001670D1"/>
    <w:rsid w:val="00167331"/>
    <w:rsid w:val="001677D7"/>
    <w:rsid w:val="001678A1"/>
    <w:rsid w:val="001678B7"/>
    <w:rsid w:val="001679A8"/>
    <w:rsid w:val="00170686"/>
    <w:rsid w:val="00170A6F"/>
    <w:rsid w:val="001710F0"/>
    <w:rsid w:val="00171A1D"/>
    <w:rsid w:val="00171EA5"/>
    <w:rsid w:val="00171EF2"/>
    <w:rsid w:val="001720BF"/>
    <w:rsid w:val="00172134"/>
    <w:rsid w:val="001722CD"/>
    <w:rsid w:val="00172854"/>
    <w:rsid w:val="00172C09"/>
    <w:rsid w:val="00172F6E"/>
    <w:rsid w:val="00173242"/>
    <w:rsid w:val="00173648"/>
    <w:rsid w:val="0017375D"/>
    <w:rsid w:val="00173920"/>
    <w:rsid w:val="00174306"/>
    <w:rsid w:val="00174897"/>
    <w:rsid w:val="00174B2F"/>
    <w:rsid w:val="00174C83"/>
    <w:rsid w:val="00174CE6"/>
    <w:rsid w:val="00174D82"/>
    <w:rsid w:val="0017518B"/>
    <w:rsid w:val="0017528D"/>
    <w:rsid w:val="0017532B"/>
    <w:rsid w:val="00175856"/>
    <w:rsid w:val="001764F4"/>
    <w:rsid w:val="00176D19"/>
    <w:rsid w:val="001778EC"/>
    <w:rsid w:val="00177CCA"/>
    <w:rsid w:val="00177DE0"/>
    <w:rsid w:val="00177E22"/>
    <w:rsid w:val="00180010"/>
    <w:rsid w:val="0018002D"/>
    <w:rsid w:val="001801A3"/>
    <w:rsid w:val="0018052B"/>
    <w:rsid w:val="00180765"/>
    <w:rsid w:val="001810B2"/>
    <w:rsid w:val="00181475"/>
    <w:rsid w:val="00181587"/>
    <w:rsid w:val="00182A68"/>
    <w:rsid w:val="00182B85"/>
    <w:rsid w:val="001831E4"/>
    <w:rsid w:val="0018334B"/>
    <w:rsid w:val="00184CA0"/>
    <w:rsid w:val="0018547D"/>
    <w:rsid w:val="00186AE4"/>
    <w:rsid w:val="00186E7E"/>
    <w:rsid w:val="001878AB"/>
    <w:rsid w:val="00187AE5"/>
    <w:rsid w:val="00190CCC"/>
    <w:rsid w:val="00190E2A"/>
    <w:rsid w:val="001913BA"/>
    <w:rsid w:val="0019186E"/>
    <w:rsid w:val="00192270"/>
    <w:rsid w:val="001925FE"/>
    <w:rsid w:val="00192CE0"/>
    <w:rsid w:val="00192CF8"/>
    <w:rsid w:val="001937BA"/>
    <w:rsid w:val="00193E27"/>
    <w:rsid w:val="00194390"/>
    <w:rsid w:val="001944EA"/>
    <w:rsid w:val="00194F98"/>
    <w:rsid w:val="00195691"/>
    <w:rsid w:val="0019598D"/>
    <w:rsid w:val="00196825"/>
    <w:rsid w:val="001969C8"/>
    <w:rsid w:val="00197251"/>
    <w:rsid w:val="00197A06"/>
    <w:rsid w:val="001A04B8"/>
    <w:rsid w:val="001A0D10"/>
    <w:rsid w:val="001A0E73"/>
    <w:rsid w:val="001A146D"/>
    <w:rsid w:val="001A1681"/>
    <w:rsid w:val="001A2008"/>
    <w:rsid w:val="001A226B"/>
    <w:rsid w:val="001A31CB"/>
    <w:rsid w:val="001A46B4"/>
    <w:rsid w:val="001A46CD"/>
    <w:rsid w:val="001A49D3"/>
    <w:rsid w:val="001A4AC1"/>
    <w:rsid w:val="001A521A"/>
    <w:rsid w:val="001A532F"/>
    <w:rsid w:val="001A55F3"/>
    <w:rsid w:val="001A566F"/>
    <w:rsid w:val="001A593E"/>
    <w:rsid w:val="001A6877"/>
    <w:rsid w:val="001A6A77"/>
    <w:rsid w:val="001A6B06"/>
    <w:rsid w:val="001A731B"/>
    <w:rsid w:val="001A7497"/>
    <w:rsid w:val="001A7DE5"/>
    <w:rsid w:val="001A7EBF"/>
    <w:rsid w:val="001B023B"/>
    <w:rsid w:val="001B023C"/>
    <w:rsid w:val="001B038F"/>
    <w:rsid w:val="001B0696"/>
    <w:rsid w:val="001B0A05"/>
    <w:rsid w:val="001B0B74"/>
    <w:rsid w:val="001B0CF0"/>
    <w:rsid w:val="001B0F13"/>
    <w:rsid w:val="001B1406"/>
    <w:rsid w:val="001B1DF6"/>
    <w:rsid w:val="001B1EBF"/>
    <w:rsid w:val="001B1EC9"/>
    <w:rsid w:val="001B21DF"/>
    <w:rsid w:val="001B25F6"/>
    <w:rsid w:val="001B2897"/>
    <w:rsid w:val="001B2BD0"/>
    <w:rsid w:val="001B2EF9"/>
    <w:rsid w:val="001B35C9"/>
    <w:rsid w:val="001B3725"/>
    <w:rsid w:val="001B3896"/>
    <w:rsid w:val="001B38F2"/>
    <w:rsid w:val="001B3E1B"/>
    <w:rsid w:val="001B409F"/>
    <w:rsid w:val="001B41F3"/>
    <w:rsid w:val="001B49FC"/>
    <w:rsid w:val="001B4ACD"/>
    <w:rsid w:val="001B4D42"/>
    <w:rsid w:val="001B54DE"/>
    <w:rsid w:val="001B5EA4"/>
    <w:rsid w:val="001B6308"/>
    <w:rsid w:val="001B75AF"/>
    <w:rsid w:val="001C0E9A"/>
    <w:rsid w:val="001C1550"/>
    <w:rsid w:val="001C276E"/>
    <w:rsid w:val="001C2B31"/>
    <w:rsid w:val="001C3450"/>
    <w:rsid w:val="001C346A"/>
    <w:rsid w:val="001C34D8"/>
    <w:rsid w:val="001C44A2"/>
    <w:rsid w:val="001C47E8"/>
    <w:rsid w:val="001C4BF7"/>
    <w:rsid w:val="001C50A4"/>
    <w:rsid w:val="001C5433"/>
    <w:rsid w:val="001C63C1"/>
    <w:rsid w:val="001C648B"/>
    <w:rsid w:val="001C76D3"/>
    <w:rsid w:val="001C7CB1"/>
    <w:rsid w:val="001D02B7"/>
    <w:rsid w:val="001D0436"/>
    <w:rsid w:val="001D08C3"/>
    <w:rsid w:val="001D0CD1"/>
    <w:rsid w:val="001D10D5"/>
    <w:rsid w:val="001D14FB"/>
    <w:rsid w:val="001D17B6"/>
    <w:rsid w:val="001D1D29"/>
    <w:rsid w:val="001D1F19"/>
    <w:rsid w:val="001D25CA"/>
    <w:rsid w:val="001D3074"/>
    <w:rsid w:val="001D3B6B"/>
    <w:rsid w:val="001D3BFC"/>
    <w:rsid w:val="001D44AC"/>
    <w:rsid w:val="001D51A7"/>
    <w:rsid w:val="001D52D4"/>
    <w:rsid w:val="001D5897"/>
    <w:rsid w:val="001D612E"/>
    <w:rsid w:val="001D61F3"/>
    <w:rsid w:val="001D621C"/>
    <w:rsid w:val="001D6574"/>
    <w:rsid w:val="001D6747"/>
    <w:rsid w:val="001D706B"/>
    <w:rsid w:val="001D709C"/>
    <w:rsid w:val="001D74A3"/>
    <w:rsid w:val="001D7942"/>
    <w:rsid w:val="001D7C1E"/>
    <w:rsid w:val="001D7C2A"/>
    <w:rsid w:val="001D7EA2"/>
    <w:rsid w:val="001E0079"/>
    <w:rsid w:val="001E03DB"/>
    <w:rsid w:val="001E0942"/>
    <w:rsid w:val="001E0BE7"/>
    <w:rsid w:val="001E12B8"/>
    <w:rsid w:val="001E15B4"/>
    <w:rsid w:val="001E1A3E"/>
    <w:rsid w:val="001E2202"/>
    <w:rsid w:val="001E24D5"/>
    <w:rsid w:val="001E3184"/>
    <w:rsid w:val="001E3FE3"/>
    <w:rsid w:val="001E40DF"/>
    <w:rsid w:val="001E4264"/>
    <w:rsid w:val="001E4CEA"/>
    <w:rsid w:val="001E503C"/>
    <w:rsid w:val="001E57A0"/>
    <w:rsid w:val="001E6C18"/>
    <w:rsid w:val="001E70EF"/>
    <w:rsid w:val="001E7295"/>
    <w:rsid w:val="001E738F"/>
    <w:rsid w:val="001E7A34"/>
    <w:rsid w:val="001E7FBD"/>
    <w:rsid w:val="001F003F"/>
    <w:rsid w:val="001F05A5"/>
    <w:rsid w:val="001F0707"/>
    <w:rsid w:val="001F0C24"/>
    <w:rsid w:val="001F106F"/>
    <w:rsid w:val="001F1982"/>
    <w:rsid w:val="001F1A98"/>
    <w:rsid w:val="001F1C3D"/>
    <w:rsid w:val="001F2153"/>
    <w:rsid w:val="001F3029"/>
    <w:rsid w:val="001F31FB"/>
    <w:rsid w:val="001F32ED"/>
    <w:rsid w:val="001F3B98"/>
    <w:rsid w:val="001F449A"/>
    <w:rsid w:val="001F4FC2"/>
    <w:rsid w:val="001F57EC"/>
    <w:rsid w:val="001F5DC7"/>
    <w:rsid w:val="001F649F"/>
    <w:rsid w:val="001F662D"/>
    <w:rsid w:val="001F691B"/>
    <w:rsid w:val="001F6956"/>
    <w:rsid w:val="001F6DD6"/>
    <w:rsid w:val="001F78E3"/>
    <w:rsid w:val="001F7D1F"/>
    <w:rsid w:val="001F7F35"/>
    <w:rsid w:val="002007E2"/>
    <w:rsid w:val="0020106F"/>
    <w:rsid w:val="00201565"/>
    <w:rsid w:val="00202CD9"/>
    <w:rsid w:val="00202EF3"/>
    <w:rsid w:val="00202F84"/>
    <w:rsid w:val="002031A8"/>
    <w:rsid w:val="00203BA2"/>
    <w:rsid w:val="00203E92"/>
    <w:rsid w:val="002041B7"/>
    <w:rsid w:val="002043CD"/>
    <w:rsid w:val="00204633"/>
    <w:rsid w:val="002049D4"/>
    <w:rsid w:val="00204A3C"/>
    <w:rsid w:val="00205060"/>
    <w:rsid w:val="002059BC"/>
    <w:rsid w:val="00205BB0"/>
    <w:rsid w:val="00206652"/>
    <w:rsid w:val="00206715"/>
    <w:rsid w:val="0020678A"/>
    <w:rsid w:val="0020689C"/>
    <w:rsid w:val="00206BA3"/>
    <w:rsid w:val="0020717F"/>
    <w:rsid w:val="002072B9"/>
    <w:rsid w:val="00207EF7"/>
    <w:rsid w:val="002102C1"/>
    <w:rsid w:val="002102FD"/>
    <w:rsid w:val="00210375"/>
    <w:rsid w:val="00211003"/>
    <w:rsid w:val="00211198"/>
    <w:rsid w:val="00211995"/>
    <w:rsid w:val="00211C98"/>
    <w:rsid w:val="00211ECC"/>
    <w:rsid w:val="00212098"/>
    <w:rsid w:val="0021210A"/>
    <w:rsid w:val="002122EC"/>
    <w:rsid w:val="002124A0"/>
    <w:rsid w:val="00212F21"/>
    <w:rsid w:val="00213399"/>
    <w:rsid w:val="00213D7D"/>
    <w:rsid w:val="00214458"/>
    <w:rsid w:val="00216655"/>
    <w:rsid w:val="00216E68"/>
    <w:rsid w:val="00216EF9"/>
    <w:rsid w:val="00217039"/>
    <w:rsid w:val="00217511"/>
    <w:rsid w:val="00217E5B"/>
    <w:rsid w:val="002200AE"/>
    <w:rsid w:val="00220173"/>
    <w:rsid w:val="0022115E"/>
    <w:rsid w:val="00221473"/>
    <w:rsid w:val="00221669"/>
    <w:rsid w:val="002216A5"/>
    <w:rsid w:val="00221C12"/>
    <w:rsid w:val="00221C63"/>
    <w:rsid w:val="00222144"/>
    <w:rsid w:val="00222770"/>
    <w:rsid w:val="002229A6"/>
    <w:rsid w:val="00222D60"/>
    <w:rsid w:val="002230EE"/>
    <w:rsid w:val="00223551"/>
    <w:rsid w:val="0022377F"/>
    <w:rsid w:val="00223A64"/>
    <w:rsid w:val="00223A66"/>
    <w:rsid w:val="00223C11"/>
    <w:rsid w:val="00224447"/>
    <w:rsid w:val="002247A6"/>
    <w:rsid w:val="002253CC"/>
    <w:rsid w:val="0022550D"/>
    <w:rsid w:val="0022652C"/>
    <w:rsid w:val="00226C1A"/>
    <w:rsid w:val="0022794C"/>
    <w:rsid w:val="00227A65"/>
    <w:rsid w:val="0023005C"/>
    <w:rsid w:val="002302FC"/>
    <w:rsid w:val="002308DF"/>
    <w:rsid w:val="00231517"/>
    <w:rsid w:val="0023188C"/>
    <w:rsid w:val="00231A89"/>
    <w:rsid w:val="00231B3C"/>
    <w:rsid w:val="0023224E"/>
    <w:rsid w:val="00232465"/>
    <w:rsid w:val="0023272E"/>
    <w:rsid w:val="002331BB"/>
    <w:rsid w:val="0023322E"/>
    <w:rsid w:val="00233551"/>
    <w:rsid w:val="00233F08"/>
    <w:rsid w:val="0023463A"/>
    <w:rsid w:val="00234AC9"/>
    <w:rsid w:val="00234C35"/>
    <w:rsid w:val="00234C71"/>
    <w:rsid w:val="002351D4"/>
    <w:rsid w:val="00235269"/>
    <w:rsid w:val="002362DD"/>
    <w:rsid w:val="0023657C"/>
    <w:rsid w:val="00236AC6"/>
    <w:rsid w:val="00236B84"/>
    <w:rsid w:val="00236C8D"/>
    <w:rsid w:val="00237108"/>
    <w:rsid w:val="002374AD"/>
    <w:rsid w:val="002374B6"/>
    <w:rsid w:val="002374E7"/>
    <w:rsid w:val="00237B3D"/>
    <w:rsid w:val="00237D21"/>
    <w:rsid w:val="00240BCA"/>
    <w:rsid w:val="00241313"/>
    <w:rsid w:val="00241A84"/>
    <w:rsid w:val="00241ADE"/>
    <w:rsid w:val="00241AF3"/>
    <w:rsid w:val="00241F75"/>
    <w:rsid w:val="0024283D"/>
    <w:rsid w:val="00242A16"/>
    <w:rsid w:val="00243121"/>
    <w:rsid w:val="002431F1"/>
    <w:rsid w:val="00244211"/>
    <w:rsid w:val="00244C36"/>
    <w:rsid w:val="0024515A"/>
    <w:rsid w:val="00245190"/>
    <w:rsid w:val="002455AC"/>
    <w:rsid w:val="002455C9"/>
    <w:rsid w:val="00245799"/>
    <w:rsid w:val="00246708"/>
    <w:rsid w:val="0024699B"/>
    <w:rsid w:val="00246FCF"/>
    <w:rsid w:val="00247369"/>
    <w:rsid w:val="00247587"/>
    <w:rsid w:val="0024762C"/>
    <w:rsid w:val="00247689"/>
    <w:rsid w:val="00247875"/>
    <w:rsid w:val="00247891"/>
    <w:rsid w:val="00247F8B"/>
    <w:rsid w:val="0025008C"/>
    <w:rsid w:val="00250217"/>
    <w:rsid w:val="002503F4"/>
    <w:rsid w:val="0025041F"/>
    <w:rsid w:val="002509CB"/>
    <w:rsid w:val="0025154A"/>
    <w:rsid w:val="002517FA"/>
    <w:rsid w:val="002530C8"/>
    <w:rsid w:val="002536BA"/>
    <w:rsid w:val="00253DB5"/>
    <w:rsid w:val="00253E67"/>
    <w:rsid w:val="002546FE"/>
    <w:rsid w:val="002549CC"/>
    <w:rsid w:val="00254BA7"/>
    <w:rsid w:val="00254D22"/>
    <w:rsid w:val="00254D2D"/>
    <w:rsid w:val="00254F07"/>
    <w:rsid w:val="00254F21"/>
    <w:rsid w:val="00255331"/>
    <w:rsid w:val="00255574"/>
    <w:rsid w:val="002555A3"/>
    <w:rsid w:val="00255CB2"/>
    <w:rsid w:val="002562B2"/>
    <w:rsid w:val="00256300"/>
    <w:rsid w:val="0025633A"/>
    <w:rsid w:val="002564FC"/>
    <w:rsid w:val="00256543"/>
    <w:rsid w:val="00256707"/>
    <w:rsid w:val="00257A0D"/>
    <w:rsid w:val="0026048F"/>
    <w:rsid w:val="00261939"/>
    <w:rsid w:val="00261BB9"/>
    <w:rsid w:val="00262281"/>
    <w:rsid w:val="002626F0"/>
    <w:rsid w:val="00262718"/>
    <w:rsid w:val="00262A95"/>
    <w:rsid w:val="0026449B"/>
    <w:rsid w:val="00264B13"/>
    <w:rsid w:val="00264BAB"/>
    <w:rsid w:val="0026576A"/>
    <w:rsid w:val="00265B3E"/>
    <w:rsid w:val="00265BC2"/>
    <w:rsid w:val="00265CF9"/>
    <w:rsid w:val="0026667C"/>
    <w:rsid w:val="002666A1"/>
    <w:rsid w:val="00267ABB"/>
    <w:rsid w:val="00267DEC"/>
    <w:rsid w:val="00267F05"/>
    <w:rsid w:val="002705CE"/>
    <w:rsid w:val="00270690"/>
    <w:rsid w:val="002706A1"/>
    <w:rsid w:val="00270D3F"/>
    <w:rsid w:val="00271F37"/>
    <w:rsid w:val="00271F57"/>
    <w:rsid w:val="00272119"/>
    <w:rsid w:val="00272202"/>
    <w:rsid w:val="0027263E"/>
    <w:rsid w:val="002730B3"/>
    <w:rsid w:val="002731D2"/>
    <w:rsid w:val="0027425C"/>
    <w:rsid w:val="0027467F"/>
    <w:rsid w:val="002753A4"/>
    <w:rsid w:val="002762C8"/>
    <w:rsid w:val="0027634F"/>
    <w:rsid w:val="002765EB"/>
    <w:rsid w:val="002768BF"/>
    <w:rsid w:val="00276F95"/>
    <w:rsid w:val="0027772C"/>
    <w:rsid w:val="002777AC"/>
    <w:rsid w:val="00277B6A"/>
    <w:rsid w:val="00280B44"/>
    <w:rsid w:val="002814B9"/>
    <w:rsid w:val="00281ECB"/>
    <w:rsid w:val="00282086"/>
    <w:rsid w:val="002825EC"/>
    <w:rsid w:val="002826A7"/>
    <w:rsid w:val="002827BD"/>
    <w:rsid w:val="00282A5F"/>
    <w:rsid w:val="00282A9D"/>
    <w:rsid w:val="00283036"/>
    <w:rsid w:val="00283597"/>
    <w:rsid w:val="00284206"/>
    <w:rsid w:val="00284290"/>
    <w:rsid w:val="002842A1"/>
    <w:rsid w:val="00284A08"/>
    <w:rsid w:val="00284D02"/>
    <w:rsid w:val="00284D69"/>
    <w:rsid w:val="00284D79"/>
    <w:rsid w:val="00284E6B"/>
    <w:rsid w:val="00285007"/>
    <w:rsid w:val="00285050"/>
    <w:rsid w:val="002850D8"/>
    <w:rsid w:val="00285428"/>
    <w:rsid w:val="00285A5E"/>
    <w:rsid w:val="00285CAB"/>
    <w:rsid w:val="00285E40"/>
    <w:rsid w:val="00286042"/>
    <w:rsid w:val="002865C3"/>
    <w:rsid w:val="00286BD4"/>
    <w:rsid w:val="0028733E"/>
    <w:rsid w:val="002876F3"/>
    <w:rsid w:val="00287C40"/>
    <w:rsid w:val="00287F6D"/>
    <w:rsid w:val="0029066C"/>
    <w:rsid w:val="002911F2"/>
    <w:rsid w:val="002912C4"/>
    <w:rsid w:val="002915D6"/>
    <w:rsid w:val="002918F7"/>
    <w:rsid w:val="00291D5F"/>
    <w:rsid w:val="00291F46"/>
    <w:rsid w:val="00292EFC"/>
    <w:rsid w:val="0029375B"/>
    <w:rsid w:val="00293CC2"/>
    <w:rsid w:val="00293DE3"/>
    <w:rsid w:val="00293F3C"/>
    <w:rsid w:val="00293FE4"/>
    <w:rsid w:val="00295092"/>
    <w:rsid w:val="00295606"/>
    <w:rsid w:val="002958D1"/>
    <w:rsid w:val="0029595C"/>
    <w:rsid w:val="002959AE"/>
    <w:rsid w:val="00295A66"/>
    <w:rsid w:val="00295A99"/>
    <w:rsid w:val="00295AD3"/>
    <w:rsid w:val="00295ECF"/>
    <w:rsid w:val="0029699F"/>
    <w:rsid w:val="00296D57"/>
    <w:rsid w:val="002A079A"/>
    <w:rsid w:val="002A1094"/>
    <w:rsid w:val="002A10D2"/>
    <w:rsid w:val="002A2B59"/>
    <w:rsid w:val="002A30C1"/>
    <w:rsid w:val="002A321F"/>
    <w:rsid w:val="002A3493"/>
    <w:rsid w:val="002A35AC"/>
    <w:rsid w:val="002A3982"/>
    <w:rsid w:val="002A3ACB"/>
    <w:rsid w:val="002A3B18"/>
    <w:rsid w:val="002A3B32"/>
    <w:rsid w:val="002A3B35"/>
    <w:rsid w:val="002A450B"/>
    <w:rsid w:val="002A4D78"/>
    <w:rsid w:val="002A56A8"/>
    <w:rsid w:val="002A615B"/>
    <w:rsid w:val="002A66C4"/>
    <w:rsid w:val="002A7357"/>
    <w:rsid w:val="002A79D8"/>
    <w:rsid w:val="002A79DF"/>
    <w:rsid w:val="002B0184"/>
    <w:rsid w:val="002B04A4"/>
    <w:rsid w:val="002B04BD"/>
    <w:rsid w:val="002B098F"/>
    <w:rsid w:val="002B13DB"/>
    <w:rsid w:val="002B148B"/>
    <w:rsid w:val="002B253A"/>
    <w:rsid w:val="002B2B29"/>
    <w:rsid w:val="002B3590"/>
    <w:rsid w:val="002B363A"/>
    <w:rsid w:val="002B3D64"/>
    <w:rsid w:val="002B42C1"/>
    <w:rsid w:val="002B43A1"/>
    <w:rsid w:val="002B4935"/>
    <w:rsid w:val="002B4CC4"/>
    <w:rsid w:val="002B4F8E"/>
    <w:rsid w:val="002B5436"/>
    <w:rsid w:val="002B5876"/>
    <w:rsid w:val="002B5D25"/>
    <w:rsid w:val="002B5FC1"/>
    <w:rsid w:val="002B6588"/>
    <w:rsid w:val="002B65B4"/>
    <w:rsid w:val="002B70F5"/>
    <w:rsid w:val="002B725D"/>
    <w:rsid w:val="002B7638"/>
    <w:rsid w:val="002B7B73"/>
    <w:rsid w:val="002B7ECC"/>
    <w:rsid w:val="002C0236"/>
    <w:rsid w:val="002C0813"/>
    <w:rsid w:val="002C08F6"/>
    <w:rsid w:val="002C0922"/>
    <w:rsid w:val="002C09D9"/>
    <w:rsid w:val="002C09DF"/>
    <w:rsid w:val="002C139F"/>
    <w:rsid w:val="002C1880"/>
    <w:rsid w:val="002C1B90"/>
    <w:rsid w:val="002C1BF3"/>
    <w:rsid w:val="002C1D00"/>
    <w:rsid w:val="002C1DD9"/>
    <w:rsid w:val="002C1E44"/>
    <w:rsid w:val="002C2682"/>
    <w:rsid w:val="002C2BB4"/>
    <w:rsid w:val="002C2DB8"/>
    <w:rsid w:val="002C328B"/>
    <w:rsid w:val="002C49A4"/>
    <w:rsid w:val="002C4B1B"/>
    <w:rsid w:val="002C53C2"/>
    <w:rsid w:val="002C5570"/>
    <w:rsid w:val="002C5A1E"/>
    <w:rsid w:val="002C5CF2"/>
    <w:rsid w:val="002C6093"/>
    <w:rsid w:val="002C6D33"/>
    <w:rsid w:val="002C74C5"/>
    <w:rsid w:val="002D0128"/>
    <w:rsid w:val="002D0D97"/>
    <w:rsid w:val="002D0E3C"/>
    <w:rsid w:val="002D11AF"/>
    <w:rsid w:val="002D22A1"/>
    <w:rsid w:val="002D2673"/>
    <w:rsid w:val="002D33C6"/>
    <w:rsid w:val="002D347D"/>
    <w:rsid w:val="002D3591"/>
    <w:rsid w:val="002D3C0C"/>
    <w:rsid w:val="002D3DD8"/>
    <w:rsid w:val="002D3F32"/>
    <w:rsid w:val="002D437A"/>
    <w:rsid w:val="002D452C"/>
    <w:rsid w:val="002D4A6E"/>
    <w:rsid w:val="002D4D84"/>
    <w:rsid w:val="002D5226"/>
    <w:rsid w:val="002D5684"/>
    <w:rsid w:val="002D58FB"/>
    <w:rsid w:val="002D5DAF"/>
    <w:rsid w:val="002D5F32"/>
    <w:rsid w:val="002D641F"/>
    <w:rsid w:val="002D6AB7"/>
    <w:rsid w:val="002D6BA1"/>
    <w:rsid w:val="002D6E4B"/>
    <w:rsid w:val="002D6FBF"/>
    <w:rsid w:val="002D73BC"/>
    <w:rsid w:val="002D7A8E"/>
    <w:rsid w:val="002D7CF9"/>
    <w:rsid w:val="002E02C7"/>
    <w:rsid w:val="002E08B4"/>
    <w:rsid w:val="002E145A"/>
    <w:rsid w:val="002E18CC"/>
    <w:rsid w:val="002E1D28"/>
    <w:rsid w:val="002E1F6D"/>
    <w:rsid w:val="002E234D"/>
    <w:rsid w:val="002E3614"/>
    <w:rsid w:val="002E3A93"/>
    <w:rsid w:val="002E3F00"/>
    <w:rsid w:val="002E41A6"/>
    <w:rsid w:val="002E423D"/>
    <w:rsid w:val="002E454B"/>
    <w:rsid w:val="002E50B2"/>
    <w:rsid w:val="002E5449"/>
    <w:rsid w:val="002E56D7"/>
    <w:rsid w:val="002E577B"/>
    <w:rsid w:val="002E595E"/>
    <w:rsid w:val="002E5B6D"/>
    <w:rsid w:val="002E6125"/>
    <w:rsid w:val="002E6724"/>
    <w:rsid w:val="002E6C04"/>
    <w:rsid w:val="002E6ECB"/>
    <w:rsid w:val="002E7821"/>
    <w:rsid w:val="002E798F"/>
    <w:rsid w:val="002E7A90"/>
    <w:rsid w:val="002E7B41"/>
    <w:rsid w:val="002F02B4"/>
    <w:rsid w:val="002F0852"/>
    <w:rsid w:val="002F08AB"/>
    <w:rsid w:val="002F0AC6"/>
    <w:rsid w:val="002F0E7B"/>
    <w:rsid w:val="002F0F95"/>
    <w:rsid w:val="002F1061"/>
    <w:rsid w:val="002F188D"/>
    <w:rsid w:val="002F19DE"/>
    <w:rsid w:val="002F1DB5"/>
    <w:rsid w:val="002F1F98"/>
    <w:rsid w:val="002F2312"/>
    <w:rsid w:val="002F24D5"/>
    <w:rsid w:val="002F2CB4"/>
    <w:rsid w:val="002F2EA8"/>
    <w:rsid w:val="002F3044"/>
    <w:rsid w:val="002F384A"/>
    <w:rsid w:val="002F3906"/>
    <w:rsid w:val="002F39E9"/>
    <w:rsid w:val="002F3C51"/>
    <w:rsid w:val="002F3CD9"/>
    <w:rsid w:val="002F4286"/>
    <w:rsid w:val="002F42AB"/>
    <w:rsid w:val="002F434F"/>
    <w:rsid w:val="002F4E81"/>
    <w:rsid w:val="002F500D"/>
    <w:rsid w:val="002F51E1"/>
    <w:rsid w:val="002F56B5"/>
    <w:rsid w:val="002F5F5F"/>
    <w:rsid w:val="002F5FE2"/>
    <w:rsid w:val="002F667E"/>
    <w:rsid w:val="002F792F"/>
    <w:rsid w:val="002F79E8"/>
    <w:rsid w:val="002F7A4C"/>
    <w:rsid w:val="002F7C37"/>
    <w:rsid w:val="003001BF"/>
    <w:rsid w:val="00300932"/>
    <w:rsid w:val="00300B6E"/>
    <w:rsid w:val="00300C34"/>
    <w:rsid w:val="00301284"/>
    <w:rsid w:val="0030133A"/>
    <w:rsid w:val="003019E9"/>
    <w:rsid w:val="00301B41"/>
    <w:rsid w:val="003032A5"/>
    <w:rsid w:val="00304846"/>
    <w:rsid w:val="00304AC0"/>
    <w:rsid w:val="0030505D"/>
    <w:rsid w:val="0030505F"/>
    <w:rsid w:val="00305477"/>
    <w:rsid w:val="003054AA"/>
    <w:rsid w:val="00305637"/>
    <w:rsid w:val="0030597A"/>
    <w:rsid w:val="00305A1F"/>
    <w:rsid w:val="00305F4A"/>
    <w:rsid w:val="00305F67"/>
    <w:rsid w:val="003074A3"/>
    <w:rsid w:val="00307A80"/>
    <w:rsid w:val="00310472"/>
    <w:rsid w:val="00310859"/>
    <w:rsid w:val="00311673"/>
    <w:rsid w:val="0031254F"/>
    <w:rsid w:val="00312E31"/>
    <w:rsid w:val="00313F28"/>
    <w:rsid w:val="003146F8"/>
    <w:rsid w:val="00314F59"/>
    <w:rsid w:val="00315765"/>
    <w:rsid w:val="0031586F"/>
    <w:rsid w:val="00315D68"/>
    <w:rsid w:val="00315D8B"/>
    <w:rsid w:val="00315E86"/>
    <w:rsid w:val="00317004"/>
    <w:rsid w:val="003177B4"/>
    <w:rsid w:val="00317888"/>
    <w:rsid w:val="00317CB8"/>
    <w:rsid w:val="00320091"/>
    <w:rsid w:val="0032066B"/>
    <w:rsid w:val="00320A1D"/>
    <w:rsid w:val="00320A2B"/>
    <w:rsid w:val="00320EFE"/>
    <w:rsid w:val="00321342"/>
    <w:rsid w:val="00321B80"/>
    <w:rsid w:val="003228E3"/>
    <w:rsid w:val="00322BAA"/>
    <w:rsid w:val="003236C2"/>
    <w:rsid w:val="003255C3"/>
    <w:rsid w:val="00326986"/>
    <w:rsid w:val="00326B1D"/>
    <w:rsid w:val="003271FE"/>
    <w:rsid w:val="003300FA"/>
    <w:rsid w:val="003302BC"/>
    <w:rsid w:val="00330367"/>
    <w:rsid w:val="0033036C"/>
    <w:rsid w:val="00330791"/>
    <w:rsid w:val="0033150B"/>
    <w:rsid w:val="003323EE"/>
    <w:rsid w:val="0033315A"/>
    <w:rsid w:val="00333518"/>
    <w:rsid w:val="0033352A"/>
    <w:rsid w:val="0033362B"/>
    <w:rsid w:val="00334607"/>
    <w:rsid w:val="00334B5F"/>
    <w:rsid w:val="00334C0C"/>
    <w:rsid w:val="00334DEE"/>
    <w:rsid w:val="0033597F"/>
    <w:rsid w:val="00335EE9"/>
    <w:rsid w:val="00336296"/>
    <w:rsid w:val="00336475"/>
    <w:rsid w:val="003370AD"/>
    <w:rsid w:val="003378C6"/>
    <w:rsid w:val="00337E1F"/>
    <w:rsid w:val="00340568"/>
    <w:rsid w:val="00340E27"/>
    <w:rsid w:val="00341001"/>
    <w:rsid w:val="003410E5"/>
    <w:rsid w:val="00341107"/>
    <w:rsid w:val="00341867"/>
    <w:rsid w:val="00341C1F"/>
    <w:rsid w:val="00341FBB"/>
    <w:rsid w:val="00342DFF"/>
    <w:rsid w:val="00342FB7"/>
    <w:rsid w:val="003433E3"/>
    <w:rsid w:val="0034363E"/>
    <w:rsid w:val="00344432"/>
    <w:rsid w:val="00344A4E"/>
    <w:rsid w:val="00345EEA"/>
    <w:rsid w:val="00346665"/>
    <w:rsid w:val="00346CFF"/>
    <w:rsid w:val="003505FB"/>
    <w:rsid w:val="00350AA1"/>
    <w:rsid w:val="00351460"/>
    <w:rsid w:val="00351640"/>
    <w:rsid w:val="00351C90"/>
    <w:rsid w:val="00351E31"/>
    <w:rsid w:val="00352596"/>
    <w:rsid w:val="00352ABD"/>
    <w:rsid w:val="00353230"/>
    <w:rsid w:val="0035361B"/>
    <w:rsid w:val="00353AEA"/>
    <w:rsid w:val="003544A4"/>
    <w:rsid w:val="00354F00"/>
    <w:rsid w:val="00355146"/>
    <w:rsid w:val="00355479"/>
    <w:rsid w:val="003556F0"/>
    <w:rsid w:val="003561AB"/>
    <w:rsid w:val="00356BE2"/>
    <w:rsid w:val="003570CF"/>
    <w:rsid w:val="0035750B"/>
    <w:rsid w:val="00357916"/>
    <w:rsid w:val="00357A8A"/>
    <w:rsid w:val="00357CED"/>
    <w:rsid w:val="00357DE6"/>
    <w:rsid w:val="00360056"/>
    <w:rsid w:val="003602DF"/>
    <w:rsid w:val="00360FD1"/>
    <w:rsid w:val="003611C9"/>
    <w:rsid w:val="00361521"/>
    <w:rsid w:val="00361DEE"/>
    <w:rsid w:val="00361E99"/>
    <w:rsid w:val="0036210A"/>
    <w:rsid w:val="003625AC"/>
    <w:rsid w:val="00362FBF"/>
    <w:rsid w:val="00363C80"/>
    <w:rsid w:val="00363F93"/>
    <w:rsid w:val="003641EF"/>
    <w:rsid w:val="003643A5"/>
    <w:rsid w:val="003644A2"/>
    <w:rsid w:val="00364AD9"/>
    <w:rsid w:val="00364D1A"/>
    <w:rsid w:val="00364EA9"/>
    <w:rsid w:val="00365D38"/>
    <w:rsid w:val="003661D0"/>
    <w:rsid w:val="00367B71"/>
    <w:rsid w:val="00367D0B"/>
    <w:rsid w:val="003702C2"/>
    <w:rsid w:val="0037093F"/>
    <w:rsid w:val="00371069"/>
    <w:rsid w:val="00371258"/>
    <w:rsid w:val="0037139F"/>
    <w:rsid w:val="0037162B"/>
    <w:rsid w:val="0037163F"/>
    <w:rsid w:val="00371785"/>
    <w:rsid w:val="003718A2"/>
    <w:rsid w:val="00371A48"/>
    <w:rsid w:val="00371AD1"/>
    <w:rsid w:val="00371FB9"/>
    <w:rsid w:val="003720ED"/>
    <w:rsid w:val="0037210B"/>
    <w:rsid w:val="00372391"/>
    <w:rsid w:val="003727B9"/>
    <w:rsid w:val="003733AF"/>
    <w:rsid w:val="003733C1"/>
    <w:rsid w:val="003746C2"/>
    <w:rsid w:val="00374776"/>
    <w:rsid w:val="0037489D"/>
    <w:rsid w:val="003754E3"/>
    <w:rsid w:val="00375F6C"/>
    <w:rsid w:val="0037615E"/>
    <w:rsid w:val="00376A43"/>
    <w:rsid w:val="00376A81"/>
    <w:rsid w:val="00376C4D"/>
    <w:rsid w:val="00377682"/>
    <w:rsid w:val="00377DA3"/>
    <w:rsid w:val="003805A1"/>
    <w:rsid w:val="00380E53"/>
    <w:rsid w:val="00380F63"/>
    <w:rsid w:val="00381343"/>
    <w:rsid w:val="00382B9F"/>
    <w:rsid w:val="00383038"/>
    <w:rsid w:val="003831AD"/>
    <w:rsid w:val="0038326D"/>
    <w:rsid w:val="00383F57"/>
    <w:rsid w:val="003844EE"/>
    <w:rsid w:val="00384FC4"/>
    <w:rsid w:val="00385267"/>
    <w:rsid w:val="00385718"/>
    <w:rsid w:val="0038579E"/>
    <w:rsid w:val="00385DA3"/>
    <w:rsid w:val="00385F77"/>
    <w:rsid w:val="003860A6"/>
    <w:rsid w:val="00386339"/>
    <w:rsid w:val="0038765A"/>
    <w:rsid w:val="00387C0C"/>
    <w:rsid w:val="00387E8E"/>
    <w:rsid w:val="00387F47"/>
    <w:rsid w:val="003908C5"/>
    <w:rsid w:val="00390DC8"/>
    <w:rsid w:val="0039138A"/>
    <w:rsid w:val="0039190C"/>
    <w:rsid w:val="00391ADD"/>
    <w:rsid w:val="00391BBD"/>
    <w:rsid w:val="00391D9D"/>
    <w:rsid w:val="00391EAD"/>
    <w:rsid w:val="00392091"/>
    <w:rsid w:val="0039209D"/>
    <w:rsid w:val="00392632"/>
    <w:rsid w:val="003931B7"/>
    <w:rsid w:val="003936D5"/>
    <w:rsid w:val="0039392C"/>
    <w:rsid w:val="00393E88"/>
    <w:rsid w:val="00394316"/>
    <w:rsid w:val="00394782"/>
    <w:rsid w:val="00394788"/>
    <w:rsid w:val="00394ABD"/>
    <w:rsid w:val="00394F5E"/>
    <w:rsid w:val="003951A9"/>
    <w:rsid w:val="0039538E"/>
    <w:rsid w:val="0039542D"/>
    <w:rsid w:val="00396274"/>
    <w:rsid w:val="003966B5"/>
    <w:rsid w:val="00396D38"/>
    <w:rsid w:val="003971AB"/>
    <w:rsid w:val="003A0257"/>
    <w:rsid w:val="003A148F"/>
    <w:rsid w:val="003A1AF9"/>
    <w:rsid w:val="003A1CFA"/>
    <w:rsid w:val="003A1EDF"/>
    <w:rsid w:val="003A2BD5"/>
    <w:rsid w:val="003A342F"/>
    <w:rsid w:val="003A3968"/>
    <w:rsid w:val="003A4402"/>
    <w:rsid w:val="003A4A76"/>
    <w:rsid w:val="003A4CA7"/>
    <w:rsid w:val="003A507F"/>
    <w:rsid w:val="003A510D"/>
    <w:rsid w:val="003A5D51"/>
    <w:rsid w:val="003A641B"/>
    <w:rsid w:val="003A661C"/>
    <w:rsid w:val="003A6DBE"/>
    <w:rsid w:val="003A734F"/>
    <w:rsid w:val="003A7385"/>
    <w:rsid w:val="003B059D"/>
    <w:rsid w:val="003B1414"/>
    <w:rsid w:val="003B1987"/>
    <w:rsid w:val="003B1F57"/>
    <w:rsid w:val="003B27EA"/>
    <w:rsid w:val="003B2B2A"/>
    <w:rsid w:val="003B3AE7"/>
    <w:rsid w:val="003B3B9E"/>
    <w:rsid w:val="003B3E67"/>
    <w:rsid w:val="003B3EE8"/>
    <w:rsid w:val="003B407C"/>
    <w:rsid w:val="003B408E"/>
    <w:rsid w:val="003B459D"/>
    <w:rsid w:val="003B4693"/>
    <w:rsid w:val="003B5B5C"/>
    <w:rsid w:val="003B5C64"/>
    <w:rsid w:val="003B63D6"/>
    <w:rsid w:val="003B64B6"/>
    <w:rsid w:val="003B68CC"/>
    <w:rsid w:val="003B6AD8"/>
    <w:rsid w:val="003B6B5C"/>
    <w:rsid w:val="003B6D68"/>
    <w:rsid w:val="003B7C94"/>
    <w:rsid w:val="003B7F95"/>
    <w:rsid w:val="003B7FC9"/>
    <w:rsid w:val="003C036F"/>
    <w:rsid w:val="003C085F"/>
    <w:rsid w:val="003C0F6A"/>
    <w:rsid w:val="003C1257"/>
    <w:rsid w:val="003C12C5"/>
    <w:rsid w:val="003C1425"/>
    <w:rsid w:val="003C162D"/>
    <w:rsid w:val="003C19ED"/>
    <w:rsid w:val="003C1BA9"/>
    <w:rsid w:val="003C1DE1"/>
    <w:rsid w:val="003C2077"/>
    <w:rsid w:val="003C25E6"/>
    <w:rsid w:val="003C27E5"/>
    <w:rsid w:val="003C2A74"/>
    <w:rsid w:val="003C355E"/>
    <w:rsid w:val="003C37BD"/>
    <w:rsid w:val="003C39D2"/>
    <w:rsid w:val="003C3A63"/>
    <w:rsid w:val="003C3ADE"/>
    <w:rsid w:val="003C4698"/>
    <w:rsid w:val="003C47FE"/>
    <w:rsid w:val="003C48B8"/>
    <w:rsid w:val="003C4D88"/>
    <w:rsid w:val="003C5432"/>
    <w:rsid w:val="003C5950"/>
    <w:rsid w:val="003C5B54"/>
    <w:rsid w:val="003C5F24"/>
    <w:rsid w:val="003C6209"/>
    <w:rsid w:val="003C63AD"/>
    <w:rsid w:val="003C6876"/>
    <w:rsid w:val="003C6B2B"/>
    <w:rsid w:val="003C6CB0"/>
    <w:rsid w:val="003C6D45"/>
    <w:rsid w:val="003C704C"/>
    <w:rsid w:val="003C7998"/>
    <w:rsid w:val="003C7B84"/>
    <w:rsid w:val="003C7D58"/>
    <w:rsid w:val="003C7DD6"/>
    <w:rsid w:val="003D03A0"/>
    <w:rsid w:val="003D045C"/>
    <w:rsid w:val="003D0BE7"/>
    <w:rsid w:val="003D11CE"/>
    <w:rsid w:val="003D19F7"/>
    <w:rsid w:val="003D1EE4"/>
    <w:rsid w:val="003D2BE7"/>
    <w:rsid w:val="003D2C09"/>
    <w:rsid w:val="003D3238"/>
    <w:rsid w:val="003D333E"/>
    <w:rsid w:val="003D3363"/>
    <w:rsid w:val="003D3764"/>
    <w:rsid w:val="003D37CD"/>
    <w:rsid w:val="003D3F2E"/>
    <w:rsid w:val="003D45CB"/>
    <w:rsid w:val="003D4DA1"/>
    <w:rsid w:val="003D517D"/>
    <w:rsid w:val="003D6650"/>
    <w:rsid w:val="003D6970"/>
    <w:rsid w:val="003D6D84"/>
    <w:rsid w:val="003D6FCA"/>
    <w:rsid w:val="003D7311"/>
    <w:rsid w:val="003D7575"/>
    <w:rsid w:val="003D7DBF"/>
    <w:rsid w:val="003D7ED2"/>
    <w:rsid w:val="003E0DEB"/>
    <w:rsid w:val="003E13E6"/>
    <w:rsid w:val="003E14D1"/>
    <w:rsid w:val="003E1B9D"/>
    <w:rsid w:val="003E2013"/>
    <w:rsid w:val="003E3511"/>
    <w:rsid w:val="003E36FC"/>
    <w:rsid w:val="003E406A"/>
    <w:rsid w:val="003E4305"/>
    <w:rsid w:val="003E4385"/>
    <w:rsid w:val="003E4963"/>
    <w:rsid w:val="003E4B1F"/>
    <w:rsid w:val="003E59CC"/>
    <w:rsid w:val="003E5C81"/>
    <w:rsid w:val="003E693D"/>
    <w:rsid w:val="003E6CC5"/>
    <w:rsid w:val="003E6D17"/>
    <w:rsid w:val="003E73D9"/>
    <w:rsid w:val="003E7925"/>
    <w:rsid w:val="003E7AB0"/>
    <w:rsid w:val="003F0BC1"/>
    <w:rsid w:val="003F0C0B"/>
    <w:rsid w:val="003F0FC5"/>
    <w:rsid w:val="003F14C8"/>
    <w:rsid w:val="003F1734"/>
    <w:rsid w:val="003F1D76"/>
    <w:rsid w:val="003F2660"/>
    <w:rsid w:val="003F288C"/>
    <w:rsid w:val="003F2B93"/>
    <w:rsid w:val="003F2FF3"/>
    <w:rsid w:val="003F3119"/>
    <w:rsid w:val="003F35D4"/>
    <w:rsid w:val="003F3620"/>
    <w:rsid w:val="003F36DF"/>
    <w:rsid w:val="003F41E1"/>
    <w:rsid w:val="003F479E"/>
    <w:rsid w:val="003F4C19"/>
    <w:rsid w:val="003F509E"/>
    <w:rsid w:val="003F52A0"/>
    <w:rsid w:val="003F5426"/>
    <w:rsid w:val="003F68B9"/>
    <w:rsid w:val="003F68C3"/>
    <w:rsid w:val="003F6DE3"/>
    <w:rsid w:val="003F6F26"/>
    <w:rsid w:val="003F731B"/>
    <w:rsid w:val="003F73F6"/>
    <w:rsid w:val="003F74D5"/>
    <w:rsid w:val="003F77D1"/>
    <w:rsid w:val="003F7C59"/>
    <w:rsid w:val="003F7FCE"/>
    <w:rsid w:val="004000D6"/>
    <w:rsid w:val="004000EE"/>
    <w:rsid w:val="004001DE"/>
    <w:rsid w:val="00400200"/>
    <w:rsid w:val="00400849"/>
    <w:rsid w:val="00400B0B"/>
    <w:rsid w:val="00401567"/>
    <w:rsid w:val="004016B9"/>
    <w:rsid w:val="0040177F"/>
    <w:rsid w:val="00401F53"/>
    <w:rsid w:val="00402584"/>
    <w:rsid w:val="004035B3"/>
    <w:rsid w:val="004039AC"/>
    <w:rsid w:val="00403A66"/>
    <w:rsid w:val="00403AD5"/>
    <w:rsid w:val="00403FCD"/>
    <w:rsid w:val="004047C5"/>
    <w:rsid w:val="00405C0D"/>
    <w:rsid w:val="00405C35"/>
    <w:rsid w:val="00405E79"/>
    <w:rsid w:val="00406A30"/>
    <w:rsid w:val="00406E2A"/>
    <w:rsid w:val="004071F3"/>
    <w:rsid w:val="00407476"/>
    <w:rsid w:val="004075ED"/>
    <w:rsid w:val="00407805"/>
    <w:rsid w:val="00407E93"/>
    <w:rsid w:val="00407EB3"/>
    <w:rsid w:val="00407F0B"/>
    <w:rsid w:val="00410B97"/>
    <w:rsid w:val="00410BB3"/>
    <w:rsid w:val="00411156"/>
    <w:rsid w:val="004112F8"/>
    <w:rsid w:val="00411942"/>
    <w:rsid w:val="00411EB4"/>
    <w:rsid w:val="00412269"/>
    <w:rsid w:val="004125EA"/>
    <w:rsid w:val="004128A7"/>
    <w:rsid w:val="00412BF7"/>
    <w:rsid w:val="0041315E"/>
    <w:rsid w:val="004131E9"/>
    <w:rsid w:val="0041345A"/>
    <w:rsid w:val="0041382B"/>
    <w:rsid w:val="004142F6"/>
    <w:rsid w:val="00414673"/>
    <w:rsid w:val="00414981"/>
    <w:rsid w:val="00414D15"/>
    <w:rsid w:val="00415F84"/>
    <w:rsid w:val="00416E01"/>
    <w:rsid w:val="004175B2"/>
    <w:rsid w:val="00417780"/>
    <w:rsid w:val="00417D90"/>
    <w:rsid w:val="00420123"/>
    <w:rsid w:val="00421722"/>
    <w:rsid w:val="004218AA"/>
    <w:rsid w:val="00421C53"/>
    <w:rsid w:val="004228D2"/>
    <w:rsid w:val="00423182"/>
    <w:rsid w:val="00423957"/>
    <w:rsid w:val="00423A42"/>
    <w:rsid w:val="00423AB5"/>
    <w:rsid w:val="004240CE"/>
    <w:rsid w:val="00424609"/>
    <w:rsid w:val="004247D4"/>
    <w:rsid w:val="00424BED"/>
    <w:rsid w:val="0042581F"/>
    <w:rsid w:val="0042651F"/>
    <w:rsid w:val="00426766"/>
    <w:rsid w:val="004269AB"/>
    <w:rsid w:val="004276AF"/>
    <w:rsid w:val="004278F8"/>
    <w:rsid w:val="00427C4C"/>
    <w:rsid w:val="004301B6"/>
    <w:rsid w:val="0043038B"/>
    <w:rsid w:val="00430995"/>
    <w:rsid w:val="00430C58"/>
    <w:rsid w:val="00431539"/>
    <w:rsid w:val="004322EC"/>
    <w:rsid w:val="00432445"/>
    <w:rsid w:val="0043250E"/>
    <w:rsid w:val="00433298"/>
    <w:rsid w:val="00433419"/>
    <w:rsid w:val="00433431"/>
    <w:rsid w:val="004334CB"/>
    <w:rsid w:val="004334DE"/>
    <w:rsid w:val="0043369F"/>
    <w:rsid w:val="004336D5"/>
    <w:rsid w:val="00433BF1"/>
    <w:rsid w:val="00434935"/>
    <w:rsid w:val="004350B4"/>
    <w:rsid w:val="00435A41"/>
    <w:rsid w:val="00435CA8"/>
    <w:rsid w:val="004360AA"/>
    <w:rsid w:val="0043610C"/>
    <w:rsid w:val="00436803"/>
    <w:rsid w:val="004370D4"/>
    <w:rsid w:val="00437623"/>
    <w:rsid w:val="00437917"/>
    <w:rsid w:val="00440337"/>
    <w:rsid w:val="004403E5"/>
    <w:rsid w:val="004407A1"/>
    <w:rsid w:val="00441A4F"/>
    <w:rsid w:val="00441B81"/>
    <w:rsid w:val="0044240C"/>
    <w:rsid w:val="00443448"/>
    <w:rsid w:val="0044350E"/>
    <w:rsid w:val="004439B5"/>
    <w:rsid w:val="00443A6B"/>
    <w:rsid w:val="00443DCF"/>
    <w:rsid w:val="00443F9D"/>
    <w:rsid w:val="00443FBE"/>
    <w:rsid w:val="004441E3"/>
    <w:rsid w:val="004441F8"/>
    <w:rsid w:val="004443CB"/>
    <w:rsid w:val="0044499E"/>
    <w:rsid w:val="00445199"/>
    <w:rsid w:val="004455D1"/>
    <w:rsid w:val="004458C7"/>
    <w:rsid w:val="00447DAB"/>
    <w:rsid w:val="00450358"/>
    <w:rsid w:val="0045095E"/>
    <w:rsid w:val="00450E57"/>
    <w:rsid w:val="00451029"/>
    <w:rsid w:val="00451E4C"/>
    <w:rsid w:val="004520F3"/>
    <w:rsid w:val="004527C4"/>
    <w:rsid w:val="00452CCE"/>
    <w:rsid w:val="00453005"/>
    <w:rsid w:val="00453115"/>
    <w:rsid w:val="004535C5"/>
    <w:rsid w:val="00453663"/>
    <w:rsid w:val="0045378F"/>
    <w:rsid w:val="004538DA"/>
    <w:rsid w:val="00454161"/>
    <w:rsid w:val="004542D6"/>
    <w:rsid w:val="00454550"/>
    <w:rsid w:val="0045499F"/>
    <w:rsid w:val="00454FBC"/>
    <w:rsid w:val="004552A9"/>
    <w:rsid w:val="004552DD"/>
    <w:rsid w:val="004558C1"/>
    <w:rsid w:val="00455A49"/>
    <w:rsid w:val="0045608F"/>
    <w:rsid w:val="00456147"/>
    <w:rsid w:val="004563B8"/>
    <w:rsid w:val="00456E85"/>
    <w:rsid w:val="004573E3"/>
    <w:rsid w:val="004579FF"/>
    <w:rsid w:val="00457BD6"/>
    <w:rsid w:val="004600A8"/>
    <w:rsid w:val="00460101"/>
    <w:rsid w:val="0046026B"/>
    <w:rsid w:val="004603FD"/>
    <w:rsid w:val="0046094B"/>
    <w:rsid w:val="00460BB2"/>
    <w:rsid w:val="0046169F"/>
    <w:rsid w:val="0046186F"/>
    <w:rsid w:val="004626EA"/>
    <w:rsid w:val="00462BA5"/>
    <w:rsid w:val="00463135"/>
    <w:rsid w:val="00463486"/>
    <w:rsid w:val="004636E1"/>
    <w:rsid w:val="00463BC7"/>
    <w:rsid w:val="00463D8A"/>
    <w:rsid w:val="00464009"/>
    <w:rsid w:val="00464358"/>
    <w:rsid w:val="004643D8"/>
    <w:rsid w:val="00464466"/>
    <w:rsid w:val="00464595"/>
    <w:rsid w:val="00465534"/>
    <w:rsid w:val="004663B6"/>
    <w:rsid w:val="00466846"/>
    <w:rsid w:val="004668FE"/>
    <w:rsid w:val="00467643"/>
    <w:rsid w:val="004677B9"/>
    <w:rsid w:val="00470FD7"/>
    <w:rsid w:val="0047135C"/>
    <w:rsid w:val="00471679"/>
    <w:rsid w:val="00471A99"/>
    <w:rsid w:val="00471AF9"/>
    <w:rsid w:val="00472458"/>
    <w:rsid w:val="00472A75"/>
    <w:rsid w:val="00472B9B"/>
    <w:rsid w:val="00473A6A"/>
    <w:rsid w:val="00473FD8"/>
    <w:rsid w:val="004743CC"/>
    <w:rsid w:val="00474CE7"/>
    <w:rsid w:val="0047510A"/>
    <w:rsid w:val="004755A5"/>
    <w:rsid w:val="0047564E"/>
    <w:rsid w:val="00475AA5"/>
    <w:rsid w:val="004761FE"/>
    <w:rsid w:val="0047724A"/>
    <w:rsid w:val="00477600"/>
    <w:rsid w:val="004776BA"/>
    <w:rsid w:val="00477752"/>
    <w:rsid w:val="004800D4"/>
    <w:rsid w:val="00480680"/>
    <w:rsid w:val="0048086C"/>
    <w:rsid w:val="00480D85"/>
    <w:rsid w:val="00480E77"/>
    <w:rsid w:val="0048105A"/>
    <w:rsid w:val="00481AD3"/>
    <w:rsid w:val="00482394"/>
    <w:rsid w:val="00482395"/>
    <w:rsid w:val="00482986"/>
    <w:rsid w:val="00482AD7"/>
    <w:rsid w:val="00482DEC"/>
    <w:rsid w:val="00483871"/>
    <w:rsid w:val="004847F8"/>
    <w:rsid w:val="00484E3F"/>
    <w:rsid w:val="004854AA"/>
    <w:rsid w:val="004856E0"/>
    <w:rsid w:val="004857C1"/>
    <w:rsid w:val="004867F3"/>
    <w:rsid w:val="00486870"/>
    <w:rsid w:val="00486A92"/>
    <w:rsid w:val="00486DC7"/>
    <w:rsid w:val="00487F37"/>
    <w:rsid w:val="0049127C"/>
    <w:rsid w:val="00491414"/>
    <w:rsid w:val="00491645"/>
    <w:rsid w:val="00491797"/>
    <w:rsid w:val="00491E9A"/>
    <w:rsid w:val="00492871"/>
    <w:rsid w:val="00492A7D"/>
    <w:rsid w:val="00492B9B"/>
    <w:rsid w:val="00493380"/>
    <w:rsid w:val="0049344B"/>
    <w:rsid w:val="00493B17"/>
    <w:rsid w:val="00493EE5"/>
    <w:rsid w:val="00494427"/>
    <w:rsid w:val="00494468"/>
    <w:rsid w:val="004944E0"/>
    <w:rsid w:val="004946F0"/>
    <w:rsid w:val="0049493E"/>
    <w:rsid w:val="00494FA5"/>
    <w:rsid w:val="00494FFC"/>
    <w:rsid w:val="004953DE"/>
    <w:rsid w:val="0049545F"/>
    <w:rsid w:val="00496236"/>
    <w:rsid w:val="00496DEA"/>
    <w:rsid w:val="00497129"/>
    <w:rsid w:val="00497185"/>
    <w:rsid w:val="004A05DB"/>
    <w:rsid w:val="004A0776"/>
    <w:rsid w:val="004A096D"/>
    <w:rsid w:val="004A1006"/>
    <w:rsid w:val="004A159E"/>
    <w:rsid w:val="004A15DF"/>
    <w:rsid w:val="004A16E8"/>
    <w:rsid w:val="004A1AF0"/>
    <w:rsid w:val="004A2276"/>
    <w:rsid w:val="004A2B18"/>
    <w:rsid w:val="004A3E0B"/>
    <w:rsid w:val="004A3EFA"/>
    <w:rsid w:val="004A408C"/>
    <w:rsid w:val="004A4332"/>
    <w:rsid w:val="004A497C"/>
    <w:rsid w:val="004A4D9A"/>
    <w:rsid w:val="004A57EA"/>
    <w:rsid w:val="004A6290"/>
    <w:rsid w:val="004A68BF"/>
    <w:rsid w:val="004A77A2"/>
    <w:rsid w:val="004A78F7"/>
    <w:rsid w:val="004B0137"/>
    <w:rsid w:val="004B0256"/>
    <w:rsid w:val="004B049D"/>
    <w:rsid w:val="004B049E"/>
    <w:rsid w:val="004B06F7"/>
    <w:rsid w:val="004B0B53"/>
    <w:rsid w:val="004B0C5F"/>
    <w:rsid w:val="004B12AF"/>
    <w:rsid w:val="004B13A8"/>
    <w:rsid w:val="004B140A"/>
    <w:rsid w:val="004B179D"/>
    <w:rsid w:val="004B1F8B"/>
    <w:rsid w:val="004B2659"/>
    <w:rsid w:val="004B2887"/>
    <w:rsid w:val="004B28FA"/>
    <w:rsid w:val="004B2BC2"/>
    <w:rsid w:val="004B31D1"/>
    <w:rsid w:val="004B3EF5"/>
    <w:rsid w:val="004B4596"/>
    <w:rsid w:val="004B5272"/>
    <w:rsid w:val="004B5534"/>
    <w:rsid w:val="004B5C8A"/>
    <w:rsid w:val="004B65D4"/>
    <w:rsid w:val="004B68F5"/>
    <w:rsid w:val="004B6D04"/>
    <w:rsid w:val="004B6D65"/>
    <w:rsid w:val="004B7545"/>
    <w:rsid w:val="004B7A64"/>
    <w:rsid w:val="004B7E87"/>
    <w:rsid w:val="004C054F"/>
    <w:rsid w:val="004C0936"/>
    <w:rsid w:val="004C0BB5"/>
    <w:rsid w:val="004C0F65"/>
    <w:rsid w:val="004C138F"/>
    <w:rsid w:val="004C17DD"/>
    <w:rsid w:val="004C1828"/>
    <w:rsid w:val="004C1C63"/>
    <w:rsid w:val="004C2635"/>
    <w:rsid w:val="004C2E68"/>
    <w:rsid w:val="004C3100"/>
    <w:rsid w:val="004C477E"/>
    <w:rsid w:val="004C5506"/>
    <w:rsid w:val="004C5AE3"/>
    <w:rsid w:val="004C5B70"/>
    <w:rsid w:val="004C5E61"/>
    <w:rsid w:val="004C5F18"/>
    <w:rsid w:val="004C6923"/>
    <w:rsid w:val="004C6A63"/>
    <w:rsid w:val="004C6D93"/>
    <w:rsid w:val="004C73ED"/>
    <w:rsid w:val="004C7BFB"/>
    <w:rsid w:val="004D04BC"/>
    <w:rsid w:val="004D1ED0"/>
    <w:rsid w:val="004D247D"/>
    <w:rsid w:val="004D2750"/>
    <w:rsid w:val="004D28AB"/>
    <w:rsid w:val="004D2B94"/>
    <w:rsid w:val="004D3966"/>
    <w:rsid w:val="004D524A"/>
    <w:rsid w:val="004D5BC9"/>
    <w:rsid w:val="004D5D63"/>
    <w:rsid w:val="004D67BA"/>
    <w:rsid w:val="004D69CB"/>
    <w:rsid w:val="004D759B"/>
    <w:rsid w:val="004D7DAD"/>
    <w:rsid w:val="004E020E"/>
    <w:rsid w:val="004E0652"/>
    <w:rsid w:val="004E0DB6"/>
    <w:rsid w:val="004E1335"/>
    <w:rsid w:val="004E14DF"/>
    <w:rsid w:val="004E17A0"/>
    <w:rsid w:val="004E1AA8"/>
    <w:rsid w:val="004E1BC4"/>
    <w:rsid w:val="004E1CF8"/>
    <w:rsid w:val="004E27F2"/>
    <w:rsid w:val="004E3248"/>
    <w:rsid w:val="004E3BD4"/>
    <w:rsid w:val="004E3C37"/>
    <w:rsid w:val="004E3CC6"/>
    <w:rsid w:val="004E3E0E"/>
    <w:rsid w:val="004E3E6C"/>
    <w:rsid w:val="004E3F47"/>
    <w:rsid w:val="004E4407"/>
    <w:rsid w:val="004E472F"/>
    <w:rsid w:val="004E4B91"/>
    <w:rsid w:val="004E4DA9"/>
    <w:rsid w:val="004E5111"/>
    <w:rsid w:val="004E532C"/>
    <w:rsid w:val="004E5569"/>
    <w:rsid w:val="004E5F84"/>
    <w:rsid w:val="004E6A24"/>
    <w:rsid w:val="004E6C6A"/>
    <w:rsid w:val="004E6CFD"/>
    <w:rsid w:val="004E724E"/>
    <w:rsid w:val="004E7DAF"/>
    <w:rsid w:val="004E7F13"/>
    <w:rsid w:val="004E7FC2"/>
    <w:rsid w:val="004E7FC9"/>
    <w:rsid w:val="004F00A8"/>
    <w:rsid w:val="004F0458"/>
    <w:rsid w:val="004F0514"/>
    <w:rsid w:val="004F0E21"/>
    <w:rsid w:val="004F1CA6"/>
    <w:rsid w:val="004F2A96"/>
    <w:rsid w:val="004F2D8C"/>
    <w:rsid w:val="004F3134"/>
    <w:rsid w:val="004F321C"/>
    <w:rsid w:val="004F411A"/>
    <w:rsid w:val="004F44D3"/>
    <w:rsid w:val="004F46E6"/>
    <w:rsid w:val="004F47C7"/>
    <w:rsid w:val="004F48EE"/>
    <w:rsid w:val="004F4FD3"/>
    <w:rsid w:val="004F5B1C"/>
    <w:rsid w:val="004F5C19"/>
    <w:rsid w:val="004F5CE3"/>
    <w:rsid w:val="004F5F7D"/>
    <w:rsid w:val="004F6923"/>
    <w:rsid w:val="004F6BB3"/>
    <w:rsid w:val="004F72F3"/>
    <w:rsid w:val="005008BD"/>
    <w:rsid w:val="00501333"/>
    <w:rsid w:val="005016E6"/>
    <w:rsid w:val="00501A05"/>
    <w:rsid w:val="00503205"/>
    <w:rsid w:val="0050399A"/>
    <w:rsid w:val="005045D3"/>
    <w:rsid w:val="00504C63"/>
    <w:rsid w:val="00504EF0"/>
    <w:rsid w:val="00504F62"/>
    <w:rsid w:val="005053F6"/>
    <w:rsid w:val="00506529"/>
    <w:rsid w:val="00506784"/>
    <w:rsid w:val="00507510"/>
    <w:rsid w:val="0050757F"/>
    <w:rsid w:val="00507AB9"/>
    <w:rsid w:val="00507E72"/>
    <w:rsid w:val="00510441"/>
    <w:rsid w:val="00510942"/>
    <w:rsid w:val="0051094A"/>
    <w:rsid w:val="00510B04"/>
    <w:rsid w:val="00511211"/>
    <w:rsid w:val="0051123B"/>
    <w:rsid w:val="00511324"/>
    <w:rsid w:val="00511864"/>
    <w:rsid w:val="00511AB6"/>
    <w:rsid w:val="00511BDE"/>
    <w:rsid w:val="00511E0E"/>
    <w:rsid w:val="00511E81"/>
    <w:rsid w:val="00512A00"/>
    <w:rsid w:val="00512A65"/>
    <w:rsid w:val="005130DA"/>
    <w:rsid w:val="0051313A"/>
    <w:rsid w:val="00513A83"/>
    <w:rsid w:val="00513D07"/>
    <w:rsid w:val="00513DBD"/>
    <w:rsid w:val="0051432B"/>
    <w:rsid w:val="005157AF"/>
    <w:rsid w:val="005157D1"/>
    <w:rsid w:val="005158CB"/>
    <w:rsid w:val="00515A39"/>
    <w:rsid w:val="00515CB1"/>
    <w:rsid w:val="00515EBA"/>
    <w:rsid w:val="00516500"/>
    <w:rsid w:val="0051668A"/>
    <w:rsid w:val="005168C3"/>
    <w:rsid w:val="00517113"/>
    <w:rsid w:val="005172C2"/>
    <w:rsid w:val="00517685"/>
    <w:rsid w:val="005200EB"/>
    <w:rsid w:val="0052012A"/>
    <w:rsid w:val="00520290"/>
    <w:rsid w:val="00520433"/>
    <w:rsid w:val="0052060F"/>
    <w:rsid w:val="005207DD"/>
    <w:rsid w:val="00520A25"/>
    <w:rsid w:val="00520B60"/>
    <w:rsid w:val="00521179"/>
    <w:rsid w:val="00521BEF"/>
    <w:rsid w:val="00521D98"/>
    <w:rsid w:val="00522376"/>
    <w:rsid w:val="005226A9"/>
    <w:rsid w:val="0052282B"/>
    <w:rsid w:val="005238DC"/>
    <w:rsid w:val="00523A61"/>
    <w:rsid w:val="00523A91"/>
    <w:rsid w:val="00523B1F"/>
    <w:rsid w:val="00523B85"/>
    <w:rsid w:val="00523EE9"/>
    <w:rsid w:val="00524D72"/>
    <w:rsid w:val="00524DFB"/>
    <w:rsid w:val="00524E2A"/>
    <w:rsid w:val="00525206"/>
    <w:rsid w:val="0052526F"/>
    <w:rsid w:val="0052543D"/>
    <w:rsid w:val="005266EC"/>
    <w:rsid w:val="00526DB2"/>
    <w:rsid w:val="00527BFF"/>
    <w:rsid w:val="00527C40"/>
    <w:rsid w:val="00527F24"/>
    <w:rsid w:val="00530265"/>
    <w:rsid w:val="0053076B"/>
    <w:rsid w:val="00530C42"/>
    <w:rsid w:val="00530F37"/>
    <w:rsid w:val="00530F57"/>
    <w:rsid w:val="005317DC"/>
    <w:rsid w:val="00531955"/>
    <w:rsid w:val="00531A35"/>
    <w:rsid w:val="00531EDF"/>
    <w:rsid w:val="00532327"/>
    <w:rsid w:val="0053259E"/>
    <w:rsid w:val="00533456"/>
    <w:rsid w:val="00533599"/>
    <w:rsid w:val="00534567"/>
    <w:rsid w:val="00534603"/>
    <w:rsid w:val="005351DB"/>
    <w:rsid w:val="00535430"/>
    <w:rsid w:val="0053554F"/>
    <w:rsid w:val="00535592"/>
    <w:rsid w:val="00535911"/>
    <w:rsid w:val="005365C1"/>
    <w:rsid w:val="00536BB1"/>
    <w:rsid w:val="00536D79"/>
    <w:rsid w:val="005400CC"/>
    <w:rsid w:val="005404D9"/>
    <w:rsid w:val="0054102B"/>
    <w:rsid w:val="005410F3"/>
    <w:rsid w:val="0054133F"/>
    <w:rsid w:val="00542334"/>
    <w:rsid w:val="00542E45"/>
    <w:rsid w:val="00542ECB"/>
    <w:rsid w:val="005436A0"/>
    <w:rsid w:val="005439FC"/>
    <w:rsid w:val="0054402B"/>
    <w:rsid w:val="0054410F"/>
    <w:rsid w:val="005441E5"/>
    <w:rsid w:val="005442B7"/>
    <w:rsid w:val="005446D9"/>
    <w:rsid w:val="00544819"/>
    <w:rsid w:val="00544A37"/>
    <w:rsid w:val="00544DD2"/>
    <w:rsid w:val="00545975"/>
    <w:rsid w:val="00546838"/>
    <w:rsid w:val="0054695E"/>
    <w:rsid w:val="00546B67"/>
    <w:rsid w:val="00546CD1"/>
    <w:rsid w:val="00550083"/>
    <w:rsid w:val="00550781"/>
    <w:rsid w:val="00551479"/>
    <w:rsid w:val="005517EB"/>
    <w:rsid w:val="00551ECF"/>
    <w:rsid w:val="005520A5"/>
    <w:rsid w:val="0055210D"/>
    <w:rsid w:val="00552D6E"/>
    <w:rsid w:val="005533B4"/>
    <w:rsid w:val="00554AF1"/>
    <w:rsid w:val="00554D15"/>
    <w:rsid w:val="0055561A"/>
    <w:rsid w:val="00555634"/>
    <w:rsid w:val="00555836"/>
    <w:rsid w:val="00555D13"/>
    <w:rsid w:val="00555D1A"/>
    <w:rsid w:val="00555DC9"/>
    <w:rsid w:val="0055653F"/>
    <w:rsid w:val="00556987"/>
    <w:rsid w:val="00556999"/>
    <w:rsid w:val="0055733A"/>
    <w:rsid w:val="00557EB6"/>
    <w:rsid w:val="00560A0D"/>
    <w:rsid w:val="00560FD4"/>
    <w:rsid w:val="00561FCF"/>
    <w:rsid w:val="00562568"/>
    <w:rsid w:val="00563249"/>
    <w:rsid w:val="00563516"/>
    <w:rsid w:val="00563968"/>
    <w:rsid w:val="00563D5C"/>
    <w:rsid w:val="00563E68"/>
    <w:rsid w:val="0056409A"/>
    <w:rsid w:val="005642E4"/>
    <w:rsid w:val="0056430C"/>
    <w:rsid w:val="0056436E"/>
    <w:rsid w:val="0056466C"/>
    <w:rsid w:val="005647A3"/>
    <w:rsid w:val="00564B39"/>
    <w:rsid w:val="0056541D"/>
    <w:rsid w:val="005656AD"/>
    <w:rsid w:val="00565C22"/>
    <w:rsid w:val="00566239"/>
    <w:rsid w:val="005663F6"/>
    <w:rsid w:val="00566894"/>
    <w:rsid w:val="00566986"/>
    <w:rsid w:val="00566C9D"/>
    <w:rsid w:val="00566EE1"/>
    <w:rsid w:val="00567147"/>
    <w:rsid w:val="00567272"/>
    <w:rsid w:val="00567844"/>
    <w:rsid w:val="0056799C"/>
    <w:rsid w:val="005679C8"/>
    <w:rsid w:val="00567C07"/>
    <w:rsid w:val="00567E3F"/>
    <w:rsid w:val="00570199"/>
    <w:rsid w:val="00570B26"/>
    <w:rsid w:val="00571030"/>
    <w:rsid w:val="00572619"/>
    <w:rsid w:val="00572BA6"/>
    <w:rsid w:val="00573081"/>
    <w:rsid w:val="005732CC"/>
    <w:rsid w:val="0057369C"/>
    <w:rsid w:val="005739BA"/>
    <w:rsid w:val="00573DB3"/>
    <w:rsid w:val="00573EB7"/>
    <w:rsid w:val="005741AA"/>
    <w:rsid w:val="00574503"/>
    <w:rsid w:val="00574561"/>
    <w:rsid w:val="005746BC"/>
    <w:rsid w:val="00574EDB"/>
    <w:rsid w:val="00574F43"/>
    <w:rsid w:val="00575062"/>
    <w:rsid w:val="005750D1"/>
    <w:rsid w:val="00575290"/>
    <w:rsid w:val="0057599B"/>
    <w:rsid w:val="00576559"/>
    <w:rsid w:val="005765AA"/>
    <w:rsid w:val="005765C4"/>
    <w:rsid w:val="00577E8B"/>
    <w:rsid w:val="0058052C"/>
    <w:rsid w:val="0058063B"/>
    <w:rsid w:val="00580C52"/>
    <w:rsid w:val="00581150"/>
    <w:rsid w:val="00581BE4"/>
    <w:rsid w:val="00581DA3"/>
    <w:rsid w:val="00581E7D"/>
    <w:rsid w:val="0058260A"/>
    <w:rsid w:val="00582D1E"/>
    <w:rsid w:val="005845EA"/>
    <w:rsid w:val="00584810"/>
    <w:rsid w:val="00584A46"/>
    <w:rsid w:val="00584B72"/>
    <w:rsid w:val="00584E06"/>
    <w:rsid w:val="00584E8A"/>
    <w:rsid w:val="00585A95"/>
    <w:rsid w:val="00585F0A"/>
    <w:rsid w:val="00586634"/>
    <w:rsid w:val="005875A2"/>
    <w:rsid w:val="00587750"/>
    <w:rsid w:val="00587A63"/>
    <w:rsid w:val="00590894"/>
    <w:rsid w:val="00590970"/>
    <w:rsid w:val="005924F3"/>
    <w:rsid w:val="0059256A"/>
    <w:rsid w:val="005926EC"/>
    <w:rsid w:val="00592C7D"/>
    <w:rsid w:val="00592D10"/>
    <w:rsid w:val="005942F3"/>
    <w:rsid w:val="00594805"/>
    <w:rsid w:val="00594A1C"/>
    <w:rsid w:val="00595BCF"/>
    <w:rsid w:val="005966F1"/>
    <w:rsid w:val="00596D54"/>
    <w:rsid w:val="00597593"/>
    <w:rsid w:val="00597E8E"/>
    <w:rsid w:val="005A0CC4"/>
    <w:rsid w:val="005A1069"/>
    <w:rsid w:val="005A1304"/>
    <w:rsid w:val="005A16C2"/>
    <w:rsid w:val="005A2101"/>
    <w:rsid w:val="005A221A"/>
    <w:rsid w:val="005A23E6"/>
    <w:rsid w:val="005A25F4"/>
    <w:rsid w:val="005A27D1"/>
    <w:rsid w:val="005A2931"/>
    <w:rsid w:val="005A2A75"/>
    <w:rsid w:val="005A2BDE"/>
    <w:rsid w:val="005A312B"/>
    <w:rsid w:val="005A3C46"/>
    <w:rsid w:val="005A3C6A"/>
    <w:rsid w:val="005A41A4"/>
    <w:rsid w:val="005A4AA6"/>
    <w:rsid w:val="005A4F94"/>
    <w:rsid w:val="005A60A2"/>
    <w:rsid w:val="005A68F2"/>
    <w:rsid w:val="005A6EB7"/>
    <w:rsid w:val="005A7608"/>
    <w:rsid w:val="005A76B4"/>
    <w:rsid w:val="005A79CD"/>
    <w:rsid w:val="005B04D0"/>
    <w:rsid w:val="005B0EAA"/>
    <w:rsid w:val="005B0FD1"/>
    <w:rsid w:val="005B167A"/>
    <w:rsid w:val="005B1803"/>
    <w:rsid w:val="005B18C3"/>
    <w:rsid w:val="005B2019"/>
    <w:rsid w:val="005B235D"/>
    <w:rsid w:val="005B33DC"/>
    <w:rsid w:val="005B3FF9"/>
    <w:rsid w:val="005B44C3"/>
    <w:rsid w:val="005B46FD"/>
    <w:rsid w:val="005B47BF"/>
    <w:rsid w:val="005B5859"/>
    <w:rsid w:val="005B5F64"/>
    <w:rsid w:val="005B6224"/>
    <w:rsid w:val="005B64AA"/>
    <w:rsid w:val="005B6E7C"/>
    <w:rsid w:val="005B7129"/>
    <w:rsid w:val="005B7336"/>
    <w:rsid w:val="005B7354"/>
    <w:rsid w:val="005B77A1"/>
    <w:rsid w:val="005B7814"/>
    <w:rsid w:val="005B7DA2"/>
    <w:rsid w:val="005B7DFA"/>
    <w:rsid w:val="005C009E"/>
    <w:rsid w:val="005C0C02"/>
    <w:rsid w:val="005C1769"/>
    <w:rsid w:val="005C1E55"/>
    <w:rsid w:val="005C219B"/>
    <w:rsid w:val="005C2E09"/>
    <w:rsid w:val="005C332A"/>
    <w:rsid w:val="005C38E9"/>
    <w:rsid w:val="005C3F1D"/>
    <w:rsid w:val="005C48C1"/>
    <w:rsid w:val="005C49B1"/>
    <w:rsid w:val="005C4C65"/>
    <w:rsid w:val="005C51F5"/>
    <w:rsid w:val="005C58DA"/>
    <w:rsid w:val="005C6A18"/>
    <w:rsid w:val="005C7373"/>
    <w:rsid w:val="005C763D"/>
    <w:rsid w:val="005C7E88"/>
    <w:rsid w:val="005D027A"/>
    <w:rsid w:val="005D0561"/>
    <w:rsid w:val="005D137B"/>
    <w:rsid w:val="005D1CB5"/>
    <w:rsid w:val="005D2350"/>
    <w:rsid w:val="005D2B24"/>
    <w:rsid w:val="005D2B2C"/>
    <w:rsid w:val="005D351D"/>
    <w:rsid w:val="005D394A"/>
    <w:rsid w:val="005D394D"/>
    <w:rsid w:val="005D3BF4"/>
    <w:rsid w:val="005D3EA5"/>
    <w:rsid w:val="005D3EF7"/>
    <w:rsid w:val="005D40BC"/>
    <w:rsid w:val="005D4187"/>
    <w:rsid w:val="005D473B"/>
    <w:rsid w:val="005D5081"/>
    <w:rsid w:val="005D5B5A"/>
    <w:rsid w:val="005D65B5"/>
    <w:rsid w:val="005D6AF0"/>
    <w:rsid w:val="005D6BA4"/>
    <w:rsid w:val="005D6CF8"/>
    <w:rsid w:val="005D70AE"/>
    <w:rsid w:val="005E03A4"/>
    <w:rsid w:val="005E0634"/>
    <w:rsid w:val="005E06BF"/>
    <w:rsid w:val="005E0DEC"/>
    <w:rsid w:val="005E16BE"/>
    <w:rsid w:val="005E1B5E"/>
    <w:rsid w:val="005E1C22"/>
    <w:rsid w:val="005E28B1"/>
    <w:rsid w:val="005E2F77"/>
    <w:rsid w:val="005E328C"/>
    <w:rsid w:val="005E3A7C"/>
    <w:rsid w:val="005E3ADD"/>
    <w:rsid w:val="005E3C92"/>
    <w:rsid w:val="005E438B"/>
    <w:rsid w:val="005E4459"/>
    <w:rsid w:val="005E466C"/>
    <w:rsid w:val="005E4E0B"/>
    <w:rsid w:val="005E56E4"/>
    <w:rsid w:val="005E5707"/>
    <w:rsid w:val="005E6651"/>
    <w:rsid w:val="005E66C6"/>
    <w:rsid w:val="005E6E26"/>
    <w:rsid w:val="005E72E4"/>
    <w:rsid w:val="005F09AF"/>
    <w:rsid w:val="005F1F35"/>
    <w:rsid w:val="005F24D4"/>
    <w:rsid w:val="005F26AA"/>
    <w:rsid w:val="005F2762"/>
    <w:rsid w:val="005F2BA0"/>
    <w:rsid w:val="005F2C68"/>
    <w:rsid w:val="005F2D0F"/>
    <w:rsid w:val="005F2D96"/>
    <w:rsid w:val="005F2DB8"/>
    <w:rsid w:val="005F335D"/>
    <w:rsid w:val="005F3501"/>
    <w:rsid w:val="005F3BE0"/>
    <w:rsid w:val="005F3C17"/>
    <w:rsid w:val="005F42AF"/>
    <w:rsid w:val="005F4AA6"/>
    <w:rsid w:val="005F4FCC"/>
    <w:rsid w:val="005F59B1"/>
    <w:rsid w:val="005F5FC5"/>
    <w:rsid w:val="005F65CF"/>
    <w:rsid w:val="005F6CC2"/>
    <w:rsid w:val="005F6CDB"/>
    <w:rsid w:val="005F720F"/>
    <w:rsid w:val="005F7536"/>
    <w:rsid w:val="005F7F7C"/>
    <w:rsid w:val="00600CAB"/>
    <w:rsid w:val="00600FB6"/>
    <w:rsid w:val="00601338"/>
    <w:rsid w:val="00601568"/>
    <w:rsid w:val="00601D01"/>
    <w:rsid w:val="00602306"/>
    <w:rsid w:val="00602790"/>
    <w:rsid w:val="00602918"/>
    <w:rsid w:val="00603239"/>
    <w:rsid w:val="0060331D"/>
    <w:rsid w:val="00603399"/>
    <w:rsid w:val="00603635"/>
    <w:rsid w:val="0060495A"/>
    <w:rsid w:val="0060498C"/>
    <w:rsid w:val="006053E2"/>
    <w:rsid w:val="006054C4"/>
    <w:rsid w:val="006055B6"/>
    <w:rsid w:val="00605728"/>
    <w:rsid w:val="00605E69"/>
    <w:rsid w:val="00605E99"/>
    <w:rsid w:val="00605FB6"/>
    <w:rsid w:val="00606632"/>
    <w:rsid w:val="00607CAE"/>
    <w:rsid w:val="0061000B"/>
    <w:rsid w:val="0061078F"/>
    <w:rsid w:val="006108A5"/>
    <w:rsid w:val="006110BC"/>
    <w:rsid w:val="00611B6C"/>
    <w:rsid w:val="00611ED8"/>
    <w:rsid w:val="00612BD5"/>
    <w:rsid w:val="00612F79"/>
    <w:rsid w:val="0061317C"/>
    <w:rsid w:val="00613588"/>
    <w:rsid w:val="00614090"/>
    <w:rsid w:val="00614448"/>
    <w:rsid w:val="00615159"/>
    <w:rsid w:val="006152C3"/>
    <w:rsid w:val="00615FF6"/>
    <w:rsid w:val="0061632E"/>
    <w:rsid w:val="006164F8"/>
    <w:rsid w:val="0061778F"/>
    <w:rsid w:val="006177ED"/>
    <w:rsid w:val="00617A17"/>
    <w:rsid w:val="00617F5D"/>
    <w:rsid w:val="006202EF"/>
    <w:rsid w:val="0062053B"/>
    <w:rsid w:val="00620FBB"/>
    <w:rsid w:val="00621690"/>
    <w:rsid w:val="00621C12"/>
    <w:rsid w:val="006222D4"/>
    <w:rsid w:val="00622707"/>
    <w:rsid w:val="00623082"/>
    <w:rsid w:val="006230B7"/>
    <w:rsid w:val="006230CD"/>
    <w:rsid w:val="00623545"/>
    <w:rsid w:val="00623552"/>
    <w:rsid w:val="00623CD9"/>
    <w:rsid w:val="00624088"/>
    <w:rsid w:val="006242EF"/>
    <w:rsid w:val="00624535"/>
    <w:rsid w:val="006245FC"/>
    <w:rsid w:val="006247E5"/>
    <w:rsid w:val="00624A42"/>
    <w:rsid w:val="00624FC9"/>
    <w:rsid w:val="00625381"/>
    <w:rsid w:val="006258E7"/>
    <w:rsid w:val="00625C16"/>
    <w:rsid w:val="00626AF5"/>
    <w:rsid w:val="00626BCF"/>
    <w:rsid w:val="006302DE"/>
    <w:rsid w:val="006306C9"/>
    <w:rsid w:val="00630AFB"/>
    <w:rsid w:val="00630F7B"/>
    <w:rsid w:val="006317B8"/>
    <w:rsid w:val="00631A01"/>
    <w:rsid w:val="00631ED4"/>
    <w:rsid w:val="0063232B"/>
    <w:rsid w:val="00634988"/>
    <w:rsid w:val="00634CF7"/>
    <w:rsid w:val="00634F97"/>
    <w:rsid w:val="00635414"/>
    <w:rsid w:val="00635CA9"/>
    <w:rsid w:val="00635E4E"/>
    <w:rsid w:val="00636344"/>
    <w:rsid w:val="0063690A"/>
    <w:rsid w:val="00636BE0"/>
    <w:rsid w:val="00636CB2"/>
    <w:rsid w:val="00636E1B"/>
    <w:rsid w:val="00637A3E"/>
    <w:rsid w:val="0064029E"/>
    <w:rsid w:val="00640542"/>
    <w:rsid w:val="00640CEA"/>
    <w:rsid w:val="00641290"/>
    <w:rsid w:val="00642670"/>
    <w:rsid w:val="0064285E"/>
    <w:rsid w:val="00642C08"/>
    <w:rsid w:val="00642FBF"/>
    <w:rsid w:val="0064344A"/>
    <w:rsid w:val="00643BD9"/>
    <w:rsid w:val="006446A6"/>
    <w:rsid w:val="00644BA1"/>
    <w:rsid w:val="00644CEA"/>
    <w:rsid w:val="00644FCA"/>
    <w:rsid w:val="006454DC"/>
    <w:rsid w:val="00645624"/>
    <w:rsid w:val="00646081"/>
    <w:rsid w:val="00646C6E"/>
    <w:rsid w:val="00646C84"/>
    <w:rsid w:val="00646F95"/>
    <w:rsid w:val="006477C3"/>
    <w:rsid w:val="00647A36"/>
    <w:rsid w:val="00647CFE"/>
    <w:rsid w:val="0065065D"/>
    <w:rsid w:val="00650E08"/>
    <w:rsid w:val="00650E6C"/>
    <w:rsid w:val="00651C82"/>
    <w:rsid w:val="00652376"/>
    <w:rsid w:val="00652912"/>
    <w:rsid w:val="00652D04"/>
    <w:rsid w:val="0065371C"/>
    <w:rsid w:val="00653966"/>
    <w:rsid w:val="00653B37"/>
    <w:rsid w:val="00653C7B"/>
    <w:rsid w:val="00653E78"/>
    <w:rsid w:val="0065418D"/>
    <w:rsid w:val="006550BB"/>
    <w:rsid w:val="0065536C"/>
    <w:rsid w:val="00655691"/>
    <w:rsid w:val="006556A7"/>
    <w:rsid w:val="00655E2E"/>
    <w:rsid w:val="0065633A"/>
    <w:rsid w:val="006566CE"/>
    <w:rsid w:val="00656E18"/>
    <w:rsid w:val="006570DC"/>
    <w:rsid w:val="00657735"/>
    <w:rsid w:val="0066061C"/>
    <w:rsid w:val="006607E7"/>
    <w:rsid w:val="00660B53"/>
    <w:rsid w:val="00660E77"/>
    <w:rsid w:val="0066101F"/>
    <w:rsid w:val="00662698"/>
    <w:rsid w:val="006629D0"/>
    <w:rsid w:val="00662FBD"/>
    <w:rsid w:val="006633BF"/>
    <w:rsid w:val="006635E7"/>
    <w:rsid w:val="006643EF"/>
    <w:rsid w:val="00664F27"/>
    <w:rsid w:val="006653FE"/>
    <w:rsid w:val="006660C6"/>
    <w:rsid w:val="00667EDD"/>
    <w:rsid w:val="00670849"/>
    <w:rsid w:val="00670975"/>
    <w:rsid w:val="00670A1E"/>
    <w:rsid w:val="00670CFC"/>
    <w:rsid w:val="00671549"/>
    <w:rsid w:val="00671645"/>
    <w:rsid w:val="00671801"/>
    <w:rsid w:val="00671816"/>
    <w:rsid w:val="00671B38"/>
    <w:rsid w:val="0067243A"/>
    <w:rsid w:val="006724AB"/>
    <w:rsid w:val="006729E2"/>
    <w:rsid w:val="00672C5B"/>
    <w:rsid w:val="00673229"/>
    <w:rsid w:val="00673291"/>
    <w:rsid w:val="0067343D"/>
    <w:rsid w:val="006740D8"/>
    <w:rsid w:val="0067410F"/>
    <w:rsid w:val="00674120"/>
    <w:rsid w:val="00674646"/>
    <w:rsid w:val="00674D16"/>
    <w:rsid w:val="006752A2"/>
    <w:rsid w:val="006758EC"/>
    <w:rsid w:val="0067637D"/>
    <w:rsid w:val="006763A0"/>
    <w:rsid w:val="00676EE3"/>
    <w:rsid w:val="00677121"/>
    <w:rsid w:val="006776D0"/>
    <w:rsid w:val="00677D13"/>
    <w:rsid w:val="00680215"/>
    <w:rsid w:val="006805FB"/>
    <w:rsid w:val="00680741"/>
    <w:rsid w:val="0068088B"/>
    <w:rsid w:val="00680A87"/>
    <w:rsid w:val="00680DC5"/>
    <w:rsid w:val="00681575"/>
    <w:rsid w:val="00681FA6"/>
    <w:rsid w:val="0068231D"/>
    <w:rsid w:val="00683570"/>
    <w:rsid w:val="00683575"/>
    <w:rsid w:val="00683636"/>
    <w:rsid w:val="0068398D"/>
    <w:rsid w:val="006839DA"/>
    <w:rsid w:val="00683A09"/>
    <w:rsid w:val="00684074"/>
    <w:rsid w:val="00684241"/>
    <w:rsid w:val="0068495D"/>
    <w:rsid w:val="00684C53"/>
    <w:rsid w:val="00684EA0"/>
    <w:rsid w:val="00685162"/>
    <w:rsid w:val="0068517B"/>
    <w:rsid w:val="00685684"/>
    <w:rsid w:val="00685ADB"/>
    <w:rsid w:val="00686A60"/>
    <w:rsid w:val="00686D4F"/>
    <w:rsid w:val="00687ACC"/>
    <w:rsid w:val="00690034"/>
    <w:rsid w:val="0069051C"/>
    <w:rsid w:val="006920F2"/>
    <w:rsid w:val="006930A7"/>
    <w:rsid w:val="006934E5"/>
    <w:rsid w:val="0069352A"/>
    <w:rsid w:val="00693C28"/>
    <w:rsid w:val="006942C5"/>
    <w:rsid w:val="00694E37"/>
    <w:rsid w:val="0069544E"/>
    <w:rsid w:val="006954E8"/>
    <w:rsid w:val="006961FB"/>
    <w:rsid w:val="00696A78"/>
    <w:rsid w:val="00696CC5"/>
    <w:rsid w:val="006979DF"/>
    <w:rsid w:val="006A06C5"/>
    <w:rsid w:val="006A0BB7"/>
    <w:rsid w:val="006A1060"/>
    <w:rsid w:val="006A15D8"/>
    <w:rsid w:val="006A1802"/>
    <w:rsid w:val="006A194F"/>
    <w:rsid w:val="006A209C"/>
    <w:rsid w:val="006A36E2"/>
    <w:rsid w:val="006A3C24"/>
    <w:rsid w:val="006A4200"/>
    <w:rsid w:val="006A463E"/>
    <w:rsid w:val="006A4F5D"/>
    <w:rsid w:val="006A5352"/>
    <w:rsid w:val="006A5C09"/>
    <w:rsid w:val="006A5FE5"/>
    <w:rsid w:val="006A637B"/>
    <w:rsid w:val="006A676A"/>
    <w:rsid w:val="006A6A8D"/>
    <w:rsid w:val="006A6E62"/>
    <w:rsid w:val="006A780B"/>
    <w:rsid w:val="006A7941"/>
    <w:rsid w:val="006A7968"/>
    <w:rsid w:val="006A7BFF"/>
    <w:rsid w:val="006A7C89"/>
    <w:rsid w:val="006A7F81"/>
    <w:rsid w:val="006B07FA"/>
    <w:rsid w:val="006B09E1"/>
    <w:rsid w:val="006B09E6"/>
    <w:rsid w:val="006B120D"/>
    <w:rsid w:val="006B1275"/>
    <w:rsid w:val="006B1ADC"/>
    <w:rsid w:val="006B1AF3"/>
    <w:rsid w:val="006B241B"/>
    <w:rsid w:val="006B26B1"/>
    <w:rsid w:val="006B2957"/>
    <w:rsid w:val="006B3127"/>
    <w:rsid w:val="006B39D7"/>
    <w:rsid w:val="006B3BF0"/>
    <w:rsid w:val="006B3CE4"/>
    <w:rsid w:val="006B45BA"/>
    <w:rsid w:val="006B4777"/>
    <w:rsid w:val="006B500D"/>
    <w:rsid w:val="006B5F74"/>
    <w:rsid w:val="006B6317"/>
    <w:rsid w:val="006B7267"/>
    <w:rsid w:val="006B78EB"/>
    <w:rsid w:val="006B794C"/>
    <w:rsid w:val="006B7BF4"/>
    <w:rsid w:val="006C00DA"/>
    <w:rsid w:val="006C0733"/>
    <w:rsid w:val="006C0B59"/>
    <w:rsid w:val="006C1595"/>
    <w:rsid w:val="006C191F"/>
    <w:rsid w:val="006C1A3F"/>
    <w:rsid w:val="006C2CC8"/>
    <w:rsid w:val="006C2D2A"/>
    <w:rsid w:val="006C2E91"/>
    <w:rsid w:val="006C308E"/>
    <w:rsid w:val="006C31BC"/>
    <w:rsid w:val="006C3903"/>
    <w:rsid w:val="006C3A6D"/>
    <w:rsid w:val="006C3FEE"/>
    <w:rsid w:val="006C4A3C"/>
    <w:rsid w:val="006C4FF6"/>
    <w:rsid w:val="006C5856"/>
    <w:rsid w:val="006C5C0B"/>
    <w:rsid w:val="006C5C6C"/>
    <w:rsid w:val="006C6C49"/>
    <w:rsid w:val="006C719D"/>
    <w:rsid w:val="006C7D4A"/>
    <w:rsid w:val="006D04FF"/>
    <w:rsid w:val="006D0877"/>
    <w:rsid w:val="006D0E32"/>
    <w:rsid w:val="006D168E"/>
    <w:rsid w:val="006D1B21"/>
    <w:rsid w:val="006D2103"/>
    <w:rsid w:val="006D239D"/>
    <w:rsid w:val="006D270B"/>
    <w:rsid w:val="006D2913"/>
    <w:rsid w:val="006D2FD2"/>
    <w:rsid w:val="006D3481"/>
    <w:rsid w:val="006D3769"/>
    <w:rsid w:val="006D3BB8"/>
    <w:rsid w:val="006D4829"/>
    <w:rsid w:val="006D4892"/>
    <w:rsid w:val="006D4A2B"/>
    <w:rsid w:val="006D52F4"/>
    <w:rsid w:val="006D5491"/>
    <w:rsid w:val="006D5FD1"/>
    <w:rsid w:val="006D6367"/>
    <w:rsid w:val="006D685A"/>
    <w:rsid w:val="006D6DA0"/>
    <w:rsid w:val="006D7B4B"/>
    <w:rsid w:val="006D7C87"/>
    <w:rsid w:val="006E0B99"/>
    <w:rsid w:val="006E1296"/>
    <w:rsid w:val="006E174F"/>
    <w:rsid w:val="006E2961"/>
    <w:rsid w:val="006E2DF1"/>
    <w:rsid w:val="006E2E46"/>
    <w:rsid w:val="006E3294"/>
    <w:rsid w:val="006E346B"/>
    <w:rsid w:val="006E4DB8"/>
    <w:rsid w:val="006E5F9D"/>
    <w:rsid w:val="006E622F"/>
    <w:rsid w:val="006E65E2"/>
    <w:rsid w:val="006E6D6E"/>
    <w:rsid w:val="006E6DC2"/>
    <w:rsid w:val="006E71C4"/>
    <w:rsid w:val="006E71D2"/>
    <w:rsid w:val="006E7264"/>
    <w:rsid w:val="006E73E6"/>
    <w:rsid w:val="006E7A88"/>
    <w:rsid w:val="006E7B2C"/>
    <w:rsid w:val="006F00A9"/>
    <w:rsid w:val="006F03A7"/>
    <w:rsid w:val="006F043C"/>
    <w:rsid w:val="006F04ED"/>
    <w:rsid w:val="006F0B76"/>
    <w:rsid w:val="006F0B7A"/>
    <w:rsid w:val="006F103F"/>
    <w:rsid w:val="006F1850"/>
    <w:rsid w:val="006F2313"/>
    <w:rsid w:val="006F23DD"/>
    <w:rsid w:val="006F2D32"/>
    <w:rsid w:val="006F33F0"/>
    <w:rsid w:val="006F35DF"/>
    <w:rsid w:val="006F39FD"/>
    <w:rsid w:val="006F3A45"/>
    <w:rsid w:val="006F3B35"/>
    <w:rsid w:val="006F3B93"/>
    <w:rsid w:val="006F3D16"/>
    <w:rsid w:val="006F4038"/>
    <w:rsid w:val="006F409C"/>
    <w:rsid w:val="006F468D"/>
    <w:rsid w:val="006F4A31"/>
    <w:rsid w:val="006F4C81"/>
    <w:rsid w:val="006F5266"/>
    <w:rsid w:val="006F5C6B"/>
    <w:rsid w:val="006F6209"/>
    <w:rsid w:val="006F69B4"/>
    <w:rsid w:val="006F6AC0"/>
    <w:rsid w:val="006F6F0C"/>
    <w:rsid w:val="006F715E"/>
    <w:rsid w:val="006F765F"/>
    <w:rsid w:val="007006C2"/>
    <w:rsid w:val="007008AC"/>
    <w:rsid w:val="007012F7"/>
    <w:rsid w:val="00701BCE"/>
    <w:rsid w:val="00702683"/>
    <w:rsid w:val="0070343A"/>
    <w:rsid w:val="007037CA"/>
    <w:rsid w:val="00703CE1"/>
    <w:rsid w:val="00703EE7"/>
    <w:rsid w:val="00704010"/>
    <w:rsid w:val="00704118"/>
    <w:rsid w:val="00705A02"/>
    <w:rsid w:val="00705A41"/>
    <w:rsid w:val="00705B6A"/>
    <w:rsid w:val="00705C2C"/>
    <w:rsid w:val="00705E30"/>
    <w:rsid w:val="00705FBC"/>
    <w:rsid w:val="0070668D"/>
    <w:rsid w:val="00706773"/>
    <w:rsid w:val="0070683D"/>
    <w:rsid w:val="00706902"/>
    <w:rsid w:val="00706D40"/>
    <w:rsid w:val="00706FCC"/>
    <w:rsid w:val="00707179"/>
    <w:rsid w:val="00707450"/>
    <w:rsid w:val="00707BBA"/>
    <w:rsid w:val="00707CBE"/>
    <w:rsid w:val="00707E46"/>
    <w:rsid w:val="00710036"/>
    <w:rsid w:val="007107D4"/>
    <w:rsid w:val="00710DD8"/>
    <w:rsid w:val="00711426"/>
    <w:rsid w:val="0071142F"/>
    <w:rsid w:val="0071176F"/>
    <w:rsid w:val="0071217A"/>
    <w:rsid w:val="0071283B"/>
    <w:rsid w:val="00712994"/>
    <w:rsid w:val="00712CA2"/>
    <w:rsid w:val="00713A8A"/>
    <w:rsid w:val="00713CD2"/>
    <w:rsid w:val="00713E27"/>
    <w:rsid w:val="007140F5"/>
    <w:rsid w:val="00714116"/>
    <w:rsid w:val="00714366"/>
    <w:rsid w:val="00714377"/>
    <w:rsid w:val="00715A14"/>
    <w:rsid w:val="00715C33"/>
    <w:rsid w:val="007161EF"/>
    <w:rsid w:val="00716306"/>
    <w:rsid w:val="0071630B"/>
    <w:rsid w:val="007163ED"/>
    <w:rsid w:val="007164DE"/>
    <w:rsid w:val="0071689A"/>
    <w:rsid w:val="00717144"/>
    <w:rsid w:val="007173F2"/>
    <w:rsid w:val="00717A96"/>
    <w:rsid w:val="00717C2F"/>
    <w:rsid w:val="00717F89"/>
    <w:rsid w:val="0072008D"/>
    <w:rsid w:val="007201D4"/>
    <w:rsid w:val="0072150E"/>
    <w:rsid w:val="007215A8"/>
    <w:rsid w:val="0072248C"/>
    <w:rsid w:val="0072296E"/>
    <w:rsid w:val="00722A9E"/>
    <w:rsid w:val="00723377"/>
    <w:rsid w:val="0072381C"/>
    <w:rsid w:val="0072396C"/>
    <w:rsid w:val="00723B2A"/>
    <w:rsid w:val="007240BF"/>
    <w:rsid w:val="00724202"/>
    <w:rsid w:val="007249AB"/>
    <w:rsid w:val="0072505C"/>
    <w:rsid w:val="007253E4"/>
    <w:rsid w:val="00725548"/>
    <w:rsid w:val="00725D42"/>
    <w:rsid w:val="00725EE7"/>
    <w:rsid w:val="007264B6"/>
    <w:rsid w:val="00726558"/>
    <w:rsid w:val="00727525"/>
    <w:rsid w:val="007279DC"/>
    <w:rsid w:val="00727A4E"/>
    <w:rsid w:val="00727B3B"/>
    <w:rsid w:val="00730907"/>
    <w:rsid w:val="00731579"/>
    <w:rsid w:val="007316C5"/>
    <w:rsid w:val="007316DD"/>
    <w:rsid w:val="00731B31"/>
    <w:rsid w:val="00731B5F"/>
    <w:rsid w:val="00731BF8"/>
    <w:rsid w:val="00731D5A"/>
    <w:rsid w:val="00731E58"/>
    <w:rsid w:val="00732106"/>
    <w:rsid w:val="007330B9"/>
    <w:rsid w:val="007333CF"/>
    <w:rsid w:val="00733DBF"/>
    <w:rsid w:val="00734553"/>
    <w:rsid w:val="00734C1D"/>
    <w:rsid w:val="00735349"/>
    <w:rsid w:val="00736AFE"/>
    <w:rsid w:val="00736F9F"/>
    <w:rsid w:val="007377EF"/>
    <w:rsid w:val="00737D28"/>
    <w:rsid w:val="00740CFE"/>
    <w:rsid w:val="00740E95"/>
    <w:rsid w:val="007412DF"/>
    <w:rsid w:val="0074191F"/>
    <w:rsid w:val="00742673"/>
    <w:rsid w:val="007426A7"/>
    <w:rsid w:val="007428C7"/>
    <w:rsid w:val="007431AA"/>
    <w:rsid w:val="00744D0E"/>
    <w:rsid w:val="00744F55"/>
    <w:rsid w:val="007450E5"/>
    <w:rsid w:val="007461FD"/>
    <w:rsid w:val="007463D4"/>
    <w:rsid w:val="00746509"/>
    <w:rsid w:val="007476A0"/>
    <w:rsid w:val="00747CF2"/>
    <w:rsid w:val="007501F6"/>
    <w:rsid w:val="0075083C"/>
    <w:rsid w:val="00750F7D"/>
    <w:rsid w:val="00750F95"/>
    <w:rsid w:val="0075103C"/>
    <w:rsid w:val="007512FE"/>
    <w:rsid w:val="00751354"/>
    <w:rsid w:val="00751382"/>
    <w:rsid w:val="0075154C"/>
    <w:rsid w:val="00751829"/>
    <w:rsid w:val="00751836"/>
    <w:rsid w:val="00751B61"/>
    <w:rsid w:val="00751FAA"/>
    <w:rsid w:val="007520B2"/>
    <w:rsid w:val="007522E4"/>
    <w:rsid w:val="00752425"/>
    <w:rsid w:val="007525F8"/>
    <w:rsid w:val="00752789"/>
    <w:rsid w:val="007527B2"/>
    <w:rsid w:val="00752EB0"/>
    <w:rsid w:val="00752ED1"/>
    <w:rsid w:val="0075310C"/>
    <w:rsid w:val="00754555"/>
    <w:rsid w:val="00754D28"/>
    <w:rsid w:val="00755284"/>
    <w:rsid w:val="007552AB"/>
    <w:rsid w:val="007555E9"/>
    <w:rsid w:val="00755ABF"/>
    <w:rsid w:val="00755E93"/>
    <w:rsid w:val="00755F26"/>
    <w:rsid w:val="00756722"/>
    <w:rsid w:val="00756D13"/>
    <w:rsid w:val="00757409"/>
    <w:rsid w:val="007578B1"/>
    <w:rsid w:val="00757D45"/>
    <w:rsid w:val="00760F64"/>
    <w:rsid w:val="007624E9"/>
    <w:rsid w:val="007629B9"/>
    <w:rsid w:val="00762E0B"/>
    <w:rsid w:val="007633B2"/>
    <w:rsid w:val="007633BB"/>
    <w:rsid w:val="00763510"/>
    <w:rsid w:val="00763831"/>
    <w:rsid w:val="00763DB7"/>
    <w:rsid w:val="00763E0D"/>
    <w:rsid w:val="00764292"/>
    <w:rsid w:val="00764BB7"/>
    <w:rsid w:val="0076537B"/>
    <w:rsid w:val="0076590F"/>
    <w:rsid w:val="00766CD5"/>
    <w:rsid w:val="00766EBB"/>
    <w:rsid w:val="00766EFA"/>
    <w:rsid w:val="00766FF2"/>
    <w:rsid w:val="00767728"/>
    <w:rsid w:val="007677C4"/>
    <w:rsid w:val="00767B6A"/>
    <w:rsid w:val="00770865"/>
    <w:rsid w:val="00771419"/>
    <w:rsid w:val="00772815"/>
    <w:rsid w:val="00772BB8"/>
    <w:rsid w:val="00772E84"/>
    <w:rsid w:val="00773077"/>
    <w:rsid w:val="00773856"/>
    <w:rsid w:val="00773941"/>
    <w:rsid w:val="00774153"/>
    <w:rsid w:val="007750FC"/>
    <w:rsid w:val="007759DB"/>
    <w:rsid w:val="00775DA4"/>
    <w:rsid w:val="00776667"/>
    <w:rsid w:val="00776B86"/>
    <w:rsid w:val="00776FB9"/>
    <w:rsid w:val="00777276"/>
    <w:rsid w:val="00777E6B"/>
    <w:rsid w:val="00780617"/>
    <w:rsid w:val="007806D5"/>
    <w:rsid w:val="00780736"/>
    <w:rsid w:val="00780837"/>
    <w:rsid w:val="007815A4"/>
    <w:rsid w:val="007818C6"/>
    <w:rsid w:val="00781AB0"/>
    <w:rsid w:val="00782411"/>
    <w:rsid w:val="007824E0"/>
    <w:rsid w:val="00782EFD"/>
    <w:rsid w:val="0078389E"/>
    <w:rsid w:val="00783BE6"/>
    <w:rsid w:val="0078456F"/>
    <w:rsid w:val="00784A60"/>
    <w:rsid w:val="00784FDD"/>
    <w:rsid w:val="00785210"/>
    <w:rsid w:val="00785A18"/>
    <w:rsid w:val="007865D0"/>
    <w:rsid w:val="007869D1"/>
    <w:rsid w:val="00786E4D"/>
    <w:rsid w:val="00790604"/>
    <w:rsid w:val="00790692"/>
    <w:rsid w:val="007907D5"/>
    <w:rsid w:val="00790830"/>
    <w:rsid w:val="0079095B"/>
    <w:rsid w:val="00790CEA"/>
    <w:rsid w:val="00790FD4"/>
    <w:rsid w:val="00791229"/>
    <w:rsid w:val="00791289"/>
    <w:rsid w:val="007924C6"/>
    <w:rsid w:val="007927FE"/>
    <w:rsid w:val="00792EF0"/>
    <w:rsid w:val="00793E04"/>
    <w:rsid w:val="00793FE1"/>
    <w:rsid w:val="00794412"/>
    <w:rsid w:val="00794652"/>
    <w:rsid w:val="00794CD5"/>
    <w:rsid w:val="00794E63"/>
    <w:rsid w:val="007956B3"/>
    <w:rsid w:val="0079575E"/>
    <w:rsid w:val="00795C72"/>
    <w:rsid w:val="00795DE7"/>
    <w:rsid w:val="00795FED"/>
    <w:rsid w:val="00796526"/>
    <w:rsid w:val="00797244"/>
    <w:rsid w:val="007977BD"/>
    <w:rsid w:val="007A0373"/>
    <w:rsid w:val="007A08FA"/>
    <w:rsid w:val="007A0A81"/>
    <w:rsid w:val="007A0BD0"/>
    <w:rsid w:val="007A12E5"/>
    <w:rsid w:val="007A1338"/>
    <w:rsid w:val="007A1506"/>
    <w:rsid w:val="007A1612"/>
    <w:rsid w:val="007A1DA1"/>
    <w:rsid w:val="007A25EB"/>
    <w:rsid w:val="007A278A"/>
    <w:rsid w:val="007A2E6D"/>
    <w:rsid w:val="007A3D3C"/>
    <w:rsid w:val="007A4575"/>
    <w:rsid w:val="007A464C"/>
    <w:rsid w:val="007A47DD"/>
    <w:rsid w:val="007A4B34"/>
    <w:rsid w:val="007A5252"/>
    <w:rsid w:val="007A5414"/>
    <w:rsid w:val="007A58F2"/>
    <w:rsid w:val="007A5BBF"/>
    <w:rsid w:val="007A5BF6"/>
    <w:rsid w:val="007A5EBE"/>
    <w:rsid w:val="007A64B2"/>
    <w:rsid w:val="007A654C"/>
    <w:rsid w:val="007A6920"/>
    <w:rsid w:val="007A6D1D"/>
    <w:rsid w:val="007A702B"/>
    <w:rsid w:val="007A7967"/>
    <w:rsid w:val="007A79F2"/>
    <w:rsid w:val="007A7D1D"/>
    <w:rsid w:val="007A7D8C"/>
    <w:rsid w:val="007A7F83"/>
    <w:rsid w:val="007B042D"/>
    <w:rsid w:val="007B0488"/>
    <w:rsid w:val="007B0598"/>
    <w:rsid w:val="007B05A0"/>
    <w:rsid w:val="007B09B8"/>
    <w:rsid w:val="007B0BCB"/>
    <w:rsid w:val="007B0C88"/>
    <w:rsid w:val="007B183F"/>
    <w:rsid w:val="007B1F7B"/>
    <w:rsid w:val="007B2021"/>
    <w:rsid w:val="007B233E"/>
    <w:rsid w:val="007B2C1E"/>
    <w:rsid w:val="007B2F16"/>
    <w:rsid w:val="007B35E3"/>
    <w:rsid w:val="007B3861"/>
    <w:rsid w:val="007B41BD"/>
    <w:rsid w:val="007B42E1"/>
    <w:rsid w:val="007B4341"/>
    <w:rsid w:val="007B5567"/>
    <w:rsid w:val="007B5584"/>
    <w:rsid w:val="007B60AA"/>
    <w:rsid w:val="007B6197"/>
    <w:rsid w:val="007B61DC"/>
    <w:rsid w:val="007B6341"/>
    <w:rsid w:val="007B64AB"/>
    <w:rsid w:val="007B70C3"/>
    <w:rsid w:val="007B7D91"/>
    <w:rsid w:val="007C0684"/>
    <w:rsid w:val="007C147D"/>
    <w:rsid w:val="007C1959"/>
    <w:rsid w:val="007C19A9"/>
    <w:rsid w:val="007C26CE"/>
    <w:rsid w:val="007C3C67"/>
    <w:rsid w:val="007C3DBC"/>
    <w:rsid w:val="007C47E0"/>
    <w:rsid w:val="007C4B82"/>
    <w:rsid w:val="007C4CB8"/>
    <w:rsid w:val="007C5943"/>
    <w:rsid w:val="007C61BE"/>
    <w:rsid w:val="007C6603"/>
    <w:rsid w:val="007C6810"/>
    <w:rsid w:val="007C6F92"/>
    <w:rsid w:val="007C6FE9"/>
    <w:rsid w:val="007C76F6"/>
    <w:rsid w:val="007C7C8E"/>
    <w:rsid w:val="007C7E49"/>
    <w:rsid w:val="007C7E7A"/>
    <w:rsid w:val="007D07FE"/>
    <w:rsid w:val="007D0A6B"/>
    <w:rsid w:val="007D0C64"/>
    <w:rsid w:val="007D0F8F"/>
    <w:rsid w:val="007D132D"/>
    <w:rsid w:val="007D2DAA"/>
    <w:rsid w:val="007D3A68"/>
    <w:rsid w:val="007D467B"/>
    <w:rsid w:val="007D484F"/>
    <w:rsid w:val="007D49CA"/>
    <w:rsid w:val="007D4A3D"/>
    <w:rsid w:val="007D4CB9"/>
    <w:rsid w:val="007D4F1D"/>
    <w:rsid w:val="007D50E7"/>
    <w:rsid w:val="007D52E7"/>
    <w:rsid w:val="007D5600"/>
    <w:rsid w:val="007D562F"/>
    <w:rsid w:val="007D5A72"/>
    <w:rsid w:val="007D5DAB"/>
    <w:rsid w:val="007D5EDD"/>
    <w:rsid w:val="007D6041"/>
    <w:rsid w:val="007D62F0"/>
    <w:rsid w:val="007D66AF"/>
    <w:rsid w:val="007D6E17"/>
    <w:rsid w:val="007D77CE"/>
    <w:rsid w:val="007D7F19"/>
    <w:rsid w:val="007D7F52"/>
    <w:rsid w:val="007E004D"/>
    <w:rsid w:val="007E0354"/>
    <w:rsid w:val="007E04B2"/>
    <w:rsid w:val="007E10BF"/>
    <w:rsid w:val="007E134D"/>
    <w:rsid w:val="007E15D3"/>
    <w:rsid w:val="007E1D2E"/>
    <w:rsid w:val="007E21C9"/>
    <w:rsid w:val="007E23DA"/>
    <w:rsid w:val="007E25A9"/>
    <w:rsid w:val="007E2A9B"/>
    <w:rsid w:val="007E38F0"/>
    <w:rsid w:val="007E3D18"/>
    <w:rsid w:val="007E406C"/>
    <w:rsid w:val="007E447F"/>
    <w:rsid w:val="007E4573"/>
    <w:rsid w:val="007E4B1E"/>
    <w:rsid w:val="007E54FD"/>
    <w:rsid w:val="007E5C04"/>
    <w:rsid w:val="007E6120"/>
    <w:rsid w:val="007E62DC"/>
    <w:rsid w:val="007E6D3D"/>
    <w:rsid w:val="007E7394"/>
    <w:rsid w:val="007E7435"/>
    <w:rsid w:val="007E7A7B"/>
    <w:rsid w:val="007E7BBF"/>
    <w:rsid w:val="007F01C9"/>
    <w:rsid w:val="007F0400"/>
    <w:rsid w:val="007F0A8E"/>
    <w:rsid w:val="007F1DE1"/>
    <w:rsid w:val="007F1E0C"/>
    <w:rsid w:val="007F2121"/>
    <w:rsid w:val="007F224A"/>
    <w:rsid w:val="007F2C6B"/>
    <w:rsid w:val="007F354E"/>
    <w:rsid w:val="007F4227"/>
    <w:rsid w:val="007F4292"/>
    <w:rsid w:val="007F4536"/>
    <w:rsid w:val="007F46F6"/>
    <w:rsid w:val="007F5387"/>
    <w:rsid w:val="007F538A"/>
    <w:rsid w:val="007F59BB"/>
    <w:rsid w:val="007F62A3"/>
    <w:rsid w:val="007F658C"/>
    <w:rsid w:val="007F695D"/>
    <w:rsid w:val="007F69D3"/>
    <w:rsid w:val="007F6F5B"/>
    <w:rsid w:val="007F7089"/>
    <w:rsid w:val="007F73B6"/>
    <w:rsid w:val="007F741C"/>
    <w:rsid w:val="007F7424"/>
    <w:rsid w:val="007F77BC"/>
    <w:rsid w:val="00800AE1"/>
    <w:rsid w:val="00800B81"/>
    <w:rsid w:val="00800DBF"/>
    <w:rsid w:val="00800F7D"/>
    <w:rsid w:val="008016C6"/>
    <w:rsid w:val="0080177B"/>
    <w:rsid w:val="00802622"/>
    <w:rsid w:val="0080337C"/>
    <w:rsid w:val="008037C2"/>
    <w:rsid w:val="008038EF"/>
    <w:rsid w:val="00803BD2"/>
    <w:rsid w:val="00803C49"/>
    <w:rsid w:val="00804326"/>
    <w:rsid w:val="0080465E"/>
    <w:rsid w:val="00804AC8"/>
    <w:rsid w:val="00804C3D"/>
    <w:rsid w:val="00805734"/>
    <w:rsid w:val="008057EB"/>
    <w:rsid w:val="00805C60"/>
    <w:rsid w:val="00805CBD"/>
    <w:rsid w:val="00805D51"/>
    <w:rsid w:val="00805E18"/>
    <w:rsid w:val="00806391"/>
    <w:rsid w:val="0080672A"/>
    <w:rsid w:val="00806D0F"/>
    <w:rsid w:val="00806E74"/>
    <w:rsid w:val="00807690"/>
    <w:rsid w:val="00807D00"/>
    <w:rsid w:val="008100C2"/>
    <w:rsid w:val="0081146C"/>
    <w:rsid w:val="0081193D"/>
    <w:rsid w:val="00811A77"/>
    <w:rsid w:val="00811F58"/>
    <w:rsid w:val="00811F8C"/>
    <w:rsid w:val="00812595"/>
    <w:rsid w:val="00812E54"/>
    <w:rsid w:val="008130A6"/>
    <w:rsid w:val="00813253"/>
    <w:rsid w:val="008132EF"/>
    <w:rsid w:val="00813ED2"/>
    <w:rsid w:val="00814413"/>
    <w:rsid w:val="0081459C"/>
    <w:rsid w:val="00814E24"/>
    <w:rsid w:val="00815469"/>
    <w:rsid w:val="00815508"/>
    <w:rsid w:val="008159CC"/>
    <w:rsid w:val="00815ACC"/>
    <w:rsid w:val="00815B18"/>
    <w:rsid w:val="00816A75"/>
    <w:rsid w:val="00816B1E"/>
    <w:rsid w:val="00816C57"/>
    <w:rsid w:val="00816CF6"/>
    <w:rsid w:val="00817263"/>
    <w:rsid w:val="00817E89"/>
    <w:rsid w:val="008203C9"/>
    <w:rsid w:val="008211C9"/>
    <w:rsid w:val="008223A0"/>
    <w:rsid w:val="00822483"/>
    <w:rsid w:val="0082393D"/>
    <w:rsid w:val="00823C05"/>
    <w:rsid w:val="00823FCA"/>
    <w:rsid w:val="008247AC"/>
    <w:rsid w:val="008251AF"/>
    <w:rsid w:val="00825450"/>
    <w:rsid w:val="008256D3"/>
    <w:rsid w:val="00825CE7"/>
    <w:rsid w:val="00826A72"/>
    <w:rsid w:val="00826BE9"/>
    <w:rsid w:val="00830AAE"/>
    <w:rsid w:val="0083132D"/>
    <w:rsid w:val="00831491"/>
    <w:rsid w:val="00831D6C"/>
    <w:rsid w:val="0083217E"/>
    <w:rsid w:val="00832628"/>
    <w:rsid w:val="00833CDD"/>
    <w:rsid w:val="008344E0"/>
    <w:rsid w:val="0083450A"/>
    <w:rsid w:val="00835427"/>
    <w:rsid w:val="0083595D"/>
    <w:rsid w:val="008359C6"/>
    <w:rsid w:val="00835D45"/>
    <w:rsid w:val="00836363"/>
    <w:rsid w:val="0083650B"/>
    <w:rsid w:val="0083783F"/>
    <w:rsid w:val="00840A6B"/>
    <w:rsid w:val="00840C1C"/>
    <w:rsid w:val="00840D02"/>
    <w:rsid w:val="0084130A"/>
    <w:rsid w:val="0084135F"/>
    <w:rsid w:val="008416BE"/>
    <w:rsid w:val="00842E52"/>
    <w:rsid w:val="00843109"/>
    <w:rsid w:val="00844D08"/>
    <w:rsid w:val="00844D2E"/>
    <w:rsid w:val="00846248"/>
    <w:rsid w:val="008464BD"/>
    <w:rsid w:val="008466E5"/>
    <w:rsid w:val="00846D7A"/>
    <w:rsid w:val="0084707B"/>
    <w:rsid w:val="00847566"/>
    <w:rsid w:val="00847AD9"/>
    <w:rsid w:val="00850222"/>
    <w:rsid w:val="00850461"/>
    <w:rsid w:val="00850673"/>
    <w:rsid w:val="00850A4C"/>
    <w:rsid w:val="00851510"/>
    <w:rsid w:val="00851885"/>
    <w:rsid w:val="00852584"/>
    <w:rsid w:val="00852772"/>
    <w:rsid w:val="00852847"/>
    <w:rsid w:val="00852870"/>
    <w:rsid w:val="008528A7"/>
    <w:rsid w:val="008532FF"/>
    <w:rsid w:val="00853834"/>
    <w:rsid w:val="00853B4C"/>
    <w:rsid w:val="00853D8B"/>
    <w:rsid w:val="00853E60"/>
    <w:rsid w:val="00854489"/>
    <w:rsid w:val="00854EDD"/>
    <w:rsid w:val="00855259"/>
    <w:rsid w:val="008559FE"/>
    <w:rsid w:val="00855EDF"/>
    <w:rsid w:val="0085654A"/>
    <w:rsid w:val="008566CE"/>
    <w:rsid w:val="0085682B"/>
    <w:rsid w:val="0085720A"/>
    <w:rsid w:val="008575E4"/>
    <w:rsid w:val="0085775B"/>
    <w:rsid w:val="0085796C"/>
    <w:rsid w:val="00857AFE"/>
    <w:rsid w:val="00857C7A"/>
    <w:rsid w:val="00860141"/>
    <w:rsid w:val="0086027E"/>
    <w:rsid w:val="008605A2"/>
    <w:rsid w:val="00860659"/>
    <w:rsid w:val="0086065F"/>
    <w:rsid w:val="00860826"/>
    <w:rsid w:val="008612A8"/>
    <w:rsid w:val="008614F8"/>
    <w:rsid w:val="00861AE6"/>
    <w:rsid w:val="00861D6D"/>
    <w:rsid w:val="00862113"/>
    <w:rsid w:val="008621C9"/>
    <w:rsid w:val="00862484"/>
    <w:rsid w:val="00862A66"/>
    <w:rsid w:val="00862BCB"/>
    <w:rsid w:val="00863147"/>
    <w:rsid w:val="008631A3"/>
    <w:rsid w:val="008639D9"/>
    <w:rsid w:val="008641FB"/>
    <w:rsid w:val="008643E1"/>
    <w:rsid w:val="0086487E"/>
    <w:rsid w:val="00864A6D"/>
    <w:rsid w:val="00864DDD"/>
    <w:rsid w:val="008650E8"/>
    <w:rsid w:val="008651D8"/>
    <w:rsid w:val="0086575B"/>
    <w:rsid w:val="00865772"/>
    <w:rsid w:val="00865CBE"/>
    <w:rsid w:val="00865D56"/>
    <w:rsid w:val="00866EA1"/>
    <w:rsid w:val="00867198"/>
    <w:rsid w:val="00867331"/>
    <w:rsid w:val="008679BF"/>
    <w:rsid w:val="00867CE3"/>
    <w:rsid w:val="00870768"/>
    <w:rsid w:val="00870C92"/>
    <w:rsid w:val="00870F69"/>
    <w:rsid w:val="00871AE9"/>
    <w:rsid w:val="00871C37"/>
    <w:rsid w:val="00871E24"/>
    <w:rsid w:val="00871E5C"/>
    <w:rsid w:val="00871FE9"/>
    <w:rsid w:val="00872047"/>
    <w:rsid w:val="0087227B"/>
    <w:rsid w:val="008722AB"/>
    <w:rsid w:val="008727F2"/>
    <w:rsid w:val="00872A89"/>
    <w:rsid w:val="00872DBE"/>
    <w:rsid w:val="00873001"/>
    <w:rsid w:val="008730F8"/>
    <w:rsid w:val="008738AE"/>
    <w:rsid w:val="00873E3C"/>
    <w:rsid w:val="00873FB6"/>
    <w:rsid w:val="008744FF"/>
    <w:rsid w:val="00874CE0"/>
    <w:rsid w:val="00874CFB"/>
    <w:rsid w:val="00874DCA"/>
    <w:rsid w:val="00875F09"/>
    <w:rsid w:val="008764BF"/>
    <w:rsid w:val="0087669D"/>
    <w:rsid w:val="008767A9"/>
    <w:rsid w:val="00876BFB"/>
    <w:rsid w:val="00876CB8"/>
    <w:rsid w:val="00876EC3"/>
    <w:rsid w:val="008774D2"/>
    <w:rsid w:val="0087782F"/>
    <w:rsid w:val="00877C37"/>
    <w:rsid w:val="008808D3"/>
    <w:rsid w:val="00880BAD"/>
    <w:rsid w:val="00880C1A"/>
    <w:rsid w:val="0088132A"/>
    <w:rsid w:val="008816B5"/>
    <w:rsid w:val="00881716"/>
    <w:rsid w:val="00881782"/>
    <w:rsid w:val="00881789"/>
    <w:rsid w:val="008819EA"/>
    <w:rsid w:val="00881E87"/>
    <w:rsid w:val="00881EBD"/>
    <w:rsid w:val="0088206A"/>
    <w:rsid w:val="00882825"/>
    <w:rsid w:val="00882A63"/>
    <w:rsid w:val="0088306A"/>
    <w:rsid w:val="0088310F"/>
    <w:rsid w:val="00883317"/>
    <w:rsid w:val="008835DD"/>
    <w:rsid w:val="00883C2E"/>
    <w:rsid w:val="00883DBD"/>
    <w:rsid w:val="0088440C"/>
    <w:rsid w:val="00884831"/>
    <w:rsid w:val="00884D34"/>
    <w:rsid w:val="00884E9D"/>
    <w:rsid w:val="00885030"/>
    <w:rsid w:val="00885076"/>
    <w:rsid w:val="008857C7"/>
    <w:rsid w:val="008859E8"/>
    <w:rsid w:val="008860F3"/>
    <w:rsid w:val="00886199"/>
    <w:rsid w:val="008864CC"/>
    <w:rsid w:val="0088700A"/>
    <w:rsid w:val="008870BC"/>
    <w:rsid w:val="0088721E"/>
    <w:rsid w:val="00887842"/>
    <w:rsid w:val="00887E7E"/>
    <w:rsid w:val="00887F3B"/>
    <w:rsid w:val="0089161B"/>
    <w:rsid w:val="0089183D"/>
    <w:rsid w:val="008934E6"/>
    <w:rsid w:val="0089390B"/>
    <w:rsid w:val="008939F5"/>
    <w:rsid w:val="008940E5"/>
    <w:rsid w:val="008941EC"/>
    <w:rsid w:val="008945A7"/>
    <w:rsid w:val="0089516F"/>
    <w:rsid w:val="008951F4"/>
    <w:rsid w:val="00895914"/>
    <w:rsid w:val="00895A7B"/>
    <w:rsid w:val="00895FFF"/>
    <w:rsid w:val="008963D0"/>
    <w:rsid w:val="008968BF"/>
    <w:rsid w:val="00896CB8"/>
    <w:rsid w:val="0089727D"/>
    <w:rsid w:val="008974C6"/>
    <w:rsid w:val="008A0194"/>
    <w:rsid w:val="008A06FB"/>
    <w:rsid w:val="008A078D"/>
    <w:rsid w:val="008A0B86"/>
    <w:rsid w:val="008A1732"/>
    <w:rsid w:val="008A1BFE"/>
    <w:rsid w:val="008A1C26"/>
    <w:rsid w:val="008A20C1"/>
    <w:rsid w:val="008A2839"/>
    <w:rsid w:val="008A2AEC"/>
    <w:rsid w:val="008A3A56"/>
    <w:rsid w:val="008A3EF9"/>
    <w:rsid w:val="008A4541"/>
    <w:rsid w:val="008A4FED"/>
    <w:rsid w:val="008A57F6"/>
    <w:rsid w:val="008A58BF"/>
    <w:rsid w:val="008A5982"/>
    <w:rsid w:val="008A5EAB"/>
    <w:rsid w:val="008A72BA"/>
    <w:rsid w:val="008A7AC7"/>
    <w:rsid w:val="008A7B37"/>
    <w:rsid w:val="008B0112"/>
    <w:rsid w:val="008B10B5"/>
    <w:rsid w:val="008B24A3"/>
    <w:rsid w:val="008B2B8B"/>
    <w:rsid w:val="008B2D8D"/>
    <w:rsid w:val="008B2F75"/>
    <w:rsid w:val="008B30A1"/>
    <w:rsid w:val="008B3298"/>
    <w:rsid w:val="008B3465"/>
    <w:rsid w:val="008B3532"/>
    <w:rsid w:val="008B41F5"/>
    <w:rsid w:val="008B576B"/>
    <w:rsid w:val="008B5A4D"/>
    <w:rsid w:val="008B6378"/>
    <w:rsid w:val="008B63F3"/>
    <w:rsid w:val="008B6878"/>
    <w:rsid w:val="008B6A71"/>
    <w:rsid w:val="008B6E2D"/>
    <w:rsid w:val="008B7203"/>
    <w:rsid w:val="008B7920"/>
    <w:rsid w:val="008B7980"/>
    <w:rsid w:val="008B7BC5"/>
    <w:rsid w:val="008B7D72"/>
    <w:rsid w:val="008C0052"/>
    <w:rsid w:val="008C01A6"/>
    <w:rsid w:val="008C02EE"/>
    <w:rsid w:val="008C083D"/>
    <w:rsid w:val="008C0A9F"/>
    <w:rsid w:val="008C0B7F"/>
    <w:rsid w:val="008C19AC"/>
    <w:rsid w:val="008C1AFD"/>
    <w:rsid w:val="008C1B49"/>
    <w:rsid w:val="008C1B4E"/>
    <w:rsid w:val="008C1D38"/>
    <w:rsid w:val="008C23F0"/>
    <w:rsid w:val="008C2962"/>
    <w:rsid w:val="008C2B28"/>
    <w:rsid w:val="008C3747"/>
    <w:rsid w:val="008C3DBD"/>
    <w:rsid w:val="008C3EED"/>
    <w:rsid w:val="008C4A3D"/>
    <w:rsid w:val="008C4BCE"/>
    <w:rsid w:val="008C4FD9"/>
    <w:rsid w:val="008C5463"/>
    <w:rsid w:val="008C5816"/>
    <w:rsid w:val="008C5D68"/>
    <w:rsid w:val="008C63C8"/>
    <w:rsid w:val="008C6E2C"/>
    <w:rsid w:val="008C7287"/>
    <w:rsid w:val="008C7945"/>
    <w:rsid w:val="008C7C90"/>
    <w:rsid w:val="008C7F0C"/>
    <w:rsid w:val="008D024F"/>
    <w:rsid w:val="008D071C"/>
    <w:rsid w:val="008D085D"/>
    <w:rsid w:val="008D0A34"/>
    <w:rsid w:val="008D118F"/>
    <w:rsid w:val="008D1B8E"/>
    <w:rsid w:val="008D1E37"/>
    <w:rsid w:val="008D2301"/>
    <w:rsid w:val="008D2C67"/>
    <w:rsid w:val="008D311B"/>
    <w:rsid w:val="008D317F"/>
    <w:rsid w:val="008D3684"/>
    <w:rsid w:val="008D3B74"/>
    <w:rsid w:val="008D4096"/>
    <w:rsid w:val="008D4802"/>
    <w:rsid w:val="008D4FF1"/>
    <w:rsid w:val="008D5BD2"/>
    <w:rsid w:val="008D5DDA"/>
    <w:rsid w:val="008D61D5"/>
    <w:rsid w:val="008D6941"/>
    <w:rsid w:val="008D6F71"/>
    <w:rsid w:val="008D7402"/>
    <w:rsid w:val="008D799F"/>
    <w:rsid w:val="008D7A32"/>
    <w:rsid w:val="008D7CE9"/>
    <w:rsid w:val="008D7E6E"/>
    <w:rsid w:val="008E02DB"/>
    <w:rsid w:val="008E044D"/>
    <w:rsid w:val="008E0B7E"/>
    <w:rsid w:val="008E1989"/>
    <w:rsid w:val="008E2A7A"/>
    <w:rsid w:val="008E2D57"/>
    <w:rsid w:val="008E34EB"/>
    <w:rsid w:val="008E3551"/>
    <w:rsid w:val="008E411F"/>
    <w:rsid w:val="008E459F"/>
    <w:rsid w:val="008E4A32"/>
    <w:rsid w:val="008E4E2F"/>
    <w:rsid w:val="008E4E44"/>
    <w:rsid w:val="008E50DA"/>
    <w:rsid w:val="008E5875"/>
    <w:rsid w:val="008E5DE2"/>
    <w:rsid w:val="008E60BA"/>
    <w:rsid w:val="008E6770"/>
    <w:rsid w:val="008E684D"/>
    <w:rsid w:val="008E6D01"/>
    <w:rsid w:val="008E6D77"/>
    <w:rsid w:val="008E6EEB"/>
    <w:rsid w:val="008E706D"/>
    <w:rsid w:val="008E7604"/>
    <w:rsid w:val="008E79AB"/>
    <w:rsid w:val="008E7A4F"/>
    <w:rsid w:val="008E7E3C"/>
    <w:rsid w:val="008F007D"/>
    <w:rsid w:val="008F081E"/>
    <w:rsid w:val="008F0885"/>
    <w:rsid w:val="008F0A2E"/>
    <w:rsid w:val="008F0ACB"/>
    <w:rsid w:val="008F1A2D"/>
    <w:rsid w:val="008F1EC2"/>
    <w:rsid w:val="008F2AF3"/>
    <w:rsid w:val="008F2BD1"/>
    <w:rsid w:val="008F2E17"/>
    <w:rsid w:val="008F31FF"/>
    <w:rsid w:val="008F3BFB"/>
    <w:rsid w:val="008F44A9"/>
    <w:rsid w:val="008F46F1"/>
    <w:rsid w:val="008F55A3"/>
    <w:rsid w:val="008F5D22"/>
    <w:rsid w:val="008F6348"/>
    <w:rsid w:val="008F6988"/>
    <w:rsid w:val="008F6BAB"/>
    <w:rsid w:val="008F6C50"/>
    <w:rsid w:val="008F71AA"/>
    <w:rsid w:val="008F71B1"/>
    <w:rsid w:val="008F732B"/>
    <w:rsid w:val="008F760B"/>
    <w:rsid w:val="008F7D02"/>
    <w:rsid w:val="00900337"/>
    <w:rsid w:val="009005C8"/>
    <w:rsid w:val="00900613"/>
    <w:rsid w:val="00901922"/>
    <w:rsid w:val="009027C1"/>
    <w:rsid w:val="00902C62"/>
    <w:rsid w:val="00902DDD"/>
    <w:rsid w:val="00903320"/>
    <w:rsid w:val="00903456"/>
    <w:rsid w:val="00903899"/>
    <w:rsid w:val="00903BF3"/>
    <w:rsid w:val="00904ADC"/>
    <w:rsid w:val="009052B7"/>
    <w:rsid w:val="00905A0D"/>
    <w:rsid w:val="00905A54"/>
    <w:rsid w:val="009063D0"/>
    <w:rsid w:val="00906A32"/>
    <w:rsid w:val="00907A66"/>
    <w:rsid w:val="00907D67"/>
    <w:rsid w:val="00910056"/>
    <w:rsid w:val="00910917"/>
    <w:rsid w:val="0091099D"/>
    <w:rsid w:val="009110EE"/>
    <w:rsid w:val="0091172E"/>
    <w:rsid w:val="009118D7"/>
    <w:rsid w:val="00911D55"/>
    <w:rsid w:val="00911E02"/>
    <w:rsid w:val="00911FEC"/>
    <w:rsid w:val="00912696"/>
    <w:rsid w:val="009140D1"/>
    <w:rsid w:val="009143D2"/>
    <w:rsid w:val="0091451C"/>
    <w:rsid w:val="0091548D"/>
    <w:rsid w:val="0091588A"/>
    <w:rsid w:val="00915A1F"/>
    <w:rsid w:val="00915A54"/>
    <w:rsid w:val="00916509"/>
    <w:rsid w:val="0091685D"/>
    <w:rsid w:val="00916C14"/>
    <w:rsid w:val="00916D35"/>
    <w:rsid w:val="00917177"/>
    <w:rsid w:val="00917AA3"/>
    <w:rsid w:val="009201BB"/>
    <w:rsid w:val="00920397"/>
    <w:rsid w:val="009204F8"/>
    <w:rsid w:val="00920653"/>
    <w:rsid w:val="0092095B"/>
    <w:rsid w:val="009211B3"/>
    <w:rsid w:val="009219E5"/>
    <w:rsid w:val="00921D5D"/>
    <w:rsid w:val="009221A8"/>
    <w:rsid w:val="009221FF"/>
    <w:rsid w:val="00922349"/>
    <w:rsid w:val="009228AF"/>
    <w:rsid w:val="0092327B"/>
    <w:rsid w:val="009235C2"/>
    <w:rsid w:val="00923B73"/>
    <w:rsid w:val="00924079"/>
    <w:rsid w:val="00924367"/>
    <w:rsid w:val="00924546"/>
    <w:rsid w:val="00924A44"/>
    <w:rsid w:val="00924B50"/>
    <w:rsid w:val="00924D04"/>
    <w:rsid w:val="00924F1A"/>
    <w:rsid w:val="00925502"/>
    <w:rsid w:val="00925805"/>
    <w:rsid w:val="00926399"/>
    <w:rsid w:val="00926B60"/>
    <w:rsid w:val="00927281"/>
    <w:rsid w:val="009272F3"/>
    <w:rsid w:val="00927CD0"/>
    <w:rsid w:val="00927D2A"/>
    <w:rsid w:val="00930832"/>
    <w:rsid w:val="00930CE9"/>
    <w:rsid w:val="00931070"/>
    <w:rsid w:val="0093166C"/>
    <w:rsid w:val="009317A1"/>
    <w:rsid w:val="00932117"/>
    <w:rsid w:val="0093230E"/>
    <w:rsid w:val="00932CC9"/>
    <w:rsid w:val="009333B8"/>
    <w:rsid w:val="009336E0"/>
    <w:rsid w:val="0093382B"/>
    <w:rsid w:val="00933D17"/>
    <w:rsid w:val="00933EB8"/>
    <w:rsid w:val="009346A2"/>
    <w:rsid w:val="00934785"/>
    <w:rsid w:val="009350BD"/>
    <w:rsid w:val="009350BE"/>
    <w:rsid w:val="00935FF4"/>
    <w:rsid w:val="00935FFD"/>
    <w:rsid w:val="00937148"/>
    <w:rsid w:val="00937234"/>
    <w:rsid w:val="009375A3"/>
    <w:rsid w:val="0094007C"/>
    <w:rsid w:val="009401F0"/>
    <w:rsid w:val="00941099"/>
    <w:rsid w:val="00941D97"/>
    <w:rsid w:val="00941DCB"/>
    <w:rsid w:val="0094230F"/>
    <w:rsid w:val="00942A8A"/>
    <w:rsid w:val="00942CD7"/>
    <w:rsid w:val="00942D8B"/>
    <w:rsid w:val="009434FE"/>
    <w:rsid w:val="00943745"/>
    <w:rsid w:val="009437FE"/>
    <w:rsid w:val="0094397D"/>
    <w:rsid w:val="00943EAE"/>
    <w:rsid w:val="00943F48"/>
    <w:rsid w:val="0094459B"/>
    <w:rsid w:val="00944E97"/>
    <w:rsid w:val="00945181"/>
    <w:rsid w:val="009451BD"/>
    <w:rsid w:val="00946C19"/>
    <w:rsid w:val="00946FB1"/>
    <w:rsid w:val="0094762A"/>
    <w:rsid w:val="00947B05"/>
    <w:rsid w:val="00947DC5"/>
    <w:rsid w:val="00947EE6"/>
    <w:rsid w:val="00950351"/>
    <w:rsid w:val="0095091A"/>
    <w:rsid w:val="00950E67"/>
    <w:rsid w:val="00951491"/>
    <w:rsid w:val="0095154D"/>
    <w:rsid w:val="0095215F"/>
    <w:rsid w:val="0095267D"/>
    <w:rsid w:val="0095287D"/>
    <w:rsid w:val="00953407"/>
    <w:rsid w:val="00953A3C"/>
    <w:rsid w:val="00954256"/>
    <w:rsid w:val="00954497"/>
    <w:rsid w:val="00954BA8"/>
    <w:rsid w:val="00954E5C"/>
    <w:rsid w:val="009551C8"/>
    <w:rsid w:val="009554CB"/>
    <w:rsid w:val="00955E93"/>
    <w:rsid w:val="0095621F"/>
    <w:rsid w:val="0095651D"/>
    <w:rsid w:val="00956E07"/>
    <w:rsid w:val="00957971"/>
    <w:rsid w:val="00957D3E"/>
    <w:rsid w:val="00957E16"/>
    <w:rsid w:val="00957E47"/>
    <w:rsid w:val="00957EE1"/>
    <w:rsid w:val="009600E9"/>
    <w:rsid w:val="00960189"/>
    <w:rsid w:val="00960518"/>
    <w:rsid w:val="009605EC"/>
    <w:rsid w:val="00960CE3"/>
    <w:rsid w:val="009610D8"/>
    <w:rsid w:val="0096122A"/>
    <w:rsid w:val="00961B76"/>
    <w:rsid w:val="00961C0E"/>
    <w:rsid w:val="00962090"/>
    <w:rsid w:val="00962735"/>
    <w:rsid w:val="009627E9"/>
    <w:rsid w:val="0096284B"/>
    <w:rsid w:val="00962AF5"/>
    <w:rsid w:val="00963705"/>
    <w:rsid w:val="00963831"/>
    <w:rsid w:val="009640E9"/>
    <w:rsid w:val="00964691"/>
    <w:rsid w:val="00965EEC"/>
    <w:rsid w:val="00966F8E"/>
    <w:rsid w:val="0096754A"/>
    <w:rsid w:val="0096765A"/>
    <w:rsid w:val="009677DA"/>
    <w:rsid w:val="0097019E"/>
    <w:rsid w:val="00970260"/>
    <w:rsid w:val="009702FF"/>
    <w:rsid w:val="00970A22"/>
    <w:rsid w:val="00970BB0"/>
    <w:rsid w:val="00970DC2"/>
    <w:rsid w:val="0097122B"/>
    <w:rsid w:val="0097125B"/>
    <w:rsid w:val="00971AF0"/>
    <w:rsid w:val="00971DF8"/>
    <w:rsid w:val="00972965"/>
    <w:rsid w:val="00972E58"/>
    <w:rsid w:val="009739CF"/>
    <w:rsid w:val="00973E40"/>
    <w:rsid w:val="0097593A"/>
    <w:rsid w:val="009759D1"/>
    <w:rsid w:val="00975E02"/>
    <w:rsid w:val="00975E08"/>
    <w:rsid w:val="0097611C"/>
    <w:rsid w:val="0097719C"/>
    <w:rsid w:val="00977627"/>
    <w:rsid w:val="009779C3"/>
    <w:rsid w:val="00977B61"/>
    <w:rsid w:val="009805EB"/>
    <w:rsid w:val="009807B5"/>
    <w:rsid w:val="00980B17"/>
    <w:rsid w:val="00980E8B"/>
    <w:rsid w:val="00980F4A"/>
    <w:rsid w:val="00980FD2"/>
    <w:rsid w:val="009812EC"/>
    <w:rsid w:val="009816FB"/>
    <w:rsid w:val="0098184E"/>
    <w:rsid w:val="00981BEC"/>
    <w:rsid w:val="00981C30"/>
    <w:rsid w:val="0098311A"/>
    <w:rsid w:val="009835E3"/>
    <w:rsid w:val="0098376D"/>
    <w:rsid w:val="00983CBE"/>
    <w:rsid w:val="00984204"/>
    <w:rsid w:val="00984724"/>
    <w:rsid w:val="0098497E"/>
    <w:rsid w:val="00984A66"/>
    <w:rsid w:val="00984D34"/>
    <w:rsid w:val="00985371"/>
    <w:rsid w:val="0098552A"/>
    <w:rsid w:val="00985BFB"/>
    <w:rsid w:val="00985C24"/>
    <w:rsid w:val="00986081"/>
    <w:rsid w:val="009861C2"/>
    <w:rsid w:val="00986484"/>
    <w:rsid w:val="009869E9"/>
    <w:rsid w:val="00986D6C"/>
    <w:rsid w:val="00987306"/>
    <w:rsid w:val="00987875"/>
    <w:rsid w:val="00987D7F"/>
    <w:rsid w:val="00987EEF"/>
    <w:rsid w:val="00990105"/>
    <w:rsid w:val="00990D58"/>
    <w:rsid w:val="00991120"/>
    <w:rsid w:val="00991678"/>
    <w:rsid w:val="00991A0F"/>
    <w:rsid w:val="00992175"/>
    <w:rsid w:val="00992424"/>
    <w:rsid w:val="0099262E"/>
    <w:rsid w:val="009927EE"/>
    <w:rsid w:val="00993633"/>
    <w:rsid w:val="009936FA"/>
    <w:rsid w:val="0099403B"/>
    <w:rsid w:val="00994588"/>
    <w:rsid w:val="0099468E"/>
    <w:rsid w:val="00994773"/>
    <w:rsid w:val="00994D4F"/>
    <w:rsid w:val="009951C9"/>
    <w:rsid w:val="00995597"/>
    <w:rsid w:val="00995FBD"/>
    <w:rsid w:val="009A0CC9"/>
    <w:rsid w:val="009A0D85"/>
    <w:rsid w:val="009A1EFB"/>
    <w:rsid w:val="009A237B"/>
    <w:rsid w:val="009A364F"/>
    <w:rsid w:val="009A3CD0"/>
    <w:rsid w:val="009A3F73"/>
    <w:rsid w:val="009A4378"/>
    <w:rsid w:val="009A5039"/>
    <w:rsid w:val="009A5E4E"/>
    <w:rsid w:val="009A6184"/>
    <w:rsid w:val="009A61AF"/>
    <w:rsid w:val="009A61E7"/>
    <w:rsid w:val="009A6B01"/>
    <w:rsid w:val="009A73F0"/>
    <w:rsid w:val="009A7981"/>
    <w:rsid w:val="009A7AC7"/>
    <w:rsid w:val="009A7B22"/>
    <w:rsid w:val="009A7F65"/>
    <w:rsid w:val="009B0249"/>
    <w:rsid w:val="009B0705"/>
    <w:rsid w:val="009B070E"/>
    <w:rsid w:val="009B0D7D"/>
    <w:rsid w:val="009B1238"/>
    <w:rsid w:val="009B1281"/>
    <w:rsid w:val="009B13B1"/>
    <w:rsid w:val="009B1443"/>
    <w:rsid w:val="009B1F05"/>
    <w:rsid w:val="009B1F56"/>
    <w:rsid w:val="009B2712"/>
    <w:rsid w:val="009B2C11"/>
    <w:rsid w:val="009B2D2E"/>
    <w:rsid w:val="009B2F54"/>
    <w:rsid w:val="009B31D3"/>
    <w:rsid w:val="009B3F46"/>
    <w:rsid w:val="009B4DD2"/>
    <w:rsid w:val="009B50B6"/>
    <w:rsid w:val="009B6609"/>
    <w:rsid w:val="009B685F"/>
    <w:rsid w:val="009B6966"/>
    <w:rsid w:val="009B7254"/>
    <w:rsid w:val="009B747A"/>
    <w:rsid w:val="009B7CE0"/>
    <w:rsid w:val="009B7D33"/>
    <w:rsid w:val="009C0353"/>
    <w:rsid w:val="009C0531"/>
    <w:rsid w:val="009C0533"/>
    <w:rsid w:val="009C0E99"/>
    <w:rsid w:val="009C14A1"/>
    <w:rsid w:val="009C1ABE"/>
    <w:rsid w:val="009C225B"/>
    <w:rsid w:val="009C2330"/>
    <w:rsid w:val="009C288D"/>
    <w:rsid w:val="009C2B2D"/>
    <w:rsid w:val="009C2C82"/>
    <w:rsid w:val="009C2C8C"/>
    <w:rsid w:val="009C2D18"/>
    <w:rsid w:val="009C3065"/>
    <w:rsid w:val="009C336D"/>
    <w:rsid w:val="009C3EA8"/>
    <w:rsid w:val="009C4595"/>
    <w:rsid w:val="009C49FE"/>
    <w:rsid w:val="009C56DF"/>
    <w:rsid w:val="009C64EC"/>
    <w:rsid w:val="009C6C31"/>
    <w:rsid w:val="009C728E"/>
    <w:rsid w:val="009C7A1E"/>
    <w:rsid w:val="009C7E6C"/>
    <w:rsid w:val="009D08A8"/>
    <w:rsid w:val="009D1062"/>
    <w:rsid w:val="009D1304"/>
    <w:rsid w:val="009D1372"/>
    <w:rsid w:val="009D1C29"/>
    <w:rsid w:val="009D2652"/>
    <w:rsid w:val="009D2835"/>
    <w:rsid w:val="009D2A5A"/>
    <w:rsid w:val="009D404E"/>
    <w:rsid w:val="009D40B8"/>
    <w:rsid w:val="009D5736"/>
    <w:rsid w:val="009D58ED"/>
    <w:rsid w:val="009D5E59"/>
    <w:rsid w:val="009D6035"/>
    <w:rsid w:val="009D68A8"/>
    <w:rsid w:val="009D6971"/>
    <w:rsid w:val="009D6F42"/>
    <w:rsid w:val="009D751F"/>
    <w:rsid w:val="009D7FB5"/>
    <w:rsid w:val="009E02AD"/>
    <w:rsid w:val="009E0D77"/>
    <w:rsid w:val="009E0FF9"/>
    <w:rsid w:val="009E192E"/>
    <w:rsid w:val="009E1F5D"/>
    <w:rsid w:val="009E201C"/>
    <w:rsid w:val="009E329C"/>
    <w:rsid w:val="009E3418"/>
    <w:rsid w:val="009E35F5"/>
    <w:rsid w:val="009E4872"/>
    <w:rsid w:val="009E48EA"/>
    <w:rsid w:val="009E4952"/>
    <w:rsid w:val="009E4E0E"/>
    <w:rsid w:val="009E5506"/>
    <w:rsid w:val="009E566F"/>
    <w:rsid w:val="009E60EF"/>
    <w:rsid w:val="009E69C0"/>
    <w:rsid w:val="009E6ECE"/>
    <w:rsid w:val="009E6FE9"/>
    <w:rsid w:val="009E7108"/>
    <w:rsid w:val="009E7874"/>
    <w:rsid w:val="009E7DCC"/>
    <w:rsid w:val="009F01A0"/>
    <w:rsid w:val="009F0777"/>
    <w:rsid w:val="009F07A1"/>
    <w:rsid w:val="009F0C0D"/>
    <w:rsid w:val="009F1BA9"/>
    <w:rsid w:val="009F2CC0"/>
    <w:rsid w:val="009F346E"/>
    <w:rsid w:val="009F3809"/>
    <w:rsid w:val="009F3E4A"/>
    <w:rsid w:val="009F44C6"/>
    <w:rsid w:val="009F5208"/>
    <w:rsid w:val="009F52D2"/>
    <w:rsid w:val="009F5343"/>
    <w:rsid w:val="009F5364"/>
    <w:rsid w:val="009F59C3"/>
    <w:rsid w:val="009F5A28"/>
    <w:rsid w:val="009F5A2E"/>
    <w:rsid w:val="009F5E87"/>
    <w:rsid w:val="009F6359"/>
    <w:rsid w:val="009F66EC"/>
    <w:rsid w:val="009F6D80"/>
    <w:rsid w:val="009F6F6A"/>
    <w:rsid w:val="009F7091"/>
    <w:rsid w:val="009F7677"/>
    <w:rsid w:val="009F7744"/>
    <w:rsid w:val="009F777A"/>
    <w:rsid w:val="009F79D5"/>
    <w:rsid w:val="00A00605"/>
    <w:rsid w:val="00A00A01"/>
    <w:rsid w:val="00A00D6D"/>
    <w:rsid w:val="00A0112C"/>
    <w:rsid w:val="00A014E6"/>
    <w:rsid w:val="00A01547"/>
    <w:rsid w:val="00A01961"/>
    <w:rsid w:val="00A0196F"/>
    <w:rsid w:val="00A01B9B"/>
    <w:rsid w:val="00A01FC1"/>
    <w:rsid w:val="00A01FF9"/>
    <w:rsid w:val="00A02810"/>
    <w:rsid w:val="00A02D84"/>
    <w:rsid w:val="00A037E5"/>
    <w:rsid w:val="00A0398A"/>
    <w:rsid w:val="00A0399C"/>
    <w:rsid w:val="00A03E24"/>
    <w:rsid w:val="00A04903"/>
    <w:rsid w:val="00A04DDF"/>
    <w:rsid w:val="00A04FFA"/>
    <w:rsid w:val="00A05500"/>
    <w:rsid w:val="00A0561A"/>
    <w:rsid w:val="00A059B5"/>
    <w:rsid w:val="00A05AAC"/>
    <w:rsid w:val="00A05CD0"/>
    <w:rsid w:val="00A05D3A"/>
    <w:rsid w:val="00A05F07"/>
    <w:rsid w:val="00A062D9"/>
    <w:rsid w:val="00A06340"/>
    <w:rsid w:val="00A064AB"/>
    <w:rsid w:val="00A067D3"/>
    <w:rsid w:val="00A0680F"/>
    <w:rsid w:val="00A068D0"/>
    <w:rsid w:val="00A06F1D"/>
    <w:rsid w:val="00A07146"/>
    <w:rsid w:val="00A07259"/>
    <w:rsid w:val="00A07832"/>
    <w:rsid w:val="00A07D18"/>
    <w:rsid w:val="00A100D7"/>
    <w:rsid w:val="00A104A9"/>
    <w:rsid w:val="00A108EF"/>
    <w:rsid w:val="00A10D24"/>
    <w:rsid w:val="00A111A9"/>
    <w:rsid w:val="00A11610"/>
    <w:rsid w:val="00A11A14"/>
    <w:rsid w:val="00A11DF0"/>
    <w:rsid w:val="00A11DF5"/>
    <w:rsid w:val="00A12108"/>
    <w:rsid w:val="00A130D9"/>
    <w:rsid w:val="00A1312A"/>
    <w:rsid w:val="00A133C8"/>
    <w:rsid w:val="00A13543"/>
    <w:rsid w:val="00A13B71"/>
    <w:rsid w:val="00A13B9D"/>
    <w:rsid w:val="00A13C15"/>
    <w:rsid w:val="00A13D37"/>
    <w:rsid w:val="00A14592"/>
    <w:rsid w:val="00A147C0"/>
    <w:rsid w:val="00A14847"/>
    <w:rsid w:val="00A15323"/>
    <w:rsid w:val="00A15ADA"/>
    <w:rsid w:val="00A16694"/>
    <w:rsid w:val="00A1680F"/>
    <w:rsid w:val="00A16862"/>
    <w:rsid w:val="00A16BA0"/>
    <w:rsid w:val="00A17351"/>
    <w:rsid w:val="00A176BE"/>
    <w:rsid w:val="00A17839"/>
    <w:rsid w:val="00A17B9D"/>
    <w:rsid w:val="00A17DD3"/>
    <w:rsid w:val="00A17F4E"/>
    <w:rsid w:val="00A200C8"/>
    <w:rsid w:val="00A20754"/>
    <w:rsid w:val="00A21063"/>
    <w:rsid w:val="00A21A9F"/>
    <w:rsid w:val="00A2242B"/>
    <w:rsid w:val="00A234AA"/>
    <w:rsid w:val="00A2381C"/>
    <w:rsid w:val="00A23ADD"/>
    <w:rsid w:val="00A24447"/>
    <w:rsid w:val="00A248C4"/>
    <w:rsid w:val="00A25A13"/>
    <w:rsid w:val="00A25C20"/>
    <w:rsid w:val="00A26027"/>
    <w:rsid w:val="00A2637B"/>
    <w:rsid w:val="00A2795A"/>
    <w:rsid w:val="00A2797F"/>
    <w:rsid w:val="00A30365"/>
    <w:rsid w:val="00A3078A"/>
    <w:rsid w:val="00A30C21"/>
    <w:rsid w:val="00A31285"/>
    <w:rsid w:val="00A31A5F"/>
    <w:rsid w:val="00A32241"/>
    <w:rsid w:val="00A3243E"/>
    <w:rsid w:val="00A3252D"/>
    <w:rsid w:val="00A3263E"/>
    <w:rsid w:val="00A3276E"/>
    <w:rsid w:val="00A32928"/>
    <w:rsid w:val="00A32941"/>
    <w:rsid w:val="00A336DB"/>
    <w:rsid w:val="00A341F6"/>
    <w:rsid w:val="00A34B77"/>
    <w:rsid w:val="00A34C17"/>
    <w:rsid w:val="00A350E1"/>
    <w:rsid w:val="00A35253"/>
    <w:rsid w:val="00A35723"/>
    <w:rsid w:val="00A35A7D"/>
    <w:rsid w:val="00A3659C"/>
    <w:rsid w:val="00A3669F"/>
    <w:rsid w:val="00A3705C"/>
    <w:rsid w:val="00A40476"/>
    <w:rsid w:val="00A4128F"/>
    <w:rsid w:val="00A428D3"/>
    <w:rsid w:val="00A42D74"/>
    <w:rsid w:val="00A43416"/>
    <w:rsid w:val="00A43893"/>
    <w:rsid w:val="00A43D23"/>
    <w:rsid w:val="00A43DD4"/>
    <w:rsid w:val="00A448D9"/>
    <w:rsid w:val="00A44A19"/>
    <w:rsid w:val="00A44D8C"/>
    <w:rsid w:val="00A44FF8"/>
    <w:rsid w:val="00A45C23"/>
    <w:rsid w:val="00A46909"/>
    <w:rsid w:val="00A46DE2"/>
    <w:rsid w:val="00A47012"/>
    <w:rsid w:val="00A50167"/>
    <w:rsid w:val="00A5109E"/>
    <w:rsid w:val="00A510AE"/>
    <w:rsid w:val="00A51345"/>
    <w:rsid w:val="00A51E3F"/>
    <w:rsid w:val="00A52AB6"/>
    <w:rsid w:val="00A53073"/>
    <w:rsid w:val="00A53456"/>
    <w:rsid w:val="00A534A5"/>
    <w:rsid w:val="00A53DCC"/>
    <w:rsid w:val="00A53F24"/>
    <w:rsid w:val="00A53FF2"/>
    <w:rsid w:val="00A54CE5"/>
    <w:rsid w:val="00A550B1"/>
    <w:rsid w:val="00A5537D"/>
    <w:rsid w:val="00A557D8"/>
    <w:rsid w:val="00A5629A"/>
    <w:rsid w:val="00A56BE4"/>
    <w:rsid w:val="00A5739B"/>
    <w:rsid w:val="00A57516"/>
    <w:rsid w:val="00A57F0F"/>
    <w:rsid w:val="00A6057D"/>
    <w:rsid w:val="00A60D9B"/>
    <w:rsid w:val="00A6100D"/>
    <w:rsid w:val="00A6150F"/>
    <w:rsid w:val="00A61DAF"/>
    <w:rsid w:val="00A61ED0"/>
    <w:rsid w:val="00A61F1C"/>
    <w:rsid w:val="00A6213F"/>
    <w:rsid w:val="00A624D2"/>
    <w:rsid w:val="00A62F0C"/>
    <w:rsid w:val="00A631A3"/>
    <w:rsid w:val="00A638A3"/>
    <w:rsid w:val="00A64133"/>
    <w:rsid w:val="00A64740"/>
    <w:rsid w:val="00A647E0"/>
    <w:rsid w:val="00A64B31"/>
    <w:rsid w:val="00A6558E"/>
    <w:rsid w:val="00A65D43"/>
    <w:rsid w:val="00A65DD7"/>
    <w:rsid w:val="00A662AE"/>
    <w:rsid w:val="00A671E9"/>
    <w:rsid w:val="00A7012E"/>
    <w:rsid w:val="00A70427"/>
    <w:rsid w:val="00A7074E"/>
    <w:rsid w:val="00A70F9C"/>
    <w:rsid w:val="00A71567"/>
    <w:rsid w:val="00A719E4"/>
    <w:rsid w:val="00A7292A"/>
    <w:rsid w:val="00A72BD3"/>
    <w:rsid w:val="00A72E07"/>
    <w:rsid w:val="00A732D0"/>
    <w:rsid w:val="00A736B6"/>
    <w:rsid w:val="00A736C3"/>
    <w:rsid w:val="00A75455"/>
    <w:rsid w:val="00A75FD6"/>
    <w:rsid w:val="00A76067"/>
    <w:rsid w:val="00A760A5"/>
    <w:rsid w:val="00A761CA"/>
    <w:rsid w:val="00A76B08"/>
    <w:rsid w:val="00A771DA"/>
    <w:rsid w:val="00A77847"/>
    <w:rsid w:val="00A77B72"/>
    <w:rsid w:val="00A804D8"/>
    <w:rsid w:val="00A806B5"/>
    <w:rsid w:val="00A81179"/>
    <w:rsid w:val="00A815C7"/>
    <w:rsid w:val="00A816AF"/>
    <w:rsid w:val="00A81865"/>
    <w:rsid w:val="00A81975"/>
    <w:rsid w:val="00A81E07"/>
    <w:rsid w:val="00A823A4"/>
    <w:rsid w:val="00A825DE"/>
    <w:rsid w:val="00A8290F"/>
    <w:rsid w:val="00A82960"/>
    <w:rsid w:val="00A82C05"/>
    <w:rsid w:val="00A82D02"/>
    <w:rsid w:val="00A82E72"/>
    <w:rsid w:val="00A83078"/>
    <w:rsid w:val="00A84083"/>
    <w:rsid w:val="00A84CEF"/>
    <w:rsid w:val="00A85A6C"/>
    <w:rsid w:val="00A865F3"/>
    <w:rsid w:val="00A86749"/>
    <w:rsid w:val="00A86767"/>
    <w:rsid w:val="00A86A47"/>
    <w:rsid w:val="00A876ED"/>
    <w:rsid w:val="00A87A15"/>
    <w:rsid w:val="00A87A58"/>
    <w:rsid w:val="00A87AF8"/>
    <w:rsid w:val="00A87FD3"/>
    <w:rsid w:val="00A902C7"/>
    <w:rsid w:val="00A90814"/>
    <w:rsid w:val="00A91116"/>
    <w:rsid w:val="00A91210"/>
    <w:rsid w:val="00A91F17"/>
    <w:rsid w:val="00A91FFE"/>
    <w:rsid w:val="00A92CF6"/>
    <w:rsid w:val="00A93A45"/>
    <w:rsid w:val="00A941ED"/>
    <w:rsid w:val="00A941F9"/>
    <w:rsid w:val="00A9474C"/>
    <w:rsid w:val="00A9490F"/>
    <w:rsid w:val="00A94943"/>
    <w:rsid w:val="00A94AA8"/>
    <w:rsid w:val="00A94BD8"/>
    <w:rsid w:val="00A94ECA"/>
    <w:rsid w:val="00A951CB"/>
    <w:rsid w:val="00A954DC"/>
    <w:rsid w:val="00A95897"/>
    <w:rsid w:val="00A95D1D"/>
    <w:rsid w:val="00A96432"/>
    <w:rsid w:val="00A968DC"/>
    <w:rsid w:val="00A96FC1"/>
    <w:rsid w:val="00A975BB"/>
    <w:rsid w:val="00A97C4C"/>
    <w:rsid w:val="00AA03E2"/>
    <w:rsid w:val="00AA0AC8"/>
    <w:rsid w:val="00AA0D1F"/>
    <w:rsid w:val="00AA0E14"/>
    <w:rsid w:val="00AA0EE2"/>
    <w:rsid w:val="00AA1088"/>
    <w:rsid w:val="00AA1367"/>
    <w:rsid w:val="00AA136F"/>
    <w:rsid w:val="00AA1707"/>
    <w:rsid w:val="00AA1849"/>
    <w:rsid w:val="00AA1C2F"/>
    <w:rsid w:val="00AA2D9E"/>
    <w:rsid w:val="00AA2F3A"/>
    <w:rsid w:val="00AA3562"/>
    <w:rsid w:val="00AA3AF4"/>
    <w:rsid w:val="00AA3E72"/>
    <w:rsid w:val="00AA4032"/>
    <w:rsid w:val="00AA4440"/>
    <w:rsid w:val="00AA45B9"/>
    <w:rsid w:val="00AA491B"/>
    <w:rsid w:val="00AA4A10"/>
    <w:rsid w:val="00AA4B60"/>
    <w:rsid w:val="00AA6158"/>
    <w:rsid w:val="00AA79F9"/>
    <w:rsid w:val="00AA7C57"/>
    <w:rsid w:val="00AA7FA7"/>
    <w:rsid w:val="00AB0A9F"/>
    <w:rsid w:val="00AB1B2B"/>
    <w:rsid w:val="00AB2A63"/>
    <w:rsid w:val="00AB35AF"/>
    <w:rsid w:val="00AB39F9"/>
    <w:rsid w:val="00AB3B08"/>
    <w:rsid w:val="00AB3DA5"/>
    <w:rsid w:val="00AB4BA1"/>
    <w:rsid w:val="00AB4E2C"/>
    <w:rsid w:val="00AB51A3"/>
    <w:rsid w:val="00AB55F7"/>
    <w:rsid w:val="00AB5761"/>
    <w:rsid w:val="00AB62CA"/>
    <w:rsid w:val="00AB64BD"/>
    <w:rsid w:val="00AB6520"/>
    <w:rsid w:val="00AB655E"/>
    <w:rsid w:val="00AB7372"/>
    <w:rsid w:val="00AB78C2"/>
    <w:rsid w:val="00AB7C18"/>
    <w:rsid w:val="00AC052F"/>
    <w:rsid w:val="00AC1012"/>
    <w:rsid w:val="00AC112C"/>
    <w:rsid w:val="00AC19CD"/>
    <w:rsid w:val="00AC1DE7"/>
    <w:rsid w:val="00AC2B04"/>
    <w:rsid w:val="00AC2C8E"/>
    <w:rsid w:val="00AC3B9F"/>
    <w:rsid w:val="00AC45AF"/>
    <w:rsid w:val="00AC4829"/>
    <w:rsid w:val="00AC48B8"/>
    <w:rsid w:val="00AC4A28"/>
    <w:rsid w:val="00AC4C73"/>
    <w:rsid w:val="00AC4E2D"/>
    <w:rsid w:val="00AC5353"/>
    <w:rsid w:val="00AC53BF"/>
    <w:rsid w:val="00AC547A"/>
    <w:rsid w:val="00AC5621"/>
    <w:rsid w:val="00AC59C7"/>
    <w:rsid w:val="00AC5A51"/>
    <w:rsid w:val="00AC5BBE"/>
    <w:rsid w:val="00AC5DDF"/>
    <w:rsid w:val="00AC601C"/>
    <w:rsid w:val="00AC62F1"/>
    <w:rsid w:val="00AC6B2A"/>
    <w:rsid w:val="00AC6B46"/>
    <w:rsid w:val="00AC6B9B"/>
    <w:rsid w:val="00AC6BD3"/>
    <w:rsid w:val="00AC6F8E"/>
    <w:rsid w:val="00AC761A"/>
    <w:rsid w:val="00AC7781"/>
    <w:rsid w:val="00AC78BF"/>
    <w:rsid w:val="00AC7B98"/>
    <w:rsid w:val="00AC7F08"/>
    <w:rsid w:val="00AD007C"/>
    <w:rsid w:val="00AD0200"/>
    <w:rsid w:val="00AD056B"/>
    <w:rsid w:val="00AD092F"/>
    <w:rsid w:val="00AD0AA5"/>
    <w:rsid w:val="00AD0BA9"/>
    <w:rsid w:val="00AD103D"/>
    <w:rsid w:val="00AD152B"/>
    <w:rsid w:val="00AD2855"/>
    <w:rsid w:val="00AD28AF"/>
    <w:rsid w:val="00AD37C7"/>
    <w:rsid w:val="00AD3991"/>
    <w:rsid w:val="00AD3AFD"/>
    <w:rsid w:val="00AD4123"/>
    <w:rsid w:val="00AD4304"/>
    <w:rsid w:val="00AD44FA"/>
    <w:rsid w:val="00AD47FE"/>
    <w:rsid w:val="00AD55FC"/>
    <w:rsid w:val="00AD59B8"/>
    <w:rsid w:val="00AD5D4E"/>
    <w:rsid w:val="00AD63AC"/>
    <w:rsid w:val="00AE0678"/>
    <w:rsid w:val="00AE0749"/>
    <w:rsid w:val="00AE092C"/>
    <w:rsid w:val="00AE115B"/>
    <w:rsid w:val="00AE1774"/>
    <w:rsid w:val="00AE1DB2"/>
    <w:rsid w:val="00AE28F7"/>
    <w:rsid w:val="00AE31CA"/>
    <w:rsid w:val="00AE3819"/>
    <w:rsid w:val="00AE38D6"/>
    <w:rsid w:val="00AE3DB1"/>
    <w:rsid w:val="00AE3DE1"/>
    <w:rsid w:val="00AE4486"/>
    <w:rsid w:val="00AE4BAD"/>
    <w:rsid w:val="00AE5177"/>
    <w:rsid w:val="00AE6423"/>
    <w:rsid w:val="00AE6430"/>
    <w:rsid w:val="00AE6529"/>
    <w:rsid w:val="00AE6B59"/>
    <w:rsid w:val="00AE6F22"/>
    <w:rsid w:val="00AE7078"/>
    <w:rsid w:val="00AE729E"/>
    <w:rsid w:val="00AE747B"/>
    <w:rsid w:val="00AE787A"/>
    <w:rsid w:val="00AF031A"/>
    <w:rsid w:val="00AF1425"/>
    <w:rsid w:val="00AF215A"/>
    <w:rsid w:val="00AF2205"/>
    <w:rsid w:val="00AF223C"/>
    <w:rsid w:val="00AF256B"/>
    <w:rsid w:val="00AF316D"/>
    <w:rsid w:val="00AF37A8"/>
    <w:rsid w:val="00AF38B9"/>
    <w:rsid w:val="00AF41B2"/>
    <w:rsid w:val="00AF496F"/>
    <w:rsid w:val="00AF4A4C"/>
    <w:rsid w:val="00AF502F"/>
    <w:rsid w:val="00AF51DC"/>
    <w:rsid w:val="00AF64A6"/>
    <w:rsid w:val="00AF656D"/>
    <w:rsid w:val="00AF74E0"/>
    <w:rsid w:val="00AF7E14"/>
    <w:rsid w:val="00B00469"/>
    <w:rsid w:val="00B00B1F"/>
    <w:rsid w:val="00B01222"/>
    <w:rsid w:val="00B01A0A"/>
    <w:rsid w:val="00B01E2C"/>
    <w:rsid w:val="00B02949"/>
    <w:rsid w:val="00B031AE"/>
    <w:rsid w:val="00B03297"/>
    <w:rsid w:val="00B033CB"/>
    <w:rsid w:val="00B03556"/>
    <w:rsid w:val="00B0372C"/>
    <w:rsid w:val="00B03F02"/>
    <w:rsid w:val="00B0434D"/>
    <w:rsid w:val="00B047DA"/>
    <w:rsid w:val="00B04A01"/>
    <w:rsid w:val="00B04B98"/>
    <w:rsid w:val="00B04DB7"/>
    <w:rsid w:val="00B05BB5"/>
    <w:rsid w:val="00B05EF5"/>
    <w:rsid w:val="00B060CD"/>
    <w:rsid w:val="00B0644B"/>
    <w:rsid w:val="00B06EE4"/>
    <w:rsid w:val="00B07322"/>
    <w:rsid w:val="00B07539"/>
    <w:rsid w:val="00B07606"/>
    <w:rsid w:val="00B076E0"/>
    <w:rsid w:val="00B07948"/>
    <w:rsid w:val="00B07D2E"/>
    <w:rsid w:val="00B07EB6"/>
    <w:rsid w:val="00B07EE8"/>
    <w:rsid w:val="00B104E2"/>
    <w:rsid w:val="00B11378"/>
    <w:rsid w:val="00B11E45"/>
    <w:rsid w:val="00B12370"/>
    <w:rsid w:val="00B126EA"/>
    <w:rsid w:val="00B12D76"/>
    <w:rsid w:val="00B13897"/>
    <w:rsid w:val="00B13C0A"/>
    <w:rsid w:val="00B13F7B"/>
    <w:rsid w:val="00B145C0"/>
    <w:rsid w:val="00B147DC"/>
    <w:rsid w:val="00B14BD5"/>
    <w:rsid w:val="00B14E78"/>
    <w:rsid w:val="00B153A2"/>
    <w:rsid w:val="00B15AA3"/>
    <w:rsid w:val="00B15DB3"/>
    <w:rsid w:val="00B15E13"/>
    <w:rsid w:val="00B16187"/>
    <w:rsid w:val="00B16946"/>
    <w:rsid w:val="00B16C6B"/>
    <w:rsid w:val="00B178B9"/>
    <w:rsid w:val="00B17933"/>
    <w:rsid w:val="00B17B9D"/>
    <w:rsid w:val="00B17BD4"/>
    <w:rsid w:val="00B20310"/>
    <w:rsid w:val="00B20DC2"/>
    <w:rsid w:val="00B21386"/>
    <w:rsid w:val="00B214F3"/>
    <w:rsid w:val="00B21907"/>
    <w:rsid w:val="00B2261F"/>
    <w:rsid w:val="00B227BB"/>
    <w:rsid w:val="00B22950"/>
    <w:rsid w:val="00B22BAB"/>
    <w:rsid w:val="00B23131"/>
    <w:rsid w:val="00B23774"/>
    <w:rsid w:val="00B23E74"/>
    <w:rsid w:val="00B241B6"/>
    <w:rsid w:val="00B24760"/>
    <w:rsid w:val="00B24AC2"/>
    <w:rsid w:val="00B24F67"/>
    <w:rsid w:val="00B2537E"/>
    <w:rsid w:val="00B25A06"/>
    <w:rsid w:val="00B26974"/>
    <w:rsid w:val="00B26AC8"/>
    <w:rsid w:val="00B26C67"/>
    <w:rsid w:val="00B27174"/>
    <w:rsid w:val="00B27697"/>
    <w:rsid w:val="00B276B9"/>
    <w:rsid w:val="00B304D5"/>
    <w:rsid w:val="00B30789"/>
    <w:rsid w:val="00B30909"/>
    <w:rsid w:val="00B309AC"/>
    <w:rsid w:val="00B30A63"/>
    <w:rsid w:val="00B30A79"/>
    <w:rsid w:val="00B30D7F"/>
    <w:rsid w:val="00B30DE6"/>
    <w:rsid w:val="00B321A4"/>
    <w:rsid w:val="00B32329"/>
    <w:rsid w:val="00B324CA"/>
    <w:rsid w:val="00B3274C"/>
    <w:rsid w:val="00B32BC1"/>
    <w:rsid w:val="00B3318D"/>
    <w:rsid w:val="00B34501"/>
    <w:rsid w:val="00B34641"/>
    <w:rsid w:val="00B34653"/>
    <w:rsid w:val="00B34BA6"/>
    <w:rsid w:val="00B34F51"/>
    <w:rsid w:val="00B35069"/>
    <w:rsid w:val="00B35602"/>
    <w:rsid w:val="00B35BD8"/>
    <w:rsid w:val="00B3603F"/>
    <w:rsid w:val="00B36045"/>
    <w:rsid w:val="00B36620"/>
    <w:rsid w:val="00B366BE"/>
    <w:rsid w:val="00B3678F"/>
    <w:rsid w:val="00B3693D"/>
    <w:rsid w:val="00B36A52"/>
    <w:rsid w:val="00B371FE"/>
    <w:rsid w:val="00B37351"/>
    <w:rsid w:val="00B37395"/>
    <w:rsid w:val="00B37E04"/>
    <w:rsid w:val="00B37E38"/>
    <w:rsid w:val="00B40098"/>
    <w:rsid w:val="00B401A0"/>
    <w:rsid w:val="00B40209"/>
    <w:rsid w:val="00B408A5"/>
    <w:rsid w:val="00B40AEC"/>
    <w:rsid w:val="00B40D68"/>
    <w:rsid w:val="00B40FCF"/>
    <w:rsid w:val="00B41314"/>
    <w:rsid w:val="00B41530"/>
    <w:rsid w:val="00B41598"/>
    <w:rsid w:val="00B41767"/>
    <w:rsid w:val="00B41869"/>
    <w:rsid w:val="00B418C1"/>
    <w:rsid w:val="00B41BB3"/>
    <w:rsid w:val="00B41D1F"/>
    <w:rsid w:val="00B41FE3"/>
    <w:rsid w:val="00B426B4"/>
    <w:rsid w:val="00B42E25"/>
    <w:rsid w:val="00B42FE3"/>
    <w:rsid w:val="00B437DA"/>
    <w:rsid w:val="00B4435E"/>
    <w:rsid w:val="00B445BE"/>
    <w:rsid w:val="00B447AF"/>
    <w:rsid w:val="00B45603"/>
    <w:rsid w:val="00B46001"/>
    <w:rsid w:val="00B46158"/>
    <w:rsid w:val="00B463B8"/>
    <w:rsid w:val="00B46420"/>
    <w:rsid w:val="00B46748"/>
    <w:rsid w:val="00B50015"/>
    <w:rsid w:val="00B50822"/>
    <w:rsid w:val="00B50944"/>
    <w:rsid w:val="00B50B66"/>
    <w:rsid w:val="00B50BA8"/>
    <w:rsid w:val="00B5185B"/>
    <w:rsid w:val="00B51976"/>
    <w:rsid w:val="00B51D50"/>
    <w:rsid w:val="00B51F7F"/>
    <w:rsid w:val="00B520A5"/>
    <w:rsid w:val="00B522E6"/>
    <w:rsid w:val="00B5257F"/>
    <w:rsid w:val="00B52ABA"/>
    <w:rsid w:val="00B52BF7"/>
    <w:rsid w:val="00B52CC1"/>
    <w:rsid w:val="00B532F0"/>
    <w:rsid w:val="00B532F4"/>
    <w:rsid w:val="00B537C6"/>
    <w:rsid w:val="00B53BC2"/>
    <w:rsid w:val="00B53F2E"/>
    <w:rsid w:val="00B540DA"/>
    <w:rsid w:val="00B5492B"/>
    <w:rsid w:val="00B54B24"/>
    <w:rsid w:val="00B54C33"/>
    <w:rsid w:val="00B55082"/>
    <w:rsid w:val="00B56420"/>
    <w:rsid w:val="00B56EFE"/>
    <w:rsid w:val="00B56F38"/>
    <w:rsid w:val="00B5751B"/>
    <w:rsid w:val="00B57934"/>
    <w:rsid w:val="00B57F87"/>
    <w:rsid w:val="00B6043B"/>
    <w:rsid w:val="00B604FB"/>
    <w:rsid w:val="00B60F36"/>
    <w:rsid w:val="00B612D7"/>
    <w:rsid w:val="00B61300"/>
    <w:rsid w:val="00B61975"/>
    <w:rsid w:val="00B61E5C"/>
    <w:rsid w:val="00B62001"/>
    <w:rsid w:val="00B62049"/>
    <w:rsid w:val="00B62430"/>
    <w:rsid w:val="00B62A42"/>
    <w:rsid w:val="00B63297"/>
    <w:rsid w:val="00B6376E"/>
    <w:rsid w:val="00B6414C"/>
    <w:rsid w:val="00B64344"/>
    <w:rsid w:val="00B64720"/>
    <w:rsid w:val="00B64B92"/>
    <w:rsid w:val="00B64B98"/>
    <w:rsid w:val="00B64CF5"/>
    <w:rsid w:val="00B65620"/>
    <w:rsid w:val="00B6618B"/>
    <w:rsid w:val="00B66328"/>
    <w:rsid w:val="00B66488"/>
    <w:rsid w:val="00B66A85"/>
    <w:rsid w:val="00B672DF"/>
    <w:rsid w:val="00B676E3"/>
    <w:rsid w:val="00B67C74"/>
    <w:rsid w:val="00B67CBB"/>
    <w:rsid w:val="00B67F01"/>
    <w:rsid w:val="00B7078E"/>
    <w:rsid w:val="00B710A2"/>
    <w:rsid w:val="00B7127E"/>
    <w:rsid w:val="00B72A20"/>
    <w:rsid w:val="00B736B3"/>
    <w:rsid w:val="00B73F90"/>
    <w:rsid w:val="00B7428F"/>
    <w:rsid w:val="00B74946"/>
    <w:rsid w:val="00B74A09"/>
    <w:rsid w:val="00B74E9C"/>
    <w:rsid w:val="00B7511C"/>
    <w:rsid w:val="00B75291"/>
    <w:rsid w:val="00B75C7A"/>
    <w:rsid w:val="00B75CF6"/>
    <w:rsid w:val="00B76315"/>
    <w:rsid w:val="00B765AA"/>
    <w:rsid w:val="00B76958"/>
    <w:rsid w:val="00B7771C"/>
    <w:rsid w:val="00B80619"/>
    <w:rsid w:val="00B807ED"/>
    <w:rsid w:val="00B813B8"/>
    <w:rsid w:val="00B81547"/>
    <w:rsid w:val="00B81AEE"/>
    <w:rsid w:val="00B81FC8"/>
    <w:rsid w:val="00B82734"/>
    <w:rsid w:val="00B82DF7"/>
    <w:rsid w:val="00B832CB"/>
    <w:rsid w:val="00B833B2"/>
    <w:rsid w:val="00B837BB"/>
    <w:rsid w:val="00B83CAC"/>
    <w:rsid w:val="00B83E7A"/>
    <w:rsid w:val="00B83E99"/>
    <w:rsid w:val="00B845C2"/>
    <w:rsid w:val="00B84E36"/>
    <w:rsid w:val="00B853B0"/>
    <w:rsid w:val="00B858C7"/>
    <w:rsid w:val="00B85DF0"/>
    <w:rsid w:val="00B864E2"/>
    <w:rsid w:val="00B86B0C"/>
    <w:rsid w:val="00B87070"/>
    <w:rsid w:val="00B87687"/>
    <w:rsid w:val="00B877B1"/>
    <w:rsid w:val="00B87A24"/>
    <w:rsid w:val="00B87B38"/>
    <w:rsid w:val="00B87E48"/>
    <w:rsid w:val="00B90215"/>
    <w:rsid w:val="00B904FF"/>
    <w:rsid w:val="00B90683"/>
    <w:rsid w:val="00B90A7A"/>
    <w:rsid w:val="00B90F08"/>
    <w:rsid w:val="00B9132C"/>
    <w:rsid w:val="00B9150F"/>
    <w:rsid w:val="00B91674"/>
    <w:rsid w:val="00B930A3"/>
    <w:rsid w:val="00B93128"/>
    <w:rsid w:val="00B93287"/>
    <w:rsid w:val="00B93662"/>
    <w:rsid w:val="00B951DF"/>
    <w:rsid w:val="00B9534F"/>
    <w:rsid w:val="00B95D6F"/>
    <w:rsid w:val="00B96069"/>
    <w:rsid w:val="00B96C00"/>
    <w:rsid w:val="00B9701F"/>
    <w:rsid w:val="00B977AF"/>
    <w:rsid w:val="00B97932"/>
    <w:rsid w:val="00B97BD3"/>
    <w:rsid w:val="00BA0133"/>
    <w:rsid w:val="00BA0613"/>
    <w:rsid w:val="00BA095F"/>
    <w:rsid w:val="00BA09DF"/>
    <w:rsid w:val="00BA1036"/>
    <w:rsid w:val="00BA17DD"/>
    <w:rsid w:val="00BA1BD9"/>
    <w:rsid w:val="00BA28AA"/>
    <w:rsid w:val="00BA2A9E"/>
    <w:rsid w:val="00BA3487"/>
    <w:rsid w:val="00BA3896"/>
    <w:rsid w:val="00BA3D68"/>
    <w:rsid w:val="00BA3FBD"/>
    <w:rsid w:val="00BA46F8"/>
    <w:rsid w:val="00BA53C4"/>
    <w:rsid w:val="00BA53D1"/>
    <w:rsid w:val="00BA5869"/>
    <w:rsid w:val="00BA5D46"/>
    <w:rsid w:val="00BA5DEA"/>
    <w:rsid w:val="00BA5E15"/>
    <w:rsid w:val="00BA6059"/>
    <w:rsid w:val="00BA60AC"/>
    <w:rsid w:val="00BA616F"/>
    <w:rsid w:val="00BA650A"/>
    <w:rsid w:val="00BA6601"/>
    <w:rsid w:val="00BA7A83"/>
    <w:rsid w:val="00BB00E3"/>
    <w:rsid w:val="00BB0967"/>
    <w:rsid w:val="00BB0BCF"/>
    <w:rsid w:val="00BB0EE5"/>
    <w:rsid w:val="00BB139D"/>
    <w:rsid w:val="00BB1580"/>
    <w:rsid w:val="00BB167E"/>
    <w:rsid w:val="00BB1A4B"/>
    <w:rsid w:val="00BB2292"/>
    <w:rsid w:val="00BB2536"/>
    <w:rsid w:val="00BB2624"/>
    <w:rsid w:val="00BB281C"/>
    <w:rsid w:val="00BB281E"/>
    <w:rsid w:val="00BB2B66"/>
    <w:rsid w:val="00BB318C"/>
    <w:rsid w:val="00BB36CA"/>
    <w:rsid w:val="00BB3ADB"/>
    <w:rsid w:val="00BB40CB"/>
    <w:rsid w:val="00BB40DC"/>
    <w:rsid w:val="00BB419B"/>
    <w:rsid w:val="00BB4437"/>
    <w:rsid w:val="00BB4439"/>
    <w:rsid w:val="00BB4DFB"/>
    <w:rsid w:val="00BB55F5"/>
    <w:rsid w:val="00BB56C1"/>
    <w:rsid w:val="00BB57C0"/>
    <w:rsid w:val="00BB5940"/>
    <w:rsid w:val="00BB70F3"/>
    <w:rsid w:val="00BB72F4"/>
    <w:rsid w:val="00BB77B1"/>
    <w:rsid w:val="00BB7C70"/>
    <w:rsid w:val="00BC002B"/>
    <w:rsid w:val="00BC01DC"/>
    <w:rsid w:val="00BC0602"/>
    <w:rsid w:val="00BC1078"/>
    <w:rsid w:val="00BC2985"/>
    <w:rsid w:val="00BC2F00"/>
    <w:rsid w:val="00BC2F8F"/>
    <w:rsid w:val="00BC3209"/>
    <w:rsid w:val="00BC325A"/>
    <w:rsid w:val="00BC37E9"/>
    <w:rsid w:val="00BC3BCD"/>
    <w:rsid w:val="00BC3CA5"/>
    <w:rsid w:val="00BC4256"/>
    <w:rsid w:val="00BC44B8"/>
    <w:rsid w:val="00BC4A97"/>
    <w:rsid w:val="00BC4B08"/>
    <w:rsid w:val="00BC4DCA"/>
    <w:rsid w:val="00BC58D6"/>
    <w:rsid w:val="00BC5AA3"/>
    <w:rsid w:val="00BC6469"/>
    <w:rsid w:val="00BC653A"/>
    <w:rsid w:val="00BC6EFE"/>
    <w:rsid w:val="00BC7716"/>
    <w:rsid w:val="00BC77AB"/>
    <w:rsid w:val="00BC7BA4"/>
    <w:rsid w:val="00BC7D3F"/>
    <w:rsid w:val="00BC7FCD"/>
    <w:rsid w:val="00BD0938"/>
    <w:rsid w:val="00BD0CD5"/>
    <w:rsid w:val="00BD0D8A"/>
    <w:rsid w:val="00BD17E4"/>
    <w:rsid w:val="00BD1C05"/>
    <w:rsid w:val="00BD1CF8"/>
    <w:rsid w:val="00BD2130"/>
    <w:rsid w:val="00BD2302"/>
    <w:rsid w:val="00BD27EC"/>
    <w:rsid w:val="00BD3378"/>
    <w:rsid w:val="00BD3450"/>
    <w:rsid w:val="00BD364D"/>
    <w:rsid w:val="00BD40DF"/>
    <w:rsid w:val="00BD46FC"/>
    <w:rsid w:val="00BD4C33"/>
    <w:rsid w:val="00BD5421"/>
    <w:rsid w:val="00BD577A"/>
    <w:rsid w:val="00BD594F"/>
    <w:rsid w:val="00BD650F"/>
    <w:rsid w:val="00BD7165"/>
    <w:rsid w:val="00BD7301"/>
    <w:rsid w:val="00BD74C0"/>
    <w:rsid w:val="00BD75CE"/>
    <w:rsid w:val="00BD7668"/>
    <w:rsid w:val="00BD7B84"/>
    <w:rsid w:val="00BE03ED"/>
    <w:rsid w:val="00BE0498"/>
    <w:rsid w:val="00BE10AA"/>
    <w:rsid w:val="00BE13C3"/>
    <w:rsid w:val="00BE15D9"/>
    <w:rsid w:val="00BE170E"/>
    <w:rsid w:val="00BE3124"/>
    <w:rsid w:val="00BE3F4B"/>
    <w:rsid w:val="00BE4646"/>
    <w:rsid w:val="00BE470F"/>
    <w:rsid w:val="00BE477F"/>
    <w:rsid w:val="00BE4904"/>
    <w:rsid w:val="00BE4E72"/>
    <w:rsid w:val="00BE5150"/>
    <w:rsid w:val="00BE587D"/>
    <w:rsid w:val="00BE65F7"/>
    <w:rsid w:val="00BE6BA9"/>
    <w:rsid w:val="00BE74C7"/>
    <w:rsid w:val="00BE75FF"/>
    <w:rsid w:val="00BE76B3"/>
    <w:rsid w:val="00BF04B6"/>
    <w:rsid w:val="00BF081B"/>
    <w:rsid w:val="00BF1465"/>
    <w:rsid w:val="00BF1B87"/>
    <w:rsid w:val="00BF1C2C"/>
    <w:rsid w:val="00BF24B4"/>
    <w:rsid w:val="00BF2C02"/>
    <w:rsid w:val="00BF4526"/>
    <w:rsid w:val="00BF4950"/>
    <w:rsid w:val="00BF5708"/>
    <w:rsid w:val="00BF592A"/>
    <w:rsid w:val="00BF5A56"/>
    <w:rsid w:val="00BF6674"/>
    <w:rsid w:val="00BF68F6"/>
    <w:rsid w:val="00BF75A4"/>
    <w:rsid w:val="00C00343"/>
    <w:rsid w:val="00C00770"/>
    <w:rsid w:val="00C00CA8"/>
    <w:rsid w:val="00C01B8A"/>
    <w:rsid w:val="00C02233"/>
    <w:rsid w:val="00C023A1"/>
    <w:rsid w:val="00C023D4"/>
    <w:rsid w:val="00C0287B"/>
    <w:rsid w:val="00C02D22"/>
    <w:rsid w:val="00C02E67"/>
    <w:rsid w:val="00C02E8E"/>
    <w:rsid w:val="00C03636"/>
    <w:rsid w:val="00C03889"/>
    <w:rsid w:val="00C038E1"/>
    <w:rsid w:val="00C038EE"/>
    <w:rsid w:val="00C03AE9"/>
    <w:rsid w:val="00C0518F"/>
    <w:rsid w:val="00C0535D"/>
    <w:rsid w:val="00C05723"/>
    <w:rsid w:val="00C05C43"/>
    <w:rsid w:val="00C061E1"/>
    <w:rsid w:val="00C06CC2"/>
    <w:rsid w:val="00C070D2"/>
    <w:rsid w:val="00C071E7"/>
    <w:rsid w:val="00C10569"/>
    <w:rsid w:val="00C1126D"/>
    <w:rsid w:val="00C113C1"/>
    <w:rsid w:val="00C117AE"/>
    <w:rsid w:val="00C12AF1"/>
    <w:rsid w:val="00C12C0F"/>
    <w:rsid w:val="00C12D18"/>
    <w:rsid w:val="00C12DFF"/>
    <w:rsid w:val="00C134E0"/>
    <w:rsid w:val="00C1448F"/>
    <w:rsid w:val="00C151D3"/>
    <w:rsid w:val="00C166EE"/>
    <w:rsid w:val="00C167A8"/>
    <w:rsid w:val="00C169FC"/>
    <w:rsid w:val="00C179CC"/>
    <w:rsid w:val="00C17A64"/>
    <w:rsid w:val="00C20F17"/>
    <w:rsid w:val="00C2162F"/>
    <w:rsid w:val="00C21D81"/>
    <w:rsid w:val="00C21E1D"/>
    <w:rsid w:val="00C223C3"/>
    <w:rsid w:val="00C2255C"/>
    <w:rsid w:val="00C2298C"/>
    <w:rsid w:val="00C22C23"/>
    <w:rsid w:val="00C22EC1"/>
    <w:rsid w:val="00C22ED3"/>
    <w:rsid w:val="00C23420"/>
    <w:rsid w:val="00C23792"/>
    <w:rsid w:val="00C237FE"/>
    <w:rsid w:val="00C23967"/>
    <w:rsid w:val="00C24273"/>
    <w:rsid w:val="00C24621"/>
    <w:rsid w:val="00C248E9"/>
    <w:rsid w:val="00C24CB5"/>
    <w:rsid w:val="00C24CDC"/>
    <w:rsid w:val="00C25513"/>
    <w:rsid w:val="00C2573A"/>
    <w:rsid w:val="00C26240"/>
    <w:rsid w:val="00C26689"/>
    <w:rsid w:val="00C27886"/>
    <w:rsid w:val="00C302D8"/>
    <w:rsid w:val="00C30329"/>
    <w:rsid w:val="00C305E7"/>
    <w:rsid w:val="00C3079C"/>
    <w:rsid w:val="00C30F3F"/>
    <w:rsid w:val="00C30F76"/>
    <w:rsid w:val="00C3119D"/>
    <w:rsid w:val="00C31D19"/>
    <w:rsid w:val="00C323DF"/>
    <w:rsid w:val="00C32854"/>
    <w:rsid w:val="00C329D5"/>
    <w:rsid w:val="00C32C33"/>
    <w:rsid w:val="00C33204"/>
    <w:rsid w:val="00C33570"/>
    <w:rsid w:val="00C33CB3"/>
    <w:rsid w:val="00C33E27"/>
    <w:rsid w:val="00C35A5F"/>
    <w:rsid w:val="00C36549"/>
    <w:rsid w:val="00C369A4"/>
    <w:rsid w:val="00C36A15"/>
    <w:rsid w:val="00C3749E"/>
    <w:rsid w:val="00C37A0A"/>
    <w:rsid w:val="00C400D5"/>
    <w:rsid w:val="00C408E8"/>
    <w:rsid w:val="00C40AFF"/>
    <w:rsid w:val="00C40C7C"/>
    <w:rsid w:val="00C41D80"/>
    <w:rsid w:val="00C42203"/>
    <w:rsid w:val="00C42F69"/>
    <w:rsid w:val="00C434D2"/>
    <w:rsid w:val="00C436E3"/>
    <w:rsid w:val="00C43BB0"/>
    <w:rsid w:val="00C43BEC"/>
    <w:rsid w:val="00C43F0F"/>
    <w:rsid w:val="00C43F5F"/>
    <w:rsid w:val="00C43FE9"/>
    <w:rsid w:val="00C440EE"/>
    <w:rsid w:val="00C4413D"/>
    <w:rsid w:val="00C4426E"/>
    <w:rsid w:val="00C445C1"/>
    <w:rsid w:val="00C44B50"/>
    <w:rsid w:val="00C44EC1"/>
    <w:rsid w:val="00C44FFB"/>
    <w:rsid w:val="00C45657"/>
    <w:rsid w:val="00C45ABC"/>
    <w:rsid w:val="00C45ADC"/>
    <w:rsid w:val="00C45E8F"/>
    <w:rsid w:val="00C467CA"/>
    <w:rsid w:val="00C47BAD"/>
    <w:rsid w:val="00C47C9F"/>
    <w:rsid w:val="00C47D02"/>
    <w:rsid w:val="00C47EFF"/>
    <w:rsid w:val="00C500A8"/>
    <w:rsid w:val="00C50490"/>
    <w:rsid w:val="00C504D2"/>
    <w:rsid w:val="00C507EA"/>
    <w:rsid w:val="00C51DE7"/>
    <w:rsid w:val="00C520E8"/>
    <w:rsid w:val="00C523EE"/>
    <w:rsid w:val="00C52DCE"/>
    <w:rsid w:val="00C535D9"/>
    <w:rsid w:val="00C54A88"/>
    <w:rsid w:val="00C55BAA"/>
    <w:rsid w:val="00C569AC"/>
    <w:rsid w:val="00C569D9"/>
    <w:rsid w:val="00C56AD2"/>
    <w:rsid w:val="00C575A1"/>
    <w:rsid w:val="00C576E1"/>
    <w:rsid w:val="00C57B3F"/>
    <w:rsid w:val="00C57D20"/>
    <w:rsid w:val="00C6028E"/>
    <w:rsid w:val="00C60998"/>
    <w:rsid w:val="00C6127F"/>
    <w:rsid w:val="00C61862"/>
    <w:rsid w:val="00C618EF"/>
    <w:rsid w:val="00C62148"/>
    <w:rsid w:val="00C625C9"/>
    <w:rsid w:val="00C62CDD"/>
    <w:rsid w:val="00C62FA3"/>
    <w:rsid w:val="00C63209"/>
    <w:rsid w:val="00C63537"/>
    <w:rsid w:val="00C6428E"/>
    <w:rsid w:val="00C6453C"/>
    <w:rsid w:val="00C6472E"/>
    <w:rsid w:val="00C64CA3"/>
    <w:rsid w:val="00C64D45"/>
    <w:rsid w:val="00C658A0"/>
    <w:rsid w:val="00C6595A"/>
    <w:rsid w:val="00C65B34"/>
    <w:rsid w:val="00C66BEE"/>
    <w:rsid w:val="00C66CD4"/>
    <w:rsid w:val="00C6711A"/>
    <w:rsid w:val="00C679B4"/>
    <w:rsid w:val="00C67C0A"/>
    <w:rsid w:val="00C70BFC"/>
    <w:rsid w:val="00C71673"/>
    <w:rsid w:val="00C71A57"/>
    <w:rsid w:val="00C72332"/>
    <w:rsid w:val="00C7257F"/>
    <w:rsid w:val="00C726DD"/>
    <w:rsid w:val="00C72AAD"/>
    <w:rsid w:val="00C73771"/>
    <w:rsid w:val="00C73DCD"/>
    <w:rsid w:val="00C73E30"/>
    <w:rsid w:val="00C744C2"/>
    <w:rsid w:val="00C7526B"/>
    <w:rsid w:val="00C753E0"/>
    <w:rsid w:val="00C76102"/>
    <w:rsid w:val="00C768FE"/>
    <w:rsid w:val="00C769B0"/>
    <w:rsid w:val="00C76ECC"/>
    <w:rsid w:val="00C76F1F"/>
    <w:rsid w:val="00C7705A"/>
    <w:rsid w:val="00C7705F"/>
    <w:rsid w:val="00C77168"/>
    <w:rsid w:val="00C77306"/>
    <w:rsid w:val="00C7755C"/>
    <w:rsid w:val="00C7776E"/>
    <w:rsid w:val="00C777CA"/>
    <w:rsid w:val="00C77E8C"/>
    <w:rsid w:val="00C80F10"/>
    <w:rsid w:val="00C812FB"/>
    <w:rsid w:val="00C817C5"/>
    <w:rsid w:val="00C81B04"/>
    <w:rsid w:val="00C8280E"/>
    <w:rsid w:val="00C82910"/>
    <w:rsid w:val="00C82D10"/>
    <w:rsid w:val="00C8321B"/>
    <w:rsid w:val="00C836C5"/>
    <w:rsid w:val="00C83B11"/>
    <w:rsid w:val="00C853AC"/>
    <w:rsid w:val="00C86631"/>
    <w:rsid w:val="00C86679"/>
    <w:rsid w:val="00C87099"/>
    <w:rsid w:val="00C8715A"/>
    <w:rsid w:val="00C8740D"/>
    <w:rsid w:val="00C8793E"/>
    <w:rsid w:val="00C87AA2"/>
    <w:rsid w:val="00C87DC3"/>
    <w:rsid w:val="00C87F4B"/>
    <w:rsid w:val="00C87F64"/>
    <w:rsid w:val="00C90693"/>
    <w:rsid w:val="00C90DFB"/>
    <w:rsid w:val="00C91788"/>
    <w:rsid w:val="00C91E0E"/>
    <w:rsid w:val="00C91E60"/>
    <w:rsid w:val="00C91FB6"/>
    <w:rsid w:val="00C91FE2"/>
    <w:rsid w:val="00C922BE"/>
    <w:rsid w:val="00C929C7"/>
    <w:rsid w:val="00C93121"/>
    <w:rsid w:val="00C935FE"/>
    <w:rsid w:val="00C93719"/>
    <w:rsid w:val="00C93A62"/>
    <w:rsid w:val="00C94304"/>
    <w:rsid w:val="00C949FE"/>
    <w:rsid w:val="00C9528E"/>
    <w:rsid w:val="00C95BA0"/>
    <w:rsid w:val="00C95C72"/>
    <w:rsid w:val="00C96445"/>
    <w:rsid w:val="00C96968"/>
    <w:rsid w:val="00C96A77"/>
    <w:rsid w:val="00C96E75"/>
    <w:rsid w:val="00C971EB"/>
    <w:rsid w:val="00C97A60"/>
    <w:rsid w:val="00CA073A"/>
    <w:rsid w:val="00CA0F22"/>
    <w:rsid w:val="00CA1609"/>
    <w:rsid w:val="00CA1C57"/>
    <w:rsid w:val="00CA2455"/>
    <w:rsid w:val="00CA2DC9"/>
    <w:rsid w:val="00CA380C"/>
    <w:rsid w:val="00CA43D6"/>
    <w:rsid w:val="00CA4974"/>
    <w:rsid w:val="00CA5515"/>
    <w:rsid w:val="00CA5C17"/>
    <w:rsid w:val="00CA6D23"/>
    <w:rsid w:val="00CA74D5"/>
    <w:rsid w:val="00CA7CA1"/>
    <w:rsid w:val="00CB00A5"/>
    <w:rsid w:val="00CB071E"/>
    <w:rsid w:val="00CB0819"/>
    <w:rsid w:val="00CB1124"/>
    <w:rsid w:val="00CB11BC"/>
    <w:rsid w:val="00CB1381"/>
    <w:rsid w:val="00CB1ADA"/>
    <w:rsid w:val="00CB244C"/>
    <w:rsid w:val="00CB2C91"/>
    <w:rsid w:val="00CB2C95"/>
    <w:rsid w:val="00CB2F7F"/>
    <w:rsid w:val="00CB3036"/>
    <w:rsid w:val="00CB3474"/>
    <w:rsid w:val="00CB3E4D"/>
    <w:rsid w:val="00CB3F9D"/>
    <w:rsid w:val="00CB4184"/>
    <w:rsid w:val="00CB42E6"/>
    <w:rsid w:val="00CB449E"/>
    <w:rsid w:val="00CB4656"/>
    <w:rsid w:val="00CB527D"/>
    <w:rsid w:val="00CB5754"/>
    <w:rsid w:val="00CB58A5"/>
    <w:rsid w:val="00CB6409"/>
    <w:rsid w:val="00CB6FC0"/>
    <w:rsid w:val="00CB73DD"/>
    <w:rsid w:val="00CC06BB"/>
    <w:rsid w:val="00CC06E7"/>
    <w:rsid w:val="00CC0D28"/>
    <w:rsid w:val="00CC1117"/>
    <w:rsid w:val="00CC1509"/>
    <w:rsid w:val="00CC1A0B"/>
    <w:rsid w:val="00CC26D5"/>
    <w:rsid w:val="00CC30E3"/>
    <w:rsid w:val="00CC3254"/>
    <w:rsid w:val="00CC32E6"/>
    <w:rsid w:val="00CC3419"/>
    <w:rsid w:val="00CC34A0"/>
    <w:rsid w:val="00CC4C2A"/>
    <w:rsid w:val="00CC4C2C"/>
    <w:rsid w:val="00CC5B40"/>
    <w:rsid w:val="00CC5C14"/>
    <w:rsid w:val="00CC73B6"/>
    <w:rsid w:val="00CC749F"/>
    <w:rsid w:val="00CC77D2"/>
    <w:rsid w:val="00CC79EF"/>
    <w:rsid w:val="00CC7E09"/>
    <w:rsid w:val="00CD0335"/>
    <w:rsid w:val="00CD034A"/>
    <w:rsid w:val="00CD0C80"/>
    <w:rsid w:val="00CD163C"/>
    <w:rsid w:val="00CD188B"/>
    <w:rsid w:val="00CD1FA5"/>
    <w:rsid w:val="00CD200F"/>
    <w:rsid w:val="00CD241B"/>
    <w:rsid w:val="00CD275E"/>
    <w:rsid w:val="00CD3562"/>
    <w:rsid w:val="00CD3720"/>
    <w:rsid w:val="00CD4163"/>
    <w:rsid w:val="00CD4508"/>
    <w:rsid w:val="00CD471E"/>
    <w:rsid w:val="00CD47B9"/>
    <w:rsid w:val="00CD4853"/>
    <w:rsid w:val="00CD4B7A"/>
    <w:rsid w:val="00CD4E5B"/>
    <w:rsid w:val="00CD50D7"/>
    <w:rsid w:val="00CD5285"/>
    <w:rsid w:val="00CD5551"/>
    <w:rsid w:val="00CD576D"/>
    <w:rsid w:val="00CD629A"/>
    <w:rsid w:val="00CD62D6"/>
    <w:rsid w:val="00CD6FCD"/>
    <w:rsid w:val="00CD71D7"/>
    <w:rsid w:val="00CD7286"/>
    <w:rsid w:val="00CD73F1"/>
    <w:rsid w:val="00CD790F"/>
    <w:rsid w:val="00CE06D8"/>
    <w:rsid w:val="00CE136A"/>
    <w:rsid w:val="00CE13D2"/>
    <w:rsid w:val="00CE368B"/>
    <w:rsid w:val="00CE3A62"/>
    <w:rsid w:val="00CE4D9D"/>
    <w:rsid w:val="00CE5691"/>
    <w:rsid w:val="00CE56B1"/>
    <w:rsid w:val="00CE56D5"/>
    <w:rsid w:val="00CE577E"/>
    <w:rsid w:val="00CE5D32"/>
    <w:rsid w:val="00CE5FC6"/>
    <w:rsid w:val="00CE6978"/>
    <w:rsid w:val="00CE6EC2"/>
    <w:rsid w:val="00CE72FC"/>
    <w:rsid w:val="00CE73BB"/>
    <w:rsid w:val="00CE7D6D"/>
    <w:rsid w:val="00CE7FC0"/>
    <w:rsid w:val="00CF00D3"/>
    <w:rsid w:val="00CF014C"/>
    <w:rsid w:val="00CF0496"/>
    <w:rsid w:val="00CF04D1"/>
    <w:rsid w:val="00CF08AD"/>
    <w:rsid w:val="00CF08ED"/>
    <w:rsid w:val="00CF0978"/>
    <w:rsid w:val="00CF0CB3"/>
    <w:rsid w:val="00CF10D2"/>
    <w:rsid w:val="00CF1CB6"/>
    <w:rsid w:val="00CF20E8"/>
    <w:rsid w:val="00CF25BB"/>
    <w:rsid w:val="00CF261F"/>
    <w:rsid w:val="00CF374E"/>
    <w:rsid w:val="00CF4030"/>
    <w:rsid w:val="00CF49D7"/>
    <w:rsid w:val="00CF4D16"/>
    <w:rsid w:val="00CF6683"/>
    <w:rsid w:val="00CF66D9"/>
    <w:rsid w:val="00CF7575"/>
    <w:rsid w:val="00CF7A6A"/>
    <w:rsid w:val="00D00051"/>
    <w:rsid w:val="00D00FC4"/>
    <w:rsid w:val="00D01D68"/>
    <w:rsid w:val="00D0212D"/>
    <w:rsid w:val="00D02D3A"/>
    <w:rsid w:val="00D04102"/>
    <w:rsid w:val="00D04E8A"/>
    <w:rsid w:val="00D04F38"/>
    <w:rsid w:val="00D057F3"/>
    <w:rsid w:val="00D06504"/>
    <w:rsid w:val="00D06616"/>
    <w:rsid w:val="00D06DAC"/>
    <w:rsid w:val="00D06F14"/>
    <w:rsid w:val="00D11329"/>
    <w:rsid w:val="00D118F5"/>
    <w:rsid w:val="00D123E8"/>
    <w:rsid w:val="00D128FD"/>
    <w:rsid w:val="00D130CB"/>
    <w:rsid w:val="00D13C98"/>
    <w:rsid w:val="00D13D4E"/>
    <w:rsid w:val="00D13DEB"/>
    <w:rsid w:val="00D141EC"/>
    <w:rsid w:val="00D14539"/>
    <w:rsid w:val="00D1484D"/>
    <w:rsid w:val="00D14A57"/>
    <w:rsid w:val="00D14D1B"/>
    <w:rsid w:val="00D15B07"/>
    <w:rsid w:val="00D15EE6"/>
    <w:rsid w:val="00D164F6"/>
    <w:rsid w:val="00D16564"/>
    <w:rsid w:val="00D16C24"/>
    <w:rsid w:val="00D16DBA"/>
    <w:rsid w:val="00D1745A"/>
    <w:rsid w:val="00D17FA1"/>
    <w:rsid w:val="00D20699"/>
    <w:rsid w:val="00D20E9D"/>
    <w:rsid w:val="00D20F63"/>
    <w:rsid w:val="00D20F7F"/>
    <w:rsid w:val="00D215D6"/>
    <w:rsid w:val="00D216D0"/>
    <w:rsid w:val="00D21EA0"/>
    <w:rsid w:val="00D22A6D"/>
    <w:rsid w:val="00D22D30"/>
    <w:rsid w:val="00D23E1F"/>
    <w:rsid w:val="00D2484E"/>
    <w:rsid w:val="00D25361"/>
    <w:rsid w:val="00D2568D"/>
    <w:rsid w:val="00D259B2"/>
    <w:rsid w:val="00D25C40"/>
    <w:rsid w:val="00D25C64"/>
    <w:rsid w:val="00D25EFF"/>
    <w:rsid w:val="00D25F30"/>
    <w:rsid w:val="00D2610E"/>
    <w:rsid w:val="00D26250"/>
    <w:rsid w:val="00D262BA"/>
    <w:rsid w:val="00D26443"/>
    <w:rsid w:val="00D2689E"/>
    <w:rsid w:val="00D26C6B"/>
    <w:rsid w:val="00D26CDE"/>
    <w:rsid w:val="00D26E72"/>
    <w:rsid w:val="00D27147"/>
    <w:rsid w:val="00D271E2"/>
    <w:rsid w:val="00D27273"/>
    <w:rsid w:val="00D27916"/>
    <w:rsid w:val="00D30B67"/>
    <w:rsid w:val="00D30EA8"/>
    <w:rsid w:val="00D30F91"/>
    <w:rsid w:val="00D31477"/>
    <w:rsid w:val="00D314F8"/>
    <w:rsid w:val="00D31F58"/>
    <w:rsid w:val="00D32F2E"/>
    <w:rsid w:val="00D33189"/>
    <w:rsid w:val="00D33253"/>
    <w:rsid w:val="00D33400"/>
    <w:rsid w:val="00D335D1"/>
    <w:rsid w:val="00D339F8"/>
    <w:rsid w:val="00D33D06"/>
    <w:rsid w:val="00D33FBA"/>
    <w:rsid w:val="00D340AA"/>
    <w:rsid w:val="00D34D3C"/>
    <w:rsid w:val="00D35183"/>
    <w:rsid w:val="00D3629D"/>
    <w:rsid w:val="00D36774"/>
    <w:rsid w:val="00D36D54"/>
    <w:rsid w:val="00D37303"/>
    <w:rsid w:val="00D37A3B"/>
    <w:rsid w:val="00D4166E"/>
    <w:rsid w:val="00D416CD"/>
    <w:rsid w:val="00D41EE5"/>
    <w:rsid w:val="00D4210A"/>
    <w:rsid w:val="00D42703"/>
    <w:rsid w:val="00D42C2C"/>
    <w:rsid w:val="00D42FEA"/>
    <w:rsid w:val="00D4351F"/>
    <w:rsid w:val="00D436FF"/>
    <w:rsid w:val="00D440BB"/>
    <w:rsid w:val="00D442D7"/>
    <w:rsid w:val="00D4495F"/>
    <w:rsid w:val="00D44AA5"/>
    <w:rsid w:val="00D45074"/>
    <w:rsid w:val="00D4510C"/>
    <w:rsid w:val="00D45BDA"/>
    <w:rsid w:val="00D45DBA"/>
    <w:rsid w:val="00D46295"/>
    <w:rsid w:val="00D46AD0"/>
    <w:rsid w:val="00D47286"/>
    <w:rsid w:val="00D502EF"/>
    <w:rsid w:val="00D5044D"/>
    <w:rsid w:val="00D5066C"/>
    <w:rsid w:val="00D50720"/>
    <w:rsid w:val="00D50AA5"/>
    <w:rsid w:val="00D51D22"/>
    <w:rsid w:val="00D52191"/>
    <w:rsid w:val="00D53276"/>
    <w:rsid w:val="00D53654"/>
    <w:rsid w:val="00D537FB"/>
    <w:rsid w:val="00D5392D"/>
    <w:rsid w:val="00D53A92"/>
    <w:rsid w:val="00D53AD5"/>
    <w:rsid w:val="00D54041"/>
    <w:rsid w:val="00D543D8"/>
    <w:rsid w:val="00D54E3F"/>
    <w:rsid w:val="00D558C5"/>
    <w:rsid w:val="00D55C28"/>
    <w:rsid w:val="00D55F11"/>
    <w:rsid w:val="00D563E8"/>
    <w:rsid w:val="00D56FBA"/>
    <w:rsid w:val="00D57446"/>
    <w:rsid w:val="00D57C17"/>
    <w:rsid w:val="00D6072D"/>
    <w:rsid w:val="00D60A31"/>
    <w:rsid w:val="00D60AA8"/>
    <w:rsid w:val="00D60FD8"/>
    <w:rsid w:val="00D61293"/>
    <w:rsid w:val="00D61536"/>
    <w:rsid w:val="00D61BEB"/>
    <w:rsid w:val="00D620BB"/>
    <w:rsid w:val="00D630AC"/>
    <w:rsid w:val="00D63774"/>
    <w:rsid w:val="00D63A8D"/>
    <w:rsid w:val="00D6507F"/>
    <w:rsid w:val="00D655BF"/>
    <w:rsid w:val="00D65C50"/>
    <w:rsid w:val="00D66C37"/>
    <w:rsid w:val="00D66DC8"/>
    <w:rsid w:val="00D67121"/>
    <w:rsid w:val="00D6781A"/>
    <w:rsid w:val="00D67E8C"/>
    <w:rsid w:val="00D7048A"/>
    <w:rsid w:val="00D707B6"/>
    <w:rsid w:val="00D709A7"/>
    <w:rsid w:val="00D70DFD"/>
    <w:rsid w:val="00D7122F"/>
    <w:rsid w:val="00D71419"/>
    <w:rsid w:val="00D7151C"/>
    <w:rsid w:val="00D71C22"/>
    <w:rsid w:val="00D71F80"/>
    <w:rsid w:val="00D729C5"/>
    <w:rsid w:val="00D72B59"/>
    <w:rsid w:val="00D736E9"/>
    <w:rsid w:val="00D7410A"/>
    <w:rsid w:val="00D743ED"/>
    <w:rsid w:val="00D744F5"/>
    <w:rsid w:val="00D74DCC"/>
    <w:rsid w:val="00D75167"/>
    <w:rsid w:val="00D75368"/>
    <w:rsid w:val="00D75AFD"/>
    <w:rsid w:val="00D75C8E"/>
    <w:rsid w:val="00D75F44"/>
    <w:rsid w:val="00D76547"/>
    <w:rsid w:val="00D768F1"/>
    <w:rsid w:val="00D7704C"/>
    <w:rsid w:val="00D77075"/>
    <w:rsid w:val="00D7713F"/>
    <w:rsid w:val="00D80465"/>
    <w:rsid w:val="00D80606"/>
    <w:rsid w:val="00D806CC"/>
    <w:rsid w:val="00D812D9"/>
    <w:rsid w:val="00D81CE3"/>
    <w:rsid w:val="00D821D5"/>
    <w:rsid w:val="00D82C84"/>
    <w:rsid w:val="00D82D14"/>
    <w:rsid w:val="00D8434F"/>
    <w:rsid w:val="00D84C62"/>
    <w:rsid w:val="00D84EA0"/>
    <w:rsid w:val="00D85331"/>
    <w:rsid w:val="00D85925"/>
    <w:rsid w:val="00D86A15"/>
    <w:rsid w:val="00D87F80"/>
    <w:rsid w:val="00D87FDB"/>
    <w:rsid w:val="00D900CB"/>
    <w:rsid w:val="00D90E34"/>
    <w:rsid w:val="00D91E9E"/>
    <w:rsid w:val="00D92169"/>
    <w:rsid w:val="00D9238C"/>
    <w:rsid w:val="00D9253F"/>
    <w:rsid w:val="00D936DB"/>
    <w:rsid w:val="00D9388B"/>
    <w:rsid w:val="00D93946"/>
    <w:rsid w:val="00D93B21"/>
    <w:rsid w:val="00D9427F"/>
    <w:rsid w:val="00D942D7"/>
    <w:rsid w:val="00D94745"/>
    <w:rsid w:val="00D9479C"/>
    <w:rsid w:val="00D947CE"/>
    <w:rsid w:val="00D959B8"/>
    <w:rsid w:val="00D963DB"/>
    <w:rsid w:val="00D96583"/>
    <w:rsid w:val="00D969DD"/>
    <w:rsid w:val="00D96D60"/>
    <w:rsid w:val="00D9702A"/>
    <w:rsid w:val="00D970A6"/>
    <w:rsid w:val="00D97E15"/>
    <w:rsid w:val="00D97F9D"/>
    <w:rsid w:val="00DA01C1"/>
    <w:rsid w:val="00DA0289"/>
    <w:rsid w:val="00DA073A"/>
    <w:rsid w:val="00DA0904"/>
    <w:rsid w:val="00DA0E0C"/>
    <w:rsid w:val="00DA1CAE"/>
    <w:rsid w:val="00DA2069"/>
    <w:rsid w:val="00DA223E"/>
    <w:rsid w:val="00DA263D"/>
    <w:rsid w:val="00DA2EB3"/>
    <w:rsid w:val="00DA32DC"/>
    <w:rsid w:val="00DA3A08"/>
    <w:rsid w:val="00DA4305"/>
    <w:rsid w:val="00DA456F"/>
    <w:rsid w:val="00DA4D7F"/>
    <w:rsid w:val="00DA5550"/>
    <w:rsid w:val="00DA56CA"/>
    <w:rsid w:val="00DA5D0A"/>
    <w:rsid w:val="00DA61D2"/>
    <w:rsid w:val="00DA6846"/>
    <w:rsid w:val="00DA7637"/>
    <w:rsid w:val="00DA7A98"/>
    <w:rsid w:val="00DA7B70"/>
    <w:rsid w:val="00DA7C8A"/>
    <w:rsid w:val="00DA7ED0"/>
    <w:rsid w:val="00DA7F1F"/>
    <w:rsid w:val="00DB0249"/>
    <w:rsid w:val="00DB04C0"/>
    <w:rsid w:val="00DB0A66"/>
    <w:rsid w:val="00DB0CC8"/>
    <w:rsid w:val="00DB1068"/>
    <w:rsid w:val="00DB1466"/>
    <w:rsid w:val="00DB14F9"/>
    <w:rsid w:val="00DB21F8"/>
    <w:rsid w:val="00DB2A36"/>
    <w:rsid w:val="00DB2F08"/>
    <w:rsid w:val="00DB318B"/>
    <w:rsid w:val="00DB426F"/>
    <w:rsid w:val="00DB4551"/>
    <w:rsid w:val="00DB455B"/>
    <w:rsid w:val="00DB4F6D"/>
    <w:rsid w:val="00DB4FB7"/>
    <w:rsid w:val="00DB5209"/>
    <w:rsid w:val="00DB5335"/>
    <w:rsid w:val="00DB53E3"/>
    <w:rsid w:val="00DB5474"/>
    <w:rsid w:val="00DB562D"/>
    <w:rsid w:val="00DB599B"/>
    <w:rsid w:val="00DB5BA3"/>
    <w:rsid w:val="00DB6236"/>
    <w:rsid w:val="00DB6C64"/>
    <w:rsid w:val="00DC0196"/>
    <w:rsid w:val="00DC03F8"/>
    <w:rsid w:val="00DC05A9"/>
    <w:rsid w:val="00DC060D"/>
    <w:rsid w:val="00DC0E0B"/>
    <w:rsid w:val="00DC0E87"/>
    <w:rsid w:val="00DC0FBE"/>
    <w:rsid w:val="00DC12D9"/>
    <w:rsid w:val="00DC192C"/>
    <w:rsid w:val="00DC226A"/>
    <w:rsid w:val="00DC2D65"/>
    <w:rsid w:val="00DC31FF"/>
    <w:rsid w:val="00DC37FB"/>
    <w:rsid w:val="00DC3852"/>
    <w:rsid w:val="00DC496C"/>
    <w:rsid w:val="00DC4AE4"/>
    <w:rsid w:val="00DC54B7"/>
    <w:rsid w:val="00DC5700"/>
    <w:rsid w:val="00DC5DFF"/>
    <w:rsid w:val="00DC5E31"/>
    <w:rsid w:val="00DC6043"/>
    <w:rsid w:val="00DC62AB"/>
    <w:rsid w:val="00DC65FC"/>
    <w:rsid w:val="00DC6652"/>
    <w:rsid w:val="00DC6B46"/>
    <w:rsid w:val="00DC7440"/>
    <w:rsid w:val="00DC7B67"/>
    <w:rsid w:val="00DD0150"/>
    <w:rsid w:val="00DD03FC"/>
    <w:rsid w:val="00DD0615"/>
    <w:rsid w:val="00DD0DDA"/>
    <w:rsid w:val="00DD0F1A"/>
    <w:rsid w:val="00DD15C6"/>
    <w:rsid w:val="00DD1C5C"/>
    <w:rsid w:val="00DD24E2"/>
    <w:rsid w:val="00DD3F36"/>
    <w:rsid w:val="00DD45B7"/>
    <w:rsid w:val="00DD464F"/>
    <w:rsid w:val="00DD49A1"/>
    <w:rsid w:val="00DD51F3"/>
    <w:rsid w:val="00DD552C"/>
    <w:rsid w:val="00DD5C66"/>
    <w:rsid w:val="00DD5D09"/>
    <w:rsid w:val="00DD615F"/>
    <w:rsid w:val="00DD6288"/>
    <w:rsid w:val="00DD62CF"/>
    <w:rsid w:val="00DD769C"/>
    <w:rsid w:val="00DD7AB2"/>
    <w:rsid w:val="00DE01E9"/>
    <w:rsid w:val="00DE0262"/>
    <w:rsid w:val="00DE056B"/>
    <w:rsid w:val="00DE0BE3"/>
    <w:rsid w:val="00DE1749"/>
    <w:rsid w:val="00DE17FD"/>
    <w:rsid w:val="00DE1B15"/>
    <w:rsid w:val="00DE1B9B"/>
    <w:rsid w:val="00DE1D80"/>
    <w:rsid w:val="00DE23AC"/>
    <w:rsid w:val="00DE247A"/>
    <w:rsid w:val="00DE2732"/>
    <w:rsid w:val="00DE2871"/>
    <w:rsid w:val="00DE2936"/>
    <w:rsid w:val="00DE3232"/>
    <w:rsid w:val="00DE39C8"/>
    <w:rsid w:val="00DE4DC2"/>
    <w:rsid w:val="00DE640E"/>
    <w:rsid w:val="00DE6988"/>
    <w:rsid w:val="00DE6A78"/>
    <w:rsid w:val="00DE6B30"/>
    <w:rsid w:val="00DE6CBD"/>
    <w:rsid w:val="00DE6E5B"/>
    <w:rsid w:val="00DE76B6"/>
    <w:rsid w:val="00DE7CD9"/>
    <w:rsid w:val="00DE7D4C"/>
    <w:rsid w:val="00DE7D61"/>
    <w:rsid w:val="00DE7FB8"/>
    <w:rsid w:val="00DF0300"/>
    <w:rsid w:val="00DF064B"/>
    <w:rsid w:val="00DF0892"/>
    <w:rsid w:val="00DF0A78"/>
    <w:rsid w:val="00DF0B1C"/>
    <w:rsid w:val="00DF192B"/>
    <w:rsid w:val="00DF1F1C"/>
    <w:rsid w:val="00DF2128"/>
    <w:rsid w:val="00DF22AE"/>
    <w:rsid w:val="00DF2896"/>
    <w:rsid w:val="00DF3236"/>
    <w:rsid w:val="00DF331F"/>
    <w:rsid w:val="00DF3A54"/>
    <w:rsid w:val="00DF3B46"/>
    <w:rsid w:val="00DF3D5E"/>
    <w:rsid w:val="00DF3E5A"/>
    <w:rsid w:val="00DF4780"/>
    <w:rsid w:val="00DF4BB2"/>
    <w:rsid w:val="00DF4BE5"/>
    <w:rsid w:val="00DF516E"/>
    <w:rsid w:val="00DF586B"/>
    <w:rsid w:val="00DF5B86"/>
    <w:rsid w:val="00DF5FFA"/>
    <w:rsid w:val="00DF614E"/>
    <w:rsid w:val="00DF61F4"/>
    <w:rsid w:val="00DF65AF"/>
    <w:rsid w:val="00DF6BD4"/>
    <w:rsid w:val="00DF74C8"/>
    <w:rsid w:val="00DF76EC"/>
    <w:rsid w:val="00DF79E9"/>
    <w:rsid w:val="00DF7B72"/>
    <w:rsid w:val="00E0032C"/>
    <w:rsid w:val="00E0051B"/>
    <w:rsid w:val="00E00625"/>
    <w:rsid w:val="00E007AD"/>
    <w:rsid w:val="00E00C39"/>
    <w:rsid w:val="00E00D0A"/>
    <w:rsid w:val="00E01329"/>
    <w:rsid w:val="00E01F19"/>
    <w:rsid w:val="00E02260"/>
    <w:rsid w:val="00E02497"/>
    <w:rsid w:val="00E03189"/>
    <w:rsid w:val="00E038F2"/>
    <w:rsid w:val="00E03989"/>
    <w:rsid w:val="00E03B89"/>
    <w:rsid w:val="00E04BEF"/>
    <w:rsid w:val="00E04EF3"/>
    <w:rsid w:val="00E04F92"/>
    <w:rsid w:val="00E05618"/>
    <w:rsid w:val="00E05949"/>
    <w:rsid w:val="00E07109"/>
    <w:rsid w:val="00E075D2"/>
    <w:rsid w:val="00E07DF8"/>
    <w:rsid w:val="00E103E1"/>
    <w:rsid w:val="00E10CDF"/>
    <w:rsid w:val="00E11C92"/>
    <w:rsid w:val="00E121C4"/>
    <w:rsid w:val="00E12602"/>
    <w:rsid w:val="00E12FEB"/>
    <w:rsid w:val="00E13505"/>
    <w:rsid w:val="00E13A8F"/>
    <w:rsid w:val="00E13F8C"/>
    <w:rsid w:val="00E147F8"/>
    <w:rsid w:val="00E1523B"/>
    <w:rsid w:val="00E15429"/>
    <w:rsid w:val="00E15448"/>
    <w:rsid w:val="00E155A5"/>
    <w:rsid w:val="00E1562D"/>
    <w:rsid w:val="00E15BC2"/>
    <w:rsid w:val="00E16AD3"/>
    <w:rsid w:val="00E16F52"/>
    <w:rsid w:val="00E177D6"/>
    <w:rsid w:val="00E20B23"/>
    <w:rsid w:val="00E20B24"/>
    <w:rsid w:val="00E20C21"/>
    <w:rsid w:val="00E214D1"/>
    <w:rsid w:val="00E21C49"/>
    <w:rsid w:val="00E22643"/>
    <w:rsid w:val="00E2318E"/>
    <w:rsid w:val="00E23351"/>
    <w:rsid w:val="00E2385C"/>
    <w:rsid w:val="00E23E93"/>
    <w:rsid w:val="00E244D5"/>
    <w:rsid w:val="00E245C5"/>
    <w:rsid w:val="00E24650"/>
    <w:rsid w:val="00E2466E"/>
    <w:rsid w:val="00E2516F"/>
    <w:rsid w:val="00E25E75"/>
    <w:rsid w:val="00E27545"/>
    <w:rsid w:val="00E27B82"/>
    <w:rsid w:val="00E27DDD"/>
    <w:rsid w:val="00E30178"/>
    <w:rsid w:val="00E30745"/>
    <w:rsid w:val="00E30AE5"/>
    <w:rsid w:val="00E31803"/>
    <w:rsid w:val="00E31FF3"/>
    <w:rsid w:val="00E320BC"/>
    <w:rsid w:val="00E320E5"/>
    <w:rsid w:val="00E321A6"/>
    <w:rsid w:val="00E322AE"/>
    <w:rsid w:val="00E329C7"/>
    <w:rsid w:val="00E32A25"/>
    <w:rsid w:val="00E33061"/>
    <w:rsid w:val="00E3317E"/>
    <w:rsid w:val="00E332C7"/>
    <w:rsid w:val="00E33AC4"/>
    <w:rsid w:val="00E34154"/>
    <w:rsid w:val="00E34234"/>
    <w:rsid w:val="00E3471E"/>
    <w:rsid w:val="00E34AAF"/>
    <w:rsid w:val="00E34DFE"/>
    <w:rsid w:val="00E354DA"/>
    <w:rsid w:val="00E360E9"/>
    <w:rsid w:val="00E36512"/>
    <w:rsid w:val="00E3686C"/>
    <w:rsid w:val="00E36E98"/>
    <w:rsid w:val="00E3707F"/>
    <w:rsid w:val="00E371ED"/>
    <w:rsid w:val="00E3750E"/>
    <w:rsid w:val="00E37558"/>
    <w:rsid w:val="00E407CF"/>
    <w:rsid w:val="00E408F4"/>
    <w:rsid w:val="00E40FCD"/>
    <w:rsid w:val="00E41749"/>
    <w:rsid w:val="00E4221C"/>
    <w:rsid w:val="00E422CC"/>
    <w:rsid w:val="00E42421"/>
    <w:rsid w:val="00E4293E"/>
    <w:rsid w:val="00E43A9A"/>
    <w:rsid w:val="00E440D3"/>
    <w:rsid w:val="00E4436B"/>
    <w:rsid w:val="00E44520"/>
    <w:rsid w:val="00E447A9"/>
    <w:rsid w:val="00E44A41"/>
    <w:rsid w:val="00E44B67"/>
    <w:rsid w:val="00E44D32"/>
    <w:rsid w:val="00E44E5A"/>
    <w:rsid w:val="00E451BD"/>
    <w:rsid w:val="00E45397"/>
    <w:rsid w:val="00E4543A"/>
    <w:rsid w:val="00E45A16"/>
    <w:rsid w:val="00E45C4F"/>
    <w:rsid w:val="00E465E1"/>
    <w:rsid w:val="00E476A8"/>
    <w:rsid w:val="00E47831"/>
    <w:rsid w:val="00E47C30"/>
    <w:rsid w:val="00E47FCB"/>
    <w:rsid w:val="00E50296"/>
    <w:rsid w:val="00E510D4"/>
    <w:rsid w:val="00E51141"/>
    <w:rsid w:val="00E511A6"/>
    <w:rsid w:val="00E513FB"/>
    <w:rsid w:val="00E52351"/>
    <w:rsid w:val="00E5250A"/>
    <w:rsid w:val="00E5251A"/>
    <w:rsid w:val="00E5272A"/>
    <w:rsid w:val="00E528A5"/>
    <w:rsid w:val="00E52943"/>
    <w:rsid w:val="00E529A3"/>
    <w:rsid w:val="00E52D63"/>
    <w:rsid w:val="00E53221"/>
    <w:rsid w:val="00E5384C"/>
    <w:rsid w:val="00E5404C"/>
    <w:rsid w:val="00E543EF"/>
    <w:rsid w:val="00E54866"/>
    <w:rsid w:val="00E55285"/>
    <w:rsid w:val="00E5550C"/>
    <w:rsid w:val="00E55712"/>
    <w:rsid w:val="00E55EC4"/>
    <w:rsid w:val="00E55F48"/>
    <w:rsid w:val="00E56132"/>
    <w:rsid w:val="00E56233"/>
    <w:rsid w:val="00E56735"/>
    <w:rsid w:val="00E56746"/>
    <w:rsid w:val="00E56EA4"/>
    <w:rsid w:val="00E56FEB"/>
    <w:rsid w:val="00E5766A"/>
    <w:rsid w:val="00E576CD"/>
    <w:rsid w:val="00E57C78"/>
    <w:rsid w:val="00E57DF1"/>
    <w:rsid w:val="00E57E9D"/>
    <w:rsid w:val="00E57FC0"/>
    <w:rsid w:val="00E60544"/>
    <w:rsid w:val="00E61C3F"/>
    <w:rsid w:val="00E61DDB"/>
    <w:rsid w:val="00E62215"/>
    <w:rsid w:val="00E623DC"/>
    <w:rsid w:val="00E62457"/>
    <w:rsid w:val="00E62CB4"/>
    <w:rsid w:val="00E62F76"/>
    <w:rsid w:val="00E63011"/>
    <w:rsid w:val="00E63273"/>
    <w:rsid w:val="00E635DA"/>
    <w:rsid w:val="00E642AF"/>
    <w:rsid w:val="00E64C73"/>
    <w:rsid w:val="00E651AD"/>
    <w:rsid w:val="00E654BC"/>
    <w:rsid w:val="00E65F11"/>
    <w:rsid w:val="00E66548"/>
    <w:rsid w:val="00E66A78"/>
    <w:rsid w:val="00E66B33"/>
    <w:rsid w:val="00E66ED8"/>
    <w:rsid w:val="00E70080"/>
    <w:rsid w:val="00E71254"/>
    <w:rsid w:val="00E71CA3"/>
    <w:rsid w:val="00E723E5"/>
    <w:rsid w:val="00E725AD"/>
    <w:rsid w:val="00E72CC3"/>
    <w:rsid w:val="00E72D6A"/>
    <w:rsid w:val="00E730AC"/>
    <w:rsid w:val="00E736D9"/>
    <w:rsid w:val="00E73857"/>
    <w:rsid w:val="00E73948"/>
    <w:rsid w:val="00E73C00"/>
    <w:rsid w:val="00E7437B"/>
    <w:rsid w:val="00E7439E"/>
    <w:rsid w:val="00E74456"/>
    <w:rsid w:val="00E74839"/>
    <w:rsid w:val="00E74AC0"/>
    <w:rsid w:val="00E74DD2"/>
    <w:rsid w:val="00E74FC7"/>
    <w:rsid w:val="00E75511"/>
    <w:rsid w:val="00E757B0"/>
    <w:rsid w:val="00E75B64"/>
    <w:rsid w:val="00E75DEF"/>
    <w:rsid w:val="00E75FF2"/>
    <w:rsid w:val="00E76363"/>
    <w:rsid w:val="00E76699"/>
    <w:rsid w:val="00E768C5"/>
    <w:rsid w:val="00E76CD5"/>
    <w:rsid w:val="00E76D40"/>
    <w:rsid w:val="00E7726B"/>
    <w:rsid w:val="00E772E4"/>
    <w:rsid w:val="00E7733C"/>
    <w:rsid w:val="00E77577"/>
    <w:rsid w:val="00E779AF"/>
    <w:rsid w:val="00E77FD8"/>
    <w:rsid w:val="00E8027A"/>
    <w:rsid w:val="00E80AB9"/>
    <w:rsid w:val="00E8100A"/>
    <w:rsid w:val="00E81FCF"/>
    <w:rsid w:val="00E822D4"/>
    <w:rsid w:val="00E82834"/>
    <w:rsid w:val="00E82AFF"/>
    <w:rsid w:val="00E82D27"/>
    <w:rsid w:val="00E83230"/>
    <w:rsid w:val="00E84419"/>
    <w:rsid w:val="00E845C2"/>
    <w:rsid w:val="00E84826"/>
    <w:rsid w:val="00E851DF"/>
    <w:rsid w:val="00E855CD"/>
    <w:rsid w:val="00E85886"/>
    <w:rsid w:val="00E85961"/>
    <w:rsid w:val="00E859DD"/>
    <w:rsid w:val="00E863A3"/>
    <w:rsid w:val="00E8648C"/>
    <w:rsid w:val="00E86552"/>
    <w:rsid w:val="00E86A93"/>
    <w:rsid w:val="00E86F8A"/>
    <w:rsid w:val="00E90B41"/>
    <w:rsid w:val="00E91343"/>
    <w:rsid w:val="00E916A9"/>
    <w:rsid w:val="00E9195B"/>
    <w:rsid w:val="00E91B6A"/>
    <w:rsid w:val="00E92D79"/>
    <w:rsid w:val="00E93B3D"/>
    <w:rsid w:val="00E94142"/>
    <w:rsid w:val="00E9472A"/>
    <w:rsid w:val="00E9487C"/>
    <w:rsid w:val="00E95433"/>
    <w:rsid w:val="00E95676"/>
    <w:rsid w:val="00E958FC"/>
    <w:rsid w:val="00E95B18"/>
    <w:rsid w:val="00E96506"/>
    <w:rsid w:val="00E965E0"/>
    <w:rsid w:val="00E977A0"/>
    <w:rsid w:val="00E97D5C"/>
    <w:rsid w:val="00EA032C"/>
    <w:rsid w:val="00EA104B"/>
    <w:rsid w:val="00EA14D3"/>
    <w:rsid w:val="00EA1AB9"/>
    <w:rsid w:val="00EA1D34"/>
    <w:rsid w:val="00EA213A"/>
    <w:rsid w:val="00EA2776"/>
    <w:rsid w:val="00EA2888"/>
    <w:rsid w:val="00EA293B"/>
    <w:rsid w:val="00EA3B4D"/>
    <w:rsid w:val="00EA3B75"/>
    <w:rsid w:val="00EA3C95"/>
    <w:rsid w:val="00EA4499"/>
    <w:rsid w:val="00EA53DD"/>
    <w:rsid w:val="00EA55C9"/>
    <w:rsid w:val="00EA56F4"/>
    <w:rsid w:val="00EA5AFE"/>
    <w:rsid w:val="00EA62C9"/>
    <w:rsid w:val="00EA6821"/>
    <w:rsid w:val="00EA68CE"/>
    <w:rsid w:val="00EA6C42"/>
    <w:rsid w:val="00EA7809"/>
    <w:rsid w:val="00EA7A9F"/>
    <w:rsid w:val="00EA7C1D"/>
    <w:rsid w:val="00EB035C"/>
    <w:rsid w:val="00EB0A77"/>
    <w:rsid w:val="00EB0C46"/>
    <w:rsid w:val="00EB123F"/>
    <w:rsid w:val="00EB14CA"/>
    <w:rsid w:val="00EB1839"/>
    <w:rsid w:val="00EB1962"/>
    <w:rsid w:val="00EB1BD9"/>
    <w:rsid w:val="00EB1C9F"/>
    <w:rsid w:val="00EB200A"/>
    <w:rsid w:val="00EB2122"/>
    <w:rsid w:val="00EB2205"/>
    <w:rsid w:val="00EB2720"/>
    <w:rsid w:val="00EB279E"/>
    <w:rsid w:val="00EB2833"/>
    <w:rsid w:val="00EB2907"/>
    <w:rsid w:val="00EB29EC"/>
    <w:rsid w:val="00EB2A17"/>
    <w:rsid w:val="00EB2FBF"/>
    <w:rsid w:val="00EB3087"/>
    <w:rsid w:val="00EB36BF"/>
    <w:rsid w:val="00EB3FA8"/>
    <w:rsid w:val="00EB3FAA"/>
    <w:rsid w:val="00EB40B8"/>
    <w:rsid w:val="00EB4409"/>
    <w:rsid w:val="00EB444C"/>
    <w:rsid w:val="00EB4752"/>
    <w:rsid w:val="00EB4797"/>
    <w:rsid w:val="00EB492A"/>
    <w:rsid w:val="00EB4BB0"/>
    <w:rsid w:val="00EB4FBC"/>
    <w:rsid w:val="00EB5346"/>
    <w:rsid w:val="00EB5755"/>
    <w:rsid w:val="00EB6914"/>
    <w:rsid w:val="00EB6B35"/>
    <w:rsid w:val="00EB7370"/>
    <w:rsid w:val="00EB7625"/>
    <w:rsid w:val="00EB78BE"/>
    <w:rsid w:val="00EB7AB1"/>
    <w:rsid w:val="00EB7C53"/>
    <w:rsid w:val="00EC002C"/>
    <w:rsid w:val="00EC08EC"/>
    <w:rsid w:val="00EC0EAC"/>
    <w:rsid w:val="00EC1611"/>
    <w:rsid w:val="00EC176C"/>
    <w:rsid w:val="00EC190E"/>
    <w:rsid w:val="00EC1C7E"/>
    <w:rsid w:val="00EC336A"/>
    <w:rsid w:val="00EC3BFE"/>
    <w:rsid w:val="00EC3C87"/>
    <w:rsid w:val="00EC3E8B"/>
    <w:rsid w:val="00EC4D6D"/>
    <w:rsid w:val="00EC506F"/>
    <w:rsid w:val="00EC5A71"/>
    <w:rsid w:val="00EC6379"/>
    <w:rsid w:val="00EC660C"/>
    <w:rsid w:val="00EC666D"/>
    <w:rsid w:val="00EC6E31"/>
    <w:rsid w:val="00EC6EF9"/>
    <w:rsid w:val="00EC78A3"/>
    <w:rsid w:val="00EC7A62"/>
    <w:rsid w:val="00EC7DDA"/>
    <w:rsid w:val="00ED042D"/>
    <w:rsid w:val="00ED08F7"/>
    <w:rsid w:val="00ED09AA"/>
    <w:rsid w:val="00ED0E00"/>
    <w:rsid w:val="00ED0FF9"/>
    <w:rsid w:val="00ED1803"/>
    <w:rsid w:val="00ED1870"/>
    <w:rsid w:val="00ED1ECE"/>
    <w:rsid w:val="00ED2E83"/>
    <w:rsid w:val="00ED3C2B"/>
    <w:rsid w:val="00ED4990"/>
    <w:rsid w:val="00ED49F6"/>
    <w:rsid w:val="00ED516F"/>
    <w:rsid w:val="00ED528C"/>
    <w:rsid w:val="00ED5661"/>
    <w:rsid w:val="00ED5B50"/>
    <w:rsid w:val="00ED61BA"/>
    <w:rsid w:val="00ED62BF"/>
    <w:rsid w:val="00ED7DCC"/>
    <w:rsid w:val="00EE0047"/>
    <w:rsid w:val="00EE035D"/>
    <w:rsid w:val="00EE0D4F"/>
    <w:rsid w:val="00EE1191"/>
    <w:rsid w:val="00EE15E3"/>
    <w:rsid w:val="00EE1909"/>
    <w:rsid w:val="00EE213B"/>
    <w:rsid w:val="00EE2941"/>
    <w:rsid w:val="00EE35A0"/>
    <w:rsid w:val="00EE64DD"/>
    <w:rsid w:val="00EE66FD"/>
    <w:rsid w:val="00EE6A6B"/>
    <w:rsid w:val="00EE6CCF"/>
    <w:rsid w:val="00EF052F"/>
    <w:rsid w:val="00EF0570"/>
    <w:rsid w:val="00EF08F5"/>
    <w:rsid w:val="00EF151B"/>
    <w:rsid w:val="00EF1874"/>
    <w:rsid w:val="00EF1E3D"/>
    <w:rsid w:val="00EF1EFB"/>
    <w:rsid w:val="00EF3217"/>
    <w:rsid w:val="00EF37AF"/>
    <w:rsid w:val="00EF4DD7"/>
    <w:rsid w:val="00EF4DE8"/>
    <w:rsid w:val="00EF648C"/>
    <w:rsid w:val="00EF786D"/>
    <w:rsid w:val="00EF7BC7"/>
    <w:rsid w:val="00EF7D61"/>
    <w:rsid w:val="00EF7DF8"/>
    <w:rsid w:val="00F001BD"/>
    <w:rsid w:val="00F00470"/>
    <w:rsid w:val="00F00C42"/>
    <w:rsid w:val="00F0122B"/>
    <w:rsid w:val="00F01782"/>
    <w:rsid w:val="00F01B08"/>
    <w:rsid w:val="00F01D94"/>
    <w:rsid w:val="00F03545"/>
    <w:rsid w:val="00F03FB5"/>
    <w:rsid w:val="00F04385"/>
    <w:rsid w:val="00F043FC"/>
    <w:rsid w:val="00F044D5"/>
    <w:rsid w:val="00F045E6"/>
    <w:rsid w:val="00F049EE"/>
    <w:rsid w:val="00F04D01"/>
    <w:rsid w:val="00F05631"/>
    <w:rsid w:val="00F05B3C"/>
    <w:rsid w:val="00F05E63"/>
    <w:rsid w:val="00F0600C"/>
    <w:rsid w:val="00F0610A"/>
    <w:rsid w:val="00F06494"/>
    <w:rsid w:val="00F06534"/>
    <w:rsid w:val="00F066B5"/>
    <w:rsid w:val="00F0680E"/>
    <w:rsid w:val="00F069BB"/>
    <w:rsid w:val="00F0764A"/>
    <w:rsid w:val="00F07FFD"/>
    <w:rsid w:val="00F10029"/>
    <w:rsid w:val="00F1009D"/>
    <w:rsid w:val="00F1113F"/>
    <w:rsid w:val="00F112D3"/>
    <w:rsid w:val="00F11661"/>
    <w:rsid w:val="00F116A6"/>
    <w:rsid w:val="00F11A10"/>
    <w:rsid w:val="00F11CE9"/>
    <w:rsid w:val="00F124CA"/>
    <w:rsid w:val="00F12654"/>
    <w:rsid w:val="00F12955"/>
    <w:rsid w:val="00F12EEC"/>
    <w:rsid w:val="00F13A42"/>
    <w:rsid w:val="00F13CA1"/>
    <w:rsid w:val="00F14025"/>
    <w:rsid w:val="00F1513D"/>
    <w:rsid w:val="00F1574D"/>
    <w:rsid w:val="00F15E16"/>
    <w:rsid w:val="00F16C1A"/>
    <w:rsid w:val="00F17677"/>
    <w:rsid w:val="00F1788D"/>
    <w:rsid w:val="00F179C9"/>
    <w:rsid w:val="00F205B4"/>
    <w:rsid w:val="00F20812"/>
    <w:rsid w:val="00F20A20"/>
    <w:rsid w:val="00F20CB5"/>
    <w:rsid w:val="00F20F03"/>
    <w:rsid w:val="00F210DE"/>
    <w:rsid w:val="00F2161E"/>
    <w:rsid w:val="00F2189C"/>
    <w:rsid w:val="00F221D8"/>
    <w:rsid w:val="00F228FF"/>
    <w:rsid w:val="00F22963"/>
    <w:rsid w:val="00F23012"/>
    <w:rsid w:val="00F23A02"/>
    <w:rsid w:val="00F24379"/>
    <w:rsid w:val="00F24AFE"/>
    <w:rsid w:val="00F24DC0"/>
    <w:rsid w:val="00F260A2"/>
    <w:rsid w:val="00F26DB9"/>
    <w:rsid w:val="00F26DF9"/>
    <w:rsid w:val="00F27688"/>
    <w:rsid w:val="00F27888"/>
    <w:rsid w:val="00F27F42"/>
    <w:rsid w:val="00F27FEF"/>
    <w:rsid w:val="00F3054E"/>
    <w:rsid w:val="00F3086A"/>
    <w:rsid w:val="00F325A3"/>
    <w:rsid w:val="00F327DC"/>
    <w:rsid w:val="00F3320E"/>
    <w:rsid w:val="00F3353C"/>
    <w:rsid w:val="00F33DC5"/>
    <w:rsid w:val="00F341F5"/>
    <w:rsid w:val="00F34A9B"/>
    <w:rsid w:val="00F35317"/>
    <w:rsid w:val="00F369AE"/>
    <w:rsid w:val="00F3716F"/>
    <w:rsid w:val="00F37355"/>
    <w:rsid w:val="00F406DF"/>
    <w:rsid w:val="00F40BB1"/>
    <w:rsid w:val="00F41B64"/>
    <w:rsid w:val="00F42008"/>
    <w:rsid w:val="00F43043"/>
    <w:rsid w:val="00F43127"/>
    <w:rsid w:val="00F43263"/>
    <w:rsid w:val="00F445F4"/>
    <w:rsid w:val="00F44ABE"/>
    <w:rsid w:val="00F44B6D"/>
    <w:rsid w:val="00F44C58"/>
    <w:rsid w:val="00F44FA5"/>
    <w:rsid w:val="00F44FE3"/>
    <w:rsid w:val="00F45114"/>
    <w:rsid w:val="00F4527F"/>
    <w:rsid w:val="00F45A84"/>
    <w:rsid w:val="00F463CE"/>
    <w:rsid w:val="00F46901"/>
    <w:rsid w:val="00F50914"/>
    <w:rsid w:val="00F5177F"/>
    <w:rsid w:val="00F517EC"/>
    <w:rsid w:val="00F51A03"/>
    <w:rsid w:val="00F520C5"/>
    <w:rsid w:val="00F521AB"/>
    <w:rsid w:val="00F524B9"/>
    <w:rsid w:val="00F52C5F"/>
    <w:rsid w:val="00F52E72"/>
    <w:rsid w:val="00F5341D"/>
    <w:rsid w:val="00F5359E"/>
    <w:rsid w:val="00F53FA2"/>
    <w:rsid w:val="00F54054"/>
    <w:rsid w:val="00F54207"/>
    <w:rsid w:val="00F5468F"/>
    <w:rsid w:val="00F5484A"/>
    <w:rsid w:val="00F54A07"/>
    <w:rsid w:val="00F54A97"/>
    <w:rsid w:val="00F54F74"/>
    <w:rsid w:val="00F5544D"/>
    <w:rsid w:val="00F558A8"/>
    <w:rsid w:val="00F5682D"/>
    <w:rsid w:val="00F56EF1"/>
    <w:rsid w:val="00F56EFF"/>
    <w:rsid w:val="00F57A5A"/>
    <w:rsid w:val="00F57E95"/>
    <w:rsid w:val="00F603EA"/>
    <w:rsid w:val="00F608C9"/>
    <w:rsid w:val="00F61167"/>
    <w:rsid w:val="00F61D6B"/>
    <w:rsid w:val="00F61E37"/>
    <w:rsid w:val="00F61EC6"/>
    <w:rsid w:val="00F6274F"/>
    <w:rsid w:val="00F6295E"/>
    <w:rsid w:val="00F63093"/>
    <w:rsid w:val="00F639A8"/>
    <w:rsid w:val="00F63C19"/>
    <w:rsid w:val="00F63FEA"/>
    <w:rsid w:val="00F6417F"/>
    <w:rsid w:val="00F64CF1"/>
    <w:rsid w:val="00F64F20"/>
    <w:rsid w:val="00F65C16"/>
    <w:rsid w:val="00F66249"/>
    <w:rsid w:val="00F662AA"/>
    <w:rsid w:val="00F66FD5"/>
    <w:rsid w:val="00F6742A"/>
    <w:rsid w:val="00F67D30"/>
    <w:rsid w:val="00F70089"/>
    <w:rsid w:val="00F702AD"/>
    <w:rsid w:val="00F7031D"/>
    <w:rsid w:val="00F70EFA"/>
    <w:rsid w:val="00F71958"/>
    <w:rsid w:val="00F71EE5"/>
    <w:rsid w:val="00F72BBE"/>
    <w:rsid w:val="00F72DCB"/>
    <w:rsid w:val="00F7314C"/>
    <w:rsid w:val="00F73235"/>
    <w:rsid w:val="00F73434"/>
    <w:rsid w:val="00F7423A"/>
    <w:rsid w:val="00F7477F"/>
    <w:rsid w:val="00F74891"/>
    <w:rsid w:val="00F74936"/>
    <w:rsid w:val="00F7498A"/>
    <w:rsid w:val="00F751D3"/>
    <w:rsid w:val="00F75766"/>
    <w:rsid w:val="00F75868"/>
    <w:rsid w:val="00F75CAB"/>
    <w:rsid w:val="00F75EB6"/>
    <w:rsid w:val="00F767F9"/>
    <w:rsid w:val="00F76D55"/>
    <w:rsid w:val="00F76FFF"/>
    <w:rsid w:val="00F779F5"/>
    <w:rsid w:val="00F807E3"/>
    <w:rsid w:val="00F807F8"/>
    <w:rsid w:val="00F8084A"/>
    <w:rsid w:val="00F80C62"/>
    <w:rsid w:val="00F81283"/>
    <w:rsid w:val="00F8138E"/>
    <w:rsid w:val="00F814BB"/>
    <w:rsid w:val="00F81C59"/>
    <w:rsid w:val="00F81CCC"/>
    <w:rsid w:val="00F8242B"/>
    <w:rsid w:val="00F82FDC"/>
    <w:rsid w:val="00F832D2"/>
    <w:rsid w:val="00F836EC"/>
    <w:rsid w:val="00F839D0"/>
    <w:rsid w:val="00F83DC0"/>
    <w:rsid w:val="00F842CD"/>
    <w:rsid w:val="00F84EA8"/>
    <w:rsid w:val="00F84EC4"/>
    <w:rsid w:val="00F853EC"/>
    <w:rsid w:val="00F85858"/>
    <w:rsid w:val="00F86C8E"/>
    <w:rsid w:val="00F86DBA"/>
    <w:rsid w:val="00F87F45"/>
    <w:rsid w:val="00F9024D"/>
    <w:rsid w:val="00F905DD"/>
    <w:rsid w:val="00F90A5C"/>
    <w:rsid w:val="00F912F4"/>
    <w:rsid w:val="00F91FFB"/>
    <w:rsid w:val="00F920A0"/>
    <w:rsid w:val="00F920E8"/>
    <w:rsid w:val="00F9257F"/>
    <w:rsid w:val="00F9304C"/>
    <w:rsid w:val="00F934E9"/>
    <w:rsid w:val="00F93661"/>
    <w:rsid w:val="00F93DF3"/>
    <w:rsid w:val="00F93F8B"/>
    <w:rsid w:val="00F94800"/>
    <w:rsid w:val="00F948EB"/>
    <w:rsid w:val="00F94BDA"/>
    <w:rsid w:val="00F94BFF"/>
    <w:rsid w:val="00F9520D"/>
    <w:rsid w:val="00F952C3"/>
    <w:rsid w:val="00F9531E"/>
    <w:rsid w:val="00F95444"/>
    <w:rsid w:val="00F957FC"/>
    <w:rsid w:val="00F95DB8"/>
    <w:rsid w:val="00F96FF6"/>
    <w:rsid w:val="00F971A1"/>
    <w:rsid w:val="00F97512"/>
    <w:rsid w:val="00F9759D"/>
    <w:rsid w:val="00F97D73"/>
    <w:rsid w:val="00F97E96"/>
    <w:rsid w:val="00FA0046"/>
    <w:rsid w:val="00FA037F"/>
    <w:rsid w:val="00FA065C"/>
    <w:rsid w:val="00FA080A"/>
    <w:rsid w:val="00FA09AA"/>
    <w:rsid w:val="00FA0D13"/>
    <w:rsid w:val="00FA13B9"/>
    <w:rsid w:val="00FA196D"/>
    <w:rsid w:val="00FA19E2"/>
    <w:rsid w:val="00FA1BED"/>
    <w:rsid w:val="00FA23B4"/>
    <w:rsid w:val="00FA2D7D"/>
    <w:rsid w:val="00FA2F23"/>
    <w:rsid w:val="00FA2FA5"/>
    <w:rsid w:val="00FA305D"/>
    <w:rsid w:val="00FA31DC"/>
    <w:rsid w:val="00FA322E"/>
    <w:rsid w:val="00FA3B60"/>
    <w:rsid w:val="00FA41D2"/>
    <w:rsid w:val="00FA521B"/>
    <w:rsid w:val="00FA55A0"/>
    <w:rsid w:val="00FA5FF3"/>
    <w:rsid w:val="00FA661E"/>
    <w:rsid w:val="00FA6A17"/>
    <w:rsid w:val="00FA6A77"/>
    <w:rsid w:val="00FA6CB7"/>
    <w:rsid w:val="00FA6FCB"/>
    <w:rsid w:val="00FA754B"/>
    <w:rsid w:val="00FA79EC"/>
    <w:rsid w:val="00FA7CC7"/>
    <w:rsid w:val="00FB040A"/>
    <w:rsid w:val="00FB0427"/>
    <w:rsid w:val="00FB0E88"/>
    <w:rsid w:val="00FB13DB"/>
    <w:rsid w:val="00FB1416"/>
    <w:rsid w:val="00FB1553"/>
    <w:rsid w:val="00FB1678"/>
    <w:rsid w:val="00FB1851"/>
    <w:rsid w:val="00FB2038"/>
    <w:rsid w:val="00FB21A4"/>
    <w:rsid w:val="00FB228E"/>
    <w:rsid w:val="00FB2849"/>
    <w:rsid w:val="00FB29E3"/>
    <w:rsid w:val="00FB2F52"/>
    <w:rsid w:val="00FB3098"/>
    <w:rsid w:val="00FB3538"/>
    <w:rsid w:val="00FB4229"/>
    <w:rsid w:val="00FB4401"/>
    <w:rsid w:val="00FB4517"/>
    <w:rsid w:val="00FB4577"/>
    <w:rsid w:val="00FB4ADB"/>
    <w:rsid w:val="00FB4F48"/>
    <w:rsid w:val="00FB5E79"/>
    <w:rsid w:val="00FB638C"/>
    <w:rsid w:val="00FB696E"/>
    <w:rsid w:val="00FB6C7F"/>
    <w:rsid w:val="00FB73B8"/>
    <w:rsid w:val="00FB78CF"/>
    <w:rsid w:val="00FC019D"/>
    <w:rsid w:val="00FC0330"/>
    <w:rsid w:val="00FC0CFE"/>
    <w:rsid w:val="00FC1062"/>
    <w:rsid w:val="00FC14FA"/>
    <w:rsid w:val="00FC1566"/>
    <w:rsid w:val="00FC1E08"/>
    <w:rsid w:val="00FC2077"/>
    <w:rsid w:val="00FC3988"/>
    <w:rsid w:val="00FC4433"/>
    <w:rsid w:val="00FC456F"/>
    <w:rsid w:val="00FC4592"/>
    <w:rsid w:val="00FC47BF"/>
    <w:rsid w:val="00FC4D01"/>
    <w:rsid w:val="00FC4FB8"/>
    <w:rsid w:val="00FC5573"/>
    <w:rsid w:val="00FC56EC"/>
    <w:rsid w:val="00FC5CB7"/>
    <w:rsid w:val="00FC6455"/>
    <w:rsid w:val="00FC6D5C"/>
    <w:rsid w:val="00FC6FC0"/>
    <w:rsid w:val="00FC7A74"/>
    <w:rsid w:val="00FC7BDF"/>
    <w:rsid w:val="00FC7D20"/>
    <w:rsid w:val="00FD0704"/>
    <w:rsid w:val="00FD0714"/>
    <w:rsid w:val="00FD0CF4"/>
    <w:rsid w:val="00FD0D1B"/>
    <w:rsid w:val="00FD1410"/>
    <w:rsid w:val="00FD1B71"/>
    <w:rsid w:val="00FD2C5E"/>
    <w:rsid w:val="00FD2ED6"/>
    <w:rsid w:val="00FD2FD1"/>
    <w:rsid w:val="00FD3035"/>
    <w:rsid w:val="00FD37C5"/>
    <w:rsid w:val="00FD38CA"/>
    <w:rsid w:val="00FD3D6B"/>
    <w:rsid w:val="00FD4410"/>
    <w:rsid w:val="00FD4DB9"/>
    <w:rsid w:val="00FD6216"/>
    <w:rsid w:val="00FD644C"/>
    <w:rsid w:val="00FD7D47"/>
    <w:rsid w:val="00FD7EBB"/>
    <w:rsid w:val="00FE02CB"/>
    <w:rsid w:val="00FE0E4D"/>
    <w:rsid w:val="00FE10FF"/>
    <w:rsid w:val="00FE125D"/>
    <w:rsid w:val="00FE1611"/>
    <w:rsid w:val="00FE19BD"/>
    <w:rsid w:val="00FE1CB9"/>
    <w:rsid w:val="00FE1FD9"/>
    <w:rsid w:val="00FE2C40"/>
    <w:rsid w:val="00FE314C"/>
    <w:rsid w:val="00FE3D3B"/>
    <w:rsid w:val="00FE4588"/>
    <w:rsid w:val="00FE4ACD"/>
    <w:rsid w:val="00FE4FF6"/>
    <w:rsid w:val="00FE513F"/>
    <w:rsid w:val="00FE5572"/>
    <w:rsid w:val="00FE58DC"/>
    <w:rsid w:val="00FE60B5"/>
    <w:rsid w:val="00FE6121"/>
    <w:rsid w:val="00FE661F"/>
    <w:rsid w:val="00FE66B9"/>
    <w:rsid w:val="00FE6787"/>
    <w:rsid w:val="00FE6F36"/>
    <w:rsid w:val="00FE6FB3"/>
    <w:rsid w:val="00FF0733"/>
    <w:rsid w:val="00FF080A"/>
    <w:rsid w:val="00FF0A4D"/>
    <w:rsid w:val="00FF1C6A"/>
    <w:rsid w:val="00FF1C7B"/>
    <w:rsid w:val="00FF21F5"/>
    <w:rsid w:val="00FF24A5"/>
    <w:rsid w:val="00FF24CB"/>
    <w:rsid w:val="00FF25E4"/>
    <w:rsid w:val="00FF2D1F"/>
    <w:rsid w:val="00FF3DC1"/>
    <w:rsid w:val="00FF5188"/>
    <w:rsid w:val="00FF52E9"/>
    <w:rsid w:val="00FF53D1"/>
    <w:rsid w:val="00FF56CF"/>
    <w:rsid w:val="00FF5781"/>
    <w:rsid w:val="00FF5D38"/>
    <w:rsid w:val="00FF63CE"/>
    <w:rsid w:val="00FF68F7"/>
    <w:rsid w:val="00FF6D9C"/>
    <w:rsid w:val="00FF74E7"/>
    <w:rsid w:val="00FF77B3"/>
    <w:rsid w:val="00FF7BE1"/>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33F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rsid w:val="00FA6A17"/>
    <w:pPr>
      <w:spacing w:before="120" w:line="276" w:lineRule="auto"/>
      <w:ind w:left="1418" w:right="339"/>
      <w:jc w:val="both"/>
    </w:pPr>
  </w:style>
  <w:style w:type="paragraph" w:styleId="Nagwek1">
    <w:name w:val="heading 1"/>
    <w:basedOn w:val="Normalny"/>
    <w:next w:val="Normalny"/>
    <w:link w:val="Nagwek1Znak"/>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Nagwek2">
    <w:name w:val="heading 2"/>
    <w:basedOn w:val="Normalny"/>
    <w:next w:val="Normalny"/>
    <w:link w:val="Nagwek2Znak"/>
    <w:rsid w:val="00877C37"/>
    <w:pPr>
      <w:keepNext/>
      <w:numPr>
        <w:numId w:val="12"/>
      </w:numPr>
      <w:spacing w:after="240"/>
      <w:outlineLvl w:val="1"/>
    </w:pPr>
    <w:rPr>
      <w:rFonts w:ascii="Arial Rounded MT Bold" w:hAnsi="Arial Rounded MT Bold"/>
      <w:b/>
      <w:bCs/>
      <w:iCs/>
      <w:color w:val="7D8B8A" w:themeColor="accent1"/>
      <w:sz w:val="24"/>
    </w:rPr>
  </w:style>
  <w:style w:type="paragraph" w:styleId="Nagwek3">
    <w:name w:val="heading 3"/>
    <w:basedOn w:val="Normalny"/>
    <w:next w:val="Normalny"/>
    <w:link w:val="Nagwek3Znak"/>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Nagwek4">
    <w:name w:val="heading 4"/>
    <w:basedOn w:val="Normalny"/>
    <w:next w:val="Normalny"/>
    <w:link w:val="Nagwek4Znak"/>
    <w:pPr>
      <w:keepNext/>
      <w:outlineLvl w:val="3"/>
    </w:pPr>
    <w:rPr>
      <w:rFonts w:ascii="Verdana" w:hAnsi="Verdana"/>
      <w:b/>
      <w:bCs/>
    </w:rPr>
  </w:style>
  <w:style w:type="paragraph" w:styleId="Nagwek5">
    <w:name w:val="heading 5"/>
    <w:basedOn w:val="Normalny"/>
    <w:next w:val="Normalny"/>
    <w:pPr>
      <w:numPr>
        <w:ilvl w:val="4"/>
        <w:numId w:val="2"/>
      </w:numPr>
      <w:spacing w:before="240" w:after="60"/>
      <w:outlineLvl w:val="4"/>
    </w:pPr>
    <w:rPr>
      <w:rFonts w:ascii="Verdana" w:hAnsi="Verdana"/>
      <w:b/>
      <w:bCs/>
      <w:i/>
      <w:iCs/>
      <w:szCs w:val="26"/>
    </w:rPr>
  </w:style>
  <w:style w:type="paragraph" w:styleId="Nagwek6">
    <w:name w:val="heading 6"/>
    <w:basedOn w:val="Normalny"/>
    <w:next w:val="Normalny"/>
    <w:pPr>
      <w:numPr>
        <w:ilvl w:val="5"/>
        <w:numId w:val="2"/>
      </w:numPr>
      <w:spacing w:before="240" w:after="60"/>
      <w:outlineLvl w:val="5"/>
    </w:pPr>
    <w:rPr>
      <w:rFonts w:ascii="Verdana" w:hAnsi="Verdana"/>
      <w:b/>
      <w:bCs/>
    </w:rPr>
  </w:style>
  <w:style w:type="paragraph" w:styleId="Nagwek7">
    <w:name w:val="heading 7"/>
    <w:basedOn w:val="Normalny"/>
    <w:next w:val="Normalny"/>
    <w:pPr>
      <w:numPr>
        <w:ilvl w:val="6"/>
        <w:numId w:val="2"/>
      </w:numPr>
      <w:spacing w:before="240" w:after="60"/>
      <w:outlineLvl w:val="6"/>
    </w:pPr>
    <w:rPr>
      <w:rFonts w:ascii="Verdana" w:hAnsi="Verdana"/>
    </w:rPr>
  </w:style>
  <w:style w:type="paragraph" w:styleId="Nagwek8">
    <w:name w:val="heading 8"/>
    <w:basedOn w:val="Normalny"/>
    <w:next w:val="Normalny"/>
    <w:pPr>
      <w:numPr>
        <w:ilvl w:val="7"/>
        <w:numId w:val="2"/>
      </w:numPr>
      <w:spacing w:before="240" w:after="60"/>
      <w:outlineLvl w:val="7"/>
    </w:pPr>
    <w:rPr>
      <w:rFonts w:ascii="Verdana" w:hAnsi="Verdana"/>
      <w:i/>
      <w:iCs/>
    </w:rPr>
  </w:style>
  <w:style w:type="paragraph" w:styleId="Nagwek9">
    <w:name w:val="heading 9"/>
    <w:basedOn w:val="Normalny"/>
    <w:next w:val="Normalny"/>
    <w:pPr>
      <w:numPr>
        <w:ilvl w:val="8"/>
        <w:numId w:val="2"/>
      </w:numPr>
      <w:spacing w:before="240" w:after="60"/>
      <w:outlineLvl w:val="8"/>
    </w:pPr>
    <w:rPr>
      <w:rFonts w:ascii="Verdana" w:hAnsi="Verdana"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rPr>
      <w:rFonts w:ascii="Verdana" w:hAnsi="Verdana"/>
      <w:sz w:val="16"/>
    </w:rPr>
  </w:style>
  <w:style w:type="paragraph" w:styleId="Stopka">
    <w:name w:val="footer"/>
    <w:basedOn w:val="Normalny"/>
    <w:link w:val="StopkaZnak"/>
    <w:uiPriority w:val="99"/>
    <w:pPr>
      <w:tabs>
        <w:tab w:val="center" w:pos="4536"/>
        <w:tab w:val="right" w:pos="9072"/>
      </w:tabs>
    </w:pPr>
    <w:rPr>
      <w:rFonts w:ascii="Verdana" w:hAnsi="Verdana"/>
      <w:noProof/>
      <w:sz w:val="16"/>
    </w:rPr>
  </w:style>
  <w:style w:type="character" w:styleId="Numerstrony">
    <w:name w:val="page number"/>
    <w:basedOn w:val="Domylnaczcionkaakapitu"/>
    <w:rPr>
      <w:rFonts w:ascii="Verdana" w:hAnsi="Verdana"/>
      <w:sz w:val="20"/>
    </w:rPr>
  </w:style>
  <w:style w:type="paragraph" w:styleId="Tekstpodstawowywcity">
    <w:name w:val="Body Text Indent"/>
    <w:basedOn w:val="Normalny"/>
    <w:semiHidden/>
    <w:pPr>
      <w:spacing w:before="60" w:after="60"/>
      <w:ind w:left="720"/>
    </w:pPr>
    <w:rPr>
      <w:rFonts w:ascii="Verdana" w:hAnsi="Verdana"/>
    </w:rPr>
  </w:style>
  <w:style w:type="paragraph" w:styleId="Tekstpodstawowy">
    <w:name w:val="Body Text"/>
    <w:basedOn w:val="Normalny"/>
    <w:link w:val="TekstpodstawowyZnak"/>
    <w:pPr>
      <w:spacing w:after="120"/>
    </w:pPr>
    <w:rPr>
      <w:rFonts w:ascii="Verdana" w:hAnsi="Verdana"/>
    </w:rPr>
  </w:style>
  <w:style w:type="paragraph" w:styleId="Tekstdymka">
    <w:name w:val="Balloon Text"/>
    <w:basedOn w:val="Normalny"/>
    <w:link w:val="TekstdymkaZnak"/>
    <w:uiPriority w:val="99"/>
    <w:semiHidden/>
    <w:unhideWhenUsed/>
    <w:rsid w:val="00E5766A"/>
    <w:rPr>
      <w:rFonts w:ascii="Tahoma" w:hAnsi="Tahoma" w:cs="Tahoma"/>
      <w:sz w:val="16"/>
      <w:szCs w:val="16"/>
    </w:rPr>
  </w:style>
  <w:style w:type="paragraph" w:customStyle="1" w:styleId="Bullet1">
    <w:name w:val="Bullet1"/>
    <w:basedOn w:val="Normalny"/>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TekstdymkaZnak">
    <w:name w:val="Tekst dymka Znak"/>
    <w:basedOn w:val="Domylnaczcionkaakapitu"/>
    <w:link w:val="Tekstdymka"/>
    <w:uiPriority w:val="99"/>
    <w:semiHidden/>
    <w:rsid w:val="00E5766A"/>
    <w:rPr>
      <w:rFonts w:ascii="Tahoma" w:hAnsi="Tahoma" w:cs="Tahoma"/>
      <w:sz w:val="16"/>
      <w:szCs w:val="16"/>
      <w:lang w:val="pl-PL" w:eastAsia="de-DE"/>
    </w:rPr>
  </w:style>
  <w:style w:type="character" w:styleId="Odwoaniedokomentarza">
    <w:name w:val="annotation reference"/>
    <w:basedOn w:val="Domylnaczcionkaakapitu"/>
    <w:uiPriority w:val="99"/>
    <w:unhideWhenUsed/>
    <w:rsid w:val="0023224E"/>
    <w:rPr>
      <w:sz w:val="16"/>
      <w:szCs w:val="16"/>
    </w:rPr>
  </w:style>
  <w:style w:type="paragraph" w:styleId="Tekstkomentarza">
    <w:name w:val="annotation text"/>
    <w:basedOn w:val="Normalny"/>
    <w:link w:val="TekstkomentarzaZnak"/>
    <w:uiPriority w:val="99"/>
    <w:unhideWhenUsed/>
    <w:rsid w:val="0023224E"/>
    <w:pPr>
      <w:spacing w:line="240" w:lineRule="auto"/>
    </w:pPr>
  </w:style>
  <w:style w:type="character" w:customStyle="1" w:styleId="TekstkomentarzaZnak">
    <w:name w:val="Tekst komentarza Znak"/>
    <w:basedOn w:val="Domylnaczcionkaakapitu"/>
    <w:link w:val="Tekstkomentarza"/>
    <w:uiPriority w:val="99"/>
    <w:rsid w:val="0023224E"/>
    <w:rPr>
      <w:rFonts w:ascii="Calibri" w:eastAsia="Calibri" w:hAnsi="Calibri"/>
      <w:lang w:val="pl-PL" w:eastAsia="en-US"/>
    </w:rPr>
  </w:style>
  <w:style w:type="paragraph" w:styleId="Tematkomentarza">
    <w:name w:val="annotation subject"/>
    <w:basedOn w:val="Tekstkomentarza"/>
    <w:next w:val="Tekstkomentarza"/>
    <w:link w:val="TematkomentarzaZnak"/>
    <w:uiPriority w:val="99"/>
    <w:semiHidden/>
    <w:unhideWhenUsed/>
    <w:rsid w:val="0023224E"/>
    <w:rPr>
      <w:b/>
      <w:bCs/>
    </w:rPr>
  </w:style>
  <w:style w:type="character" w:customStyle="1" w:styleId="TematkomentarzaZnak">
    <w:name w:val="Temat komentarza Znak"/>
    <w:basedOn w:val="TekstkomentarzaZnak"/>
    <w:link w:val="Tematkomentarza"/>
    <w:uiPriority w:val="99"/>
    <w:semiHidden/>
    <w:rsid w:val="0023224E"/>
    <w:rPr>
      <w:rFonts w:ascii="Calibri" w:eastAsia="Calibri" w:hAnsi="Calibri"/>
      <w:b/>
      <w:bCs/>
      <w:lang w:val="pl-PL" w:eastAsia="en-US"/>
    </w:rPr>
  </w:style>
  <w:style w:type="paragraph" w:styleId="Akapitzlist">
    <w:name w:val="List Paragraph"/>
    <w:basedOn w:val="Normalny"/>
    <w:link w:val="AkapitzlistZnak"/>
    <w:uiPriority w:val="34"/>
    <w:qFormat/>
    <w:rsid w:val="00063D14"/>
    <w:pPr>
      <w:ind w:left="720"/>
      <w:contextualSpacing/>
    </w:pPr>
  </w:style>
  <w:style w:type="character" w:styleId="Hipercze">
    <w:name w:val="Hyperlink"/>
    <w:basedOn w:val="Domylnaczcionkaakapitu"/>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nyWeb">
    <w:name w:val="Normal (Web)"/>
    <w:basedOn w:val="Normalny"/>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Domylnaczcionkaakapitu"/>
    <w:rsid w:val="0037093F"/>
  </w:style>
  <w:style w:type="table" w:styleId="Jasnalistaakcent1">
    <w:name w:val="Light List Accent 1"/>
    <w:basedOn w:val="Standardowy"/>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alny"/>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ny"/>
    <w:rsid w:val="00A350E1"/>
    <w:pPr>
      <w:spacing w:before="40" w:after="40" w:line="240" w:lineRule="auto"/>
    </w:pPr>
    <w:rPr>
      <w:rFonts w:ascii="Arial Narrow" w:hAnsi="Arial Narrow" w:cs="Arial"/>
      <w:lang w:eastAsia="de-DE"/>
    </w:rPr>
  </w:style>
  <w:style w:type="character" w:styleId="UyteHipercze">
    <w:name w:val="FollowedHyperlink"/>
    <w:basedOn w:val="Domylnaczcionkaakapitu"/>
    <w:uiPriority w:val="99"/>
    <w:semiHidden/>
    <w:unhideWhenUsed/>
    <w:rsid w:val="005E328C"/>
    <w:rPr>
      <w:color w:val="BFBFBF" w:themeColor="followedHyperlink"/>
      <w:u w:val="single"/>
    </w:rPr>
  </w:style>
  <w:style w:type="paragraph" w:styleId="Poprawka">
    <w:name w:val="Revision"/>
    <w:hidden/>
    <w:uiPriority w:val="99"/>
    <w:semiHidden/>
    <w:rsid w:val="00F842CD"/>
    <w:rPr>
      <w:rFonts w:ascii="Calibri" w:eastAsia="Calibri" w:hAnsi="Calibri"/>
      <w:sz w:val="22"/>
      <w:szCs w:val="22"/>
    </w:rPr>
  </w:style>
  <w:style w:type="table" w:styleId="Tabela-Siatka">
    <w:name w:val="Table Grid"/>
    <w:basedOn w:val="Standardowy"/>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Jasnalistaakcent4">
    <w:name w:val="Light List Accent 4"/>
    <w:basedOn w:val="Standardowy"/>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Jasnecieniowanieakcent5">
    <w:name w:val="Light Shading Accent 5"/>
    <w:basedOn w:val="Standardowy"/>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redniasiatka3akcent1">
    <w:name w:val="Medium Grid 3 Accent 1"/>
    <w:basedOn w:val="Standardowy"/>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Listapunktowana"/>
    <w:rsid w:val="0093166C"/>
    <w:pPr>
      <w:numPr>
        <w:numId w:val="0"/>
      </w:numPr>
      <w:spacing w:after="240" w:line="280" w:lineRule="atLeast"/>
      <w:ind w:left="284" w:hanging="284"/>
    </w:pPr>
    <w:rPr>
      <w:rFonts w:ascii="Arial" w:hAnsi="Arial"/>
      <w:lang w:eastAsia="de-DE"/>
    </w:rPr>
  </w:style>
  <w:style w:type="paragraph" w:styleId="Listapunktowana">
    <w:name w:val="List Bullet"/>
    <w:basedOn w:val="Normalny"/>
    <w:uiPriority w:val="99"/>
    <w:semiHidden/>
    <w:unhideWhenUsed/>
    <w:rsid w:val="0093166C"/>
    <w:pPr>
      <w:numPr>
        <w:numId w:val="4"/>
      </w:numPr>
      <w:contextualSpacing/>
    </w:pPr>
  </w:style>
  <w:style w:type="paragraph" w:styleId="Tytu">
    <w:name w:val="Title"/>
    <w:basedOn w:val="Normalny"/>
    <w:next w:val="Normalny"/>
    <w:link w:val="TytuZnak"/>
    <w:qFormat/>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ytuZnak">
    <w:name w:val="Tytuł Znak"/>
    <w:basedOn w:val="Domylnaczcionkaakapitu"/>
    <w:link w:val="Tytu"/>
    <w:rsid w:val="007E62DC"/>
    <w:rPr>
      <w:rFonts w:asciiTheme="majorHAnsi" w:eastAsiaTheme="majorEastAsia" w:hAnsiTheme="majorHAnsi" w:cstheme="majorBidi"/>
      <w:color w:val="39393A" w:themeColor="text2" w:themeShade="BF"/>
      <w:spacing w:val="5"/>
      <w:kern w:val="28"/>
      <w:sz w:val="52"/>
      <w:szCs w:val="52"/>
      <w:lang w:val="pl-PL" w:eastAsia="en-US"/>
    </w:rPr>
  </w:style>
  <w:style w:type="paragraph" w:customStyle="1" w:styleId="CommsHeading1">
    <w:name w:val="Comms Heading 1"/>
    <w:basedOn w:val="Nagwek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Nagwek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Nagwek1Znak">
    <w:name w:val="Nagłówek 1 Znak"/>
    <w:basedOn w:val="Domylnaczcionkaakapitu"/>
    <w:link w:val="Nagwek1"/>
    <w:rsid w:val="00877C37"/>
    <w:rPr>
      <w:rFonts w:ascii="Arial Rounded MT Bold" w:hAnsi="Arial Rounded MT Bold"/>
      <w:b/>
      <w:bCs/>
      <w:color w:val="7D8B8A" w:themeColor="accent1"/>
      <w:sz w:val="28"/>
    </w:rPr>
  </w:style>
  <w:style w:type="character" w:customStyle="1" w:styleId="CommsHeading1Char">
    <w:name w:val="Comms Heading 1 Char"/>
    <w:basedOn w:val="Nagwek1Znak"/>
    <w:link w:val="CommsHeading1"/>
    <w:rsid w:val="007E62DC"/>
    <w:rPr>
      <w:rFonts w:ascii="Trebuchet MS" w:hAnsi="Trebuchet MS"/>
      <w:b/>
      <w:bCs/>
      <w:color w:val="5D6867" w:themeColor="accent1" w:themeShade="BF"/>
      <w:sz w:val="28"/>
    </w:rPr>
  </w:style>
  <w:style w:type="paragraph" w:customStyle="1" w:styleId="CommsHeading111">
    <w:name w:val="Comms Heading 1.1.1"/>
    <w:basedOn w:val="Nagwek3"/>
    <w:link w:val="CommsHeading111Char"/>
    <w:rsid w:val="007E62DC"/>
    <w:pPr>
      <w:numPr>
        <w:numId w:val="0"/>
      </w:numPr>
      <w:ind w:left="1789" w:hanging="360"/>
    </w:pPr>
    <w:rPr>
      <w:rFonts w:ascii="Trebuchet MS" w:hAnsi="Trebuchet MS"/>
      <w:color w:val="5D6867" w:themeColor="accent1" w:themeShade="BF"/>
    </w:rPr>
  </w:style>
  <w:style w:type="character" w:customStyle="1" w:styleId="Nagwek2Znak">
    <w:name w:val="Nagłówek 2 Znak"/>
    <w:basedOn w:val="Domylnaczcionkaakapitu"/>
    <w:link w:val="Nagwek2"/>
    <w:rsid w:val="00877C37"/>
    <w:rPr>
      <w:rFonts w:ascii="Arial Rounded MT Bold" w:hAnsi="Arial Rounded MT Bold"/>
      <w:b/>
      <w:bCs/>
      <w:iCs/>
      <w:color w:val="7D8B8A" w:themeColor="accent1"/>
      <w:sz w:val="24"/>
    </w:rPr>
  </w:style>
  <w:style w:type="character" w:customStyle="1" w:styleId="CommsHeading11Char">
    <w:name w:val="Comms Heading 1.1 Char"/>
    <w:basedOn w:val="Nagwek2Znak"/>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alny"/>
    <w:link w:val="CommsTextNormalChar"/>
    <w:rsid w:val="007E62DC"/>
  </w:style>
  <w:style w:type="character" w:customStyle="1" w:styleId="Nagwek3Znak">
    <w:name w:val="Nagłówek 3 Znak"/>
    <w:basedOn w:val="Domylnaczcionkaakapitu"/>
    <w:link w:val="Nagwek3"/>
    <w:rsid w:val="00877C37"/>
    <w:rPr>
      <w:rFonts w:ascii="Arial Rounded MT Bold" w:hAnsi="Arial Rounded MT Bold"/>
      <w:b/>
      <w:iCs/>
      <w:color w:val="7D8B8A" w:themeColor="accent1"/>
    </w:rPr>
  </w:style>
  <w:style w:type="character" w:customStyle="1" w:styleId="CommsHeading111Char">
    <w:name w:val="Comms Heading 1.1.1 Char"/>
    <w:basedOn w:val="Nagwek3Znak"/>
    <w:link w:val="CommsHeading111"/>
    <w:rsid w:val="007E62DC"/>
    <w:rPr>
      <w:rFonts w:ascii="Trebuchet MS" w:eastAsia="Calibri" w:hAnsi="Trebuchet MS"/>
      <w:b/>
      <w:iCs/>
      <w:color w:val="5D6867" w:themeColor="accent1" w:themeShade="BF"/>
    </w:rPr>
  </w:style>
  <w:style w:type="paragraph" w:styleId="Nagwekspisutreci">
    <w:name w:val="TOC Heading"/>
    <w:basedOn w:val="Nagwek1"/>
    <w:next w:val="Normalny"/>
    <w:uiPriority w:val="39"/>
    <w:unhideWhenUsed/>
    <w:qFormat/>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eastAsia="ja-JP"/>
    </w:rPr>
  </w:style>
  <w:style w:type="character" w:customStyle="1" w:styleId="CommsTextNormalChar">
    <w:name w:val="Comms Text Normal Char"/>
    <w:basedOn w:val="Domylnaczcionkaakapitu"/>
    <w:link w:val="CommsTextNormal"/>
    <w:rsid w:val="007E62DC"/>
    <w:rPr>
      <w:rFonts w:ascii="Trebuchet MS" w:eastAsia="Calibri" w:hAnsi="Trebuchet MS"/>
      <w:lang w:val="pl-PL" w:eastAsia="en-US"/>
    </w:rPr>
  </w:style>
  <w:style w:type="paragraph" w:styleId="Spistreci1">
    <w:name w:val="toc 1"/>
    <w:basedOn w:val="Normalny"/>
    <w:next w:val="Normalny"/>
    <w:autoRedefine/>
    <w:uiPriority w:val="39"/>
    <w:unhideWhenUsed/>
    <w:rsid w:val="00051D5A"/>
    <w:pPr>
      <w:tabs>
        <w:tab w:val="left" w:pos="284"/>
        <w:tab w:val="right" w:leader="dot" w:pos="8505"/>
      </w:tabs>
      <w:spacing w:line="240" w:lineRule="auto"/>
    </w:pPr>
    <w:rPr>
      <w:b/>
      <w:bCs/>
      <w:caps/>
      <w:noProof/>
    </w:rPr>
  </w:style>
  <w:style w:type="paragraph" w:styleId="Spistreci2">
    <w:name w:val="toc 2"/>
    <w:basedOn w:val="Normalny"/>
    <w:next w:val="Normalny"/>
    <w:autoRedefine/>
    <w:uiPriority w:val="39"/>
    <w:unhideWhenUsed/>
    <w:rsid w:val="001937BA"/>
    <w:pPr>
      <w:tabs>
        <w:tab w:val="right" w:leader="dot" w:pos="9396"/>
      </w:tabs>
      <w:ind w:left="0" w:right="340"/>
      <w:jc w:val="left"/>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alny"/>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ezodstpw"/>
    <w:link w:val="FSNormalChar"/>
    <w:rsid w:val="007E62DC"/>
    <w:pPr>
      <w:spacing w:line="276" w:lineRule="auto"/>
    </w:pPr>
    <w:rPr>
      <w:rFonts w:ascii="Trebuchet MS" w:eastAsia="Times New Roman" w:hAnsi="Trebuchet MS"/>
      <w:sz w:val="20"/>
      <w:szCs w:val="20"/>
      <w:lang w:eastAsia="en-GB"/>
    </w:rPr>
  </w:style>
  <w:style w:type="character" w:customStyle="1" w:styleId="FSNormalChar">
    <w:name w:val="FS Normal Char"/>
    <w:link w:val="FSNormal"/>
    <w:rsid w:val="007E62DC"/>
    <w:rPr>
      <w:rFonts w:ascii="Trebuchet MS" w:hAnsi="Trebuchet MS"/>
      <w:lang w:val="pl-PL"/>
    </w:rPr>
  </w:style>
  <w:style w:type="paragraph" w:styleId="Bezodstpw">
    <w:name w:val="No Spacing"/>
    <w:link w:val="BezodstpwZnak"/>
    <w:uiPriority w:val="1"/>
    <w:rsid w:val="007E62DC"/>
    <w:rPr>
      <w:rFonts w:ascii="Calibri" w:eastAsia="Calibri" w:hAnsi="Calibri"/>
      <w:sz w:val="22"/>
      <w:szCs w:val="22"/>
    </w:rPr>
  </w:style>
  <w:style w:type="paragraph" w:styleId="Spistreci3">
    <w:name w:val="toc 3"/>
    <w:basedOn w:val="Normalny"/>
    <w:next w:val="Normalny"/>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Tekstprzypisudolnego">
    <w:name w:val="footnote text"/>
    <w:aliases w:val="CE-Footnote,Footnote,Schriftart: 9 pt,Schriftart: 10 pt,Schriftart: 8 pt,WB-Fußnotentext,FoodNote,ft,Footnote text,Footnote Text Char Char,Footnote Text Char1 Char Char,Footnote Text Char Char Char Char,fn,f,Char"/>
    <w:basedOn w:val="CE-StandardText"/>
    <w:link w:val="TekstprzypisudolnegoZnak"/>
    <w:unhideWhenUsed/>
    <w:qFormat/>
    <w:rsid w:val="0067637D"/>
    <w:pPr>
      <w:spacing w:before="60" w:line="240" w:lineRule="auto"/>
    </w:pPr>
    <w:rPr>
      <w:color w:val="A6A7A9" w:themeColor="accent5"/>
      <w:sz w:val="17"/>
    </w:rPr>
  </w:style>
  <w:style w:type="character" w:customStyle="1" w:styleId="TekstprzypisudolnegoZnak">
    <w:name w:val="Tekst przypisu dolnego Znak"/>
    <w:aliases w:val="CE-Footnote Znak,Footnote Znak,Schriftart: 9 pt Znak,Schriftart: 10 pt Znak,Schriftart: 8 pt Znak,WB-Fußnotentext Znak,FoodNote Znak,ft Znak,Footnote text Znak,Footnote Text Char Char Znak,Footnote Text Char1 Char Char Znak"/>
    <w:basedOn w:val="Domylnaczcionkaakapitu"/>
    <w:link w:val="Tekstprzypisudolnego"/>
    <w:rsid w:val="0067637D"/>
    <w:rPr>
      <w:rFonts w:ascii="Trebuchet MS" w:hAnsi="Trebuchet MS"/>
      <w:color w:val="A6A7A9" w:themeColor="accent5"/>
      <w:sz w:val="17"/>
      <w:szCs w:val="18"/>
      <w:lang w:val="pl-PL"/>
    </w:rPr>
  </w:style>
  <w:style w:type="character" w:styleId="Odwoanieprzypisudolnego">
    <w:name w:val="footnote reference"/>
    <w:aliases w:val="ESPON Footnote No,Footnote number,Footnote symbol,Footnote Reference Number,Footnote reference number,Times 10 Point,Exposant 3 Point,Footnote Reference Superscript,EN Footnote Reference,note TESI,Voetnootverwijzing,fr,o,FR"/>
    <w:basedOn w:val="Domylnaczcionkaakapitu"/>
    <w:unhideWhenUsed/>
    <w:rsid w:val="007E62DC"/>
    <w:rPr>
      <w:vertAlign w:val="superscript"/>
    </w:rPr>
  </w:style>
  <w:style w:type="paragraph" w:styleId="Spistreci4">
    <w:name w:val="toc 4"/>
    <w:basedOn w:val="Normalny"/>
    <w:next w:val="Normalny"/>
    <w:autoRedefine/>
    <w:uiPriority w:val="39"/>
    <w:unhideWhenUsed/>
    <w:rsid w:val="006A676A"/>
    <w:pPr>
      <w:ind w:left="440"/>
    </w:pPr>
    <w:rPr>
      <w:rFonts w:asciiTheme="minorHAnsi" w:hAnsiTheme="minorHAnsi"/>
    </w:rPr>
  </w:style>
  <w:style w:type="paragraph" w:styleId="Spistreci5">
    <w:name w:val="toc 5"/>
    <w:basedOn w:val="Normalny"/>
    <w:next w:val="Normalny"/>
    <w:autoRedefine/>
    <w:uiPriority w:val="39"/>
    <w:unhideWhenUsed/>
    <w:rsid w:val="006A676A"/>
    <w:pPr>
      <w:ind w:left="660"/>
    </w:pPr>
    <w:rPr>
      <w:rFonts w:asciiTheme="minorHAnsi" w:hAnsiTheme="minorHAnsi"/>
    </w:rPr>
  </w:style>
  <w:style w:type="paragraph" w:styleId="Spistreci6">
    <w:name w:val="toc 6"/>
    <w:basedOn w:val="Normalny"/>
    <w:next w:val="Normalny"/>
    <w:autoRedefine/>
    <w:uiPriority w:val="39"/>
    <w:unhideWhenUsed/>
    <w:rsid w:val="006A676A"/>
    <w:pPr>
      <w:ind w:left="880"/>
    </w:pPr>
    <w:rPr>
      <w:rFonts w:asciiTheme="minorHAnsi" w:hAnsiTheme="minorHAnsi"/>
    </w:rPr>
  </w:style>
  <w:style w:type="paragraph" w:styleId="Spistreci7">
    <w:name w:val="toc 7"/>
    <w:basedOn w:val="Normalny"/>
    <w:next w:val="Normalny"/>
    <w:autoRedefine/>
    <w:uiPriority w:val="39"/>
    <w:unhideWhenUsed/>
    <w:rsid w:val="006A676A"/>
    <w:pPr>
      <w:ind w:left="1100"/>
    </w:pPr>
    <w:rPr>
      <w:rFonts w:asciiTheme="minorHAnsi" w:hAnsiTheme="minorHAnsi"/>
    </w:rPr>
  </w:style>
  <w:style w:type="paragraph" w:styleId="Spistreci8">
    <w:name w:val="toc 8"/>
    <w:basedOn w:val="Normalny"/>
    <w:next w:val="Normalny"/>
    <w:autoRedefine/>
    <w:uiPriority w:val="39"/>
    <w:unhideWhenUsed/>
    <w:rsid w:val="006A676A"/>
    <w:pPr>
      <w:ind w:left="1320"/>
    </w:pPr>
    <w:rPr>
      <w:rFonts w:asciiTheme="minorHAnsi" w:hAnsiTheme="minorHAnsi"/>
    </w:rPr>
  </w:style>
  <w:style w:type="paragraph" w:styleId="Spistreci9">
    <w:name w:val="toc 9"/>
    <w:basedOn w:val="Normalny"/>
    <w:next w:val="Normalny"/>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redniecieniowanie1akcent1">
    <w:name w:val="Medium Shading 1 Accent 1"/>
    <w:basedOn w:val="Standardowy"/>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TekstpodstawowyZnak">
    <w:name w:val="Tekst podstawowy Znak"/>
    <w:basedOn w:val="Domylnaczcionkaakapitu"/>
    <w:link w:val="Tekstpodstawowy"/>
    <w:rsid w:val="0085654A"/>
    <w:rPr>
      <w:rFonts w:ascii="Verdana" w:eastAsia="Calibri" w:hAnsi="Verdana"/>
      <w:szCs w:val="22"/>
    </w:rPr>
  </w:style>
  <w:style w:type="character" w:customStyle="1" w:styleId="AkapitzlistZnak">
    <w:name w:val="Akapit z listą Znak"/>
    <w:link w:val="Akapitzlist"/>
    <w:uiPriority w:val="34"/>
    <w:rsid w:val="00DC05A9"/>
    <w:rPr>
      <w:rFonts w:ascii="Calibri" w:eastAsia="Calibri" w:hAnsi="Calibri"/>
      <w:sz w:val="22"/>
      <w:szCs w:val="22"/>
      <w:lang w:val="pl-PL"/>
    </w:rPr>
  </w:style>
  <w:style w:type="paragraph" w:styleId="Tekstpodstawowy3">
    <w:name w:val="Body Text 3"/>
    <w:basedOn w:val="Normalny"/>
    <w:link w:val="Tekstpodstawowy3Znak"/>
    <w:uiPriority w:val="99"/>
    <w:unhideWhenUsed/>
    <w:rsid w:val="00515CB1"/>
    <w:pPr>
      <w:spacing w:after="120"/>
    </w:pPr>
    <w:rPr>
      <w:sz w:val="16"/>
      <w:szCs w:val="16"/>
    </w:rPr>
  </w:style>
  <w:style w:type="character" w:customStyle="1" w:styleId="Tekstpodstawowy3Znak">
    <w:name w:val="Tekst podstawowy 3 Znak"/>
    <w:basedOn w:val="Domylnaczcionkaakapitu"/>
    <w:link w:val="Tekstpodstawowy3"/>
    <w:uiPriority w:val="99"/>
    <w:rsid w:val="00515CB1"/>
    <w:rPr>
      <w:rFonts w:ascii="Calibri" w:eastAsia="Calibri" w:hAnsi="Calibri"/>
      <w:sz w:val="16"/>
      <w:szCs w:val="16"/>
      <w:lang w:val="pl-PL"/>
    </w:rPr>
  </w:style>
  <w:style w:type="paragraph" w:styleId="Legenda">
    <w:name w:val="caption"/>
    <w:basedOn w:val="Normalny"/>
    <w:next w:val="Normalny"/>
    <w:rsid w:val="003C39D2"/>
    <w:pPr>
      <w:keepNext/>
      <w:spacing w:after="120" w:line="240" w:lineRule="auto"/>
    </w:pPr>
    <w:rPr>
      <w:b/>
      <w:color w:val="000080"/>
      <w:szCs w:val="18"/>
    </w:rPr>
  </w:style>
  <w:style w:type="character" w:customStyle="1" w:styleId="NagwekZnak">
    <w:name w:val="Nagłówek Znak"/>
    <w:basedOn w:val="Domylnaczcionkaakapitu"/>
    <w:link w:val="Nagwek"/>
    <w:uiPriority w:val="99"/>
    <w:rsid w:val="00A0196F"/>
    <w:rPr>
      <w:rFonts w:ascii="Verdana" w:eastAsia="Calibri" w:hAnsi="Verdana"/>
      <w:sz w:val="16"/>
      <w:szCs w:val="22"/>
      <w:lang w:val="pl-PL"/>
    </w:rPr>
  </w:style>
  <w:style w:type="character" w:customStyle="1" w:styleId="StopkaZnak">
    <w:name w:val="Stopka Znak"/>
    <w:basedOn w:val="Domylnaczcionkaakapitu"/>
    <w:link w:val="Stopka"/>
    <w:uiPriority w:val="99"/>
    <w:rsid w:val="00311673"/>
    <w:rPr>
      <w:rFonts w:ascii="Verdana" w:eastAsia="Calibri" w:hAnsi="Verdana"/>
      <w:noProof/>
      <w:sz w:val="16"/>
      <w:szCs w:val="22"/>
    </w:rPr>
  </w:style>
  <w:style w:type="paragraph" w:customStyle="1" w:styleId="bulletpoints">
    <w:name w:val="bulletpoints"/>
    <w:basedOn w:val="Akapitzlist"/>
    <w:link w:val="bulletpointsZchn"/>
    <w:rsid w:val="007B6341"/>
    <w:pPr>
      <w:numPr>
        <w:numId w:val="10"/>
      </w:numPr>
      <w:spacing w:before="240" w:after="240" w:line="360" w:lineRule="auto"/>
      <w:ind w:left="2268" w:right="340" w:hanging="425"/>
    </w:pPr>
    <w:rPr>
      <w:noProof/>
      <w:lang w:eastAsia="de-AT"/>
    </w:rPr>
  </w:style>
  <w:style w:type="paragraph" w:customStyle="1" w:styleId="bulletpoints2">
    <w:name w:val="bulletpoints 2"/>
    <w:basedOn w:val="Akapitzlist"/>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AkapitzlistZnak"/>
    <w:link w:val="bulletpoints"/>
    <w:rsid w:val="007B6341"/>
    <w:rPr>
      <w:rFonts w:ascii="Calibri" w:eastAsia="Calibri" w:hAnsi="Calibri"/>
      <w:noProof/>
      <w:sz w:val="22"/>
      <w:szCs w:val="22"/>
      <w:lang w:val="pl-PL" w:eastAsia="de-AT"/>
    </w:rPr>
  </w:style>
  <w:style w:type="table" w:styleId="Ciemnalista2akcent1">
    <w:name w:val="Dark List Accent 1"/>
    <w:basedOn w:val="Standardowy"/>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AkapitzlistZnak"/>
    <w:link w:val="bulletpoints2"/>
    <w:rsid w:val="00925502"/>
    <w:rPr>
      <w:rFonts w:ascii="Calibri" w:eastAsia="Calibri" w:hAnsi="Calibri"/>
      <w:sz w:val="22"/>
      <w:szCs w:val="22"/>
      <w:lang w:val="pl-PL"/>
    </w:rPr>
  </w:style>
  <w:style w:type="table" w:styleId="redniasiatka3akcent6">
    <w:name w:val="Medium Grid 3 Accent 6"/>
    <w:basedOn w:val="Standardowy"/>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Standardowy"/>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eastAsia="de-DE"/>
      <w14:ligatures w14:val="standard"/>
      <w14:cntxtAlts/>
    </w:rPr>
  </w:style>
  <w:style w:type="paragraph" w:customStyle="1" w:styleId="CE-Headline1">
    <w:name w:val="CE-Headline 1"/>
    <w:basedOn w:val="Nagwek2"/>
    <w:link w:val="CE-Headline1Zchn"/>
    <w:qFormat/>
    <w:rsid w:val="005A23E6"/>
    <w:pPr>
      <w:numPr>
        <w:numId w:val="26"/>
      </w:numPr>
      <w:spacing w:before="0"/>
      <w:ind w:right="340"/>
    </w:pPr>
    <w:rPr>
      <w:rFonts w:ascii="Trebuchet MS" w:hAnsi="Trebuchet MS"/>
      <w:noProof/>
      <w:color w:val="7E93A5" w:themeColor="background2"/>
      <w:spacing w:val="-10"/>
      <w:sz w:val="32"/>
      <w:szCs w:val="32"/>
      <w:lang w:eastAsia="de-AT"/>
    </w:rPr>
  </w:style>
  <w:style w:type="paragraph" w:customStyle="1" w:styleId="Headline2">
    <w:name w:val="Headline 2"/>
    <w:basedOn w:val="Nagwek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rPr>
  </w:style>
  <w:style w:type="paragraph" w:customStyle="1" w:styleId="Headline1part">
    <w:name w:val="Headline 1 part"/>
    <w:basedOn w:val="Nagwek2"/>
    <w:link w:val="Headline1partChar"/>
    <w:rsid w:val="000A739F"/>
    <w:pPr>
      <w:numPr>
        <w:numId w:val="14"/>
      </w:numPr>
      <w:ind w:left="1418" w:firstLine="0"/>
    </w:pPr>
    <w:rPr>
      <w:b w:val="0"/>
      <w:sz w:val="32"/>
      <w:szCs w:val="32"/>
    </w:rPr>
  </w:style>
  <w:style w:type="character" w:customStyle="1" w:styleId="Headline2Char">
    <w:name w:val="Headline 2 Char"/>
    <w:basedOn w:val="Nagwek2Znak"/>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pl-PL"/>
    </w:rPr>
  </w:style>
  <w:style w:type="paragraph" w:customStyle="1" w:styleId="HeadlineA1">
    <w:name w:val="Headline A1."/>
    <w:basedOn w:val="Nagwek2"/>
    <w:link w:val="HeadlineA1Char"/>
    <w:rsid w:val="000A739F"/>
    <w:rPr>
      <w:b w:val="0"/>
    </w:rPr>
  </w:style>
  <w:style w:type="character" w:customStyle="1" w:styleId="Headline1partChar">
    <w:name w:val="Headline 1 part Char"/>
    <w:basedOn w:val="Nagwek2Znak"/>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Nagwek3"/>
    <w:rsid w:val="000A739F"/>
    <w:rPr>
      <w:b w:val="0"/>
    </w:rPr>
  </w:style>
  <w:style w:type="character" w:customStyle="1" w:styleId="HeadlineA1Char">
    <w:name w:val="Headline A1. Char"/>
    <w:basedOn w:val="Nagwek2Znak"/>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Standardowy"/>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BezodstpwZnak">
    <w:name w:val="Bez odstępów Znak"/>
    <w:basedOn w:val="Domylnaczcionkaakapitu"/>
    <w:link w:val="Bezodstpw"/>
    <w:uiPriority w:val="1"/>
    <w:rsid w:val="006D3BB8"/>
    <w:rPr>
      <w:rFonts w:ascii="Calibri" w:eastAsia="Calibri" w:hAnsi="Calibri"/>
      <w:sz w:val="22"/>
      <w:szCs w:val="22"/>
      <w:lang w:val="pl-PL"/>
    </w:rPr>
  </w:style>
  <w:style w:type="paragraph" w:styleId="Tekstpodstawowy2">
    <w:name w:val="Body Text 2"/>
    <w:basedOn w:val="Normalny"/>
    <w:link w:val="Tekstpodstawowy2Znak"/>
    <w:uiPriority w:val="99"/>
    <w:unhideWhenUsed/>
    <w:rsid w:val="00995597"/>
    <w:pPr>
      <w:ind w:left="0" w:right="28"/>
      <w:jc w:val="left"/>
    </w:pPr>
    <w:rPr>
      <w:color w:val="FFFFFF" w:themeColor="background1"/>
    </w:rPr>
  </w:style>
  <w:style w:type="character" w:customStyle="1" w:styleId="Tekstpodstawowy2Znak">
    <w:name w:val="Tekst podstawowy 2 Znak"/>
    <w:basedOn w:val="Domylnaczcionkaakapitu"/>
    <w:link w:val="Tekstpodstawowy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alny"/>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eastAsia="de-DE"/>
    </w:rPr>
  </w:style>
  <w:style w:type="paragraph" w:customStyle="1" w:styleId="CE-Headline2">
    <w:name w:val="CE-Headline 2"/>
    <w:basedOn w:val="CE-Headline1"/>
    <w:link w:val="CE-Headline2Zchn"/>
    <w:qFormat/>
    <w:rsid w:val="00173920"/>
    <w:pPr>
      <w:numPr>
        <w:ilvl w:val="1"/>
      </w:numPr>
      <w:tabs>
        <w:tab w:val="left" w:pos="454"/>
      </w:tabs>
      <w:spacing w:line="240" w:lineRule="auto"/>
    </w:pPr>
    <w:rPr>
      <w:color w:val="7D8B8A" w:themeColor="accent1"/>
      <w:sz w:val="30"/>
      <w:szCs w:val="30"/>
    </w:rPr>
  </w:style>
  <w:style w:type="paragraph" w:customStyle="1" w:styleId="CE-Headline4">
    <w:name w:val="CE-Headline 4"/>
    <w:basedOn w:val="Headline2"/>
    <w:link w:val="CE-Headline4Zchn"/>
    <w:qFormat/>
    <w:rsid w:val="00173920"/>
    <w:pPr>
      <w:spacing w:after="120"/>
      <w:ind w:left="567" w:right="340" w:hanging="567"/>
    </w:pPr>
    <w:rPr>
      <w:rFonts w:ascii="Trebuchet MS" w:hAnsi="Trebuchet MS"/>
      <w:b/>
      <w:color w:val="7E93A5" w:themeColor="background2"/>
      <w:sz w:val="24"/>
      <w:szCs w:val="24"/>
    </w:rPr>
  </w:style>
  <w:style w:type="character" w:customStyle="1" w:styleId="CE-Headline1Zchn">
    <w:name w:val="CE-Headline 1 Zchn"/>
    <w:basedOn w:val="Nagwek2Znak"/>
    <w:link w:val="CE-Headline1"/>
    <w:rsid w:val="005A23E6"/>
    <w:rPr>
      <w:rFonts w:ascii="Trebuchet MS" w:hAnsi="Trebuchet MS"/>
      <w:b/>
      <w:bCs/>
      <w:iCs/>
      <w:noProof/>
      <w:color w:val="7E93A5" w:themeColor="background2"/>
      <w:spacing w:val="-10"/>
      <w:sz w:val="32"/>
      <w:szCs w:val="32"/>
      <w:lang w:eastAsia="de-AT"/>
    </w:rPr>
  </w:style>
  <w:style w:type="character" w:customStyle="1" w:styleId="CE-Headline2Zchn">
    <w:name w:val="CE-Headline 2 Zchn"/>
    <w:basedOn w:val="CE-Headline1Zchn"/>
    <w:link w:val="CE-Headline2"/>
    <w:rsid w:val="00173920"/>
    <w:rPr>
      <w:rFonts w:ascii="Trebuchet MS" w:hAnsi="Trebuchet MS"/>
      <w:b/>
      <w:bCs/>
      <w:iCs/>
      <w:noProof/>
      <w:color w:val="7D8B8A" w:themeColor="accent1"/>
      <w:spacing w:val="-10"/>
      <w:sz w:val="30"/>
      <w:szCs w:val="30"/>
      <w:lang w:eastAsia="de-AT"/>
    </w:rPr>
  </w:style>
  <w:style w:type="paragraph" w:customStyle="1" w:styleId="CE-StandardText">
    <w:name w:val="CE-StandardText"/>
    <w:basedOn w:val="Normalny"/>
    <w:link w:val="CE-StandardTextZchn"/>
    <w:qFormat/>
    <w:rsid w:val="00E214D1"/>
    <w:pPr>
      <w:ind w:left="0" w:right="0"/>
    </w:pPr>
    <w:rPr>
      <w:rFonts w:ascii="Trebuchet MS" w:hAnsi="Trebuchet MS"/>
      <w:szCs w:val="18"/>
    </w:rPr>
  </w:style>
  <w:style w:type="character" w:customStyle="1" w:styleId="CE-Headline4Zchn">
    <w:name w:val="CE-Headline 4 Zchn"/>
    <w:basedOn w:val="Headline2Char"/>
    <w:link w:val="CE-Headline4"/>
    <w:rsid w:val="00173920"/>
    <w:rPr>
      <w:rFonts w:ascii="Trebuchet MS" w:eastAsia="Calibri" w:hAnsi="Trebuchet MS"/>
      <w:b/>
      <w:bCs/>
      <w:iCs/>
      <w:color w:val="7E93A5" w:themeColor="background2"/>
      <w:sz w:val="24"/>
      <w:szCs w:val="24"/>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Domylnaczcionkaakapitu"/>
    <w:link w:val="CE-StandardText"/>
    <w:rsid w:val="00E214D1"/>
    <w:rPr>
      <w:rFonts w:ascii="Trebuchet MS" w:hAnsi="Trebuchet MS"/>
      <w:szCs w:val="18"/>
      <w:lang w:val="pl-PL"/>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szCs w:val="18"/>
      <w:lang w:val="pl-PL"/>
    </w:rPr>
  </w:style>
  <w:style w:type="paragraph" w:customStyle="1" w:styleId="PubTitle">
    <w:name w:val="Pub.Title"/>
    <w:basedOn w:val="Normalny"/>
    <w:link w:val="PubTitleZchn"/>
    <w:rsid w:val="001A4AC1"/>
    <w:pPr>
      <w:spacing w:before="0" w:line="760" w:lineRule="exact"/>
      <w:ind w:left="0" w:right="0"/>
      <w:jc w:val="left"/>
    </w:pPr>
    <w:rPr>
      <w:rFonts w:ascii="Trebuchet MS" w:hAnsi="Trebuchet MS"/>
      <w:b/>
      <w:spacing w:val="-20"/>
      <w:kern w:val="72"/>
      <w:sz w:val="72"/>
      <w:szCs w:val="72"/>
      <w14:ligatures w14:val="standard"/>
    </w:rPr>
  </w:style>
  <w:style w:type="character" w:customStyle="1" w:styleId="CE-List-NumbersZchn">
    <w:name w:val="CE-List-Numbers Zchn"/>
    <w:basedOn w:val="CE-StandardTextZchn"/>
    <w:link w:val="CE-List-Numbers"/>
    <w:rsid w:val="0068495D"/>
    <w:rPr>
      <w:rFonts w:ascii="Trebuchet MS" w:hAnsi="Trebuchet MS"/>
      <w:szCs w:val="18"/>
      <w:lang w:val="pl-PL"/>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Domylnaczcionkaakapitu"/>
    <w:link w:val="PubTitle"/>
    <w:rsid w:val="001A4AC1"/>
    <w:rPr>
      <w:rFonts w:ascii="Trebuchet MS" w:hAnsi="Trebuchet MS"/>
      <w:b/>
      <w:spacing w:val="-20"/>
      <w:kern w:val="72"/>
      <w:sz w:val="72"/>
      <w:szCs w:val="72"/>
      <w:lang w:val="pl-PL"/>
      <w14:ligatures w14:val="standard"/>
    </w:rPr>
  </w:style>
  <w:style w:type="paragraph" w:customStyle="1" w:styleId="TableText">
    <w:name w:val="Table Text"/>
    <w:basedOn w:val="Normalny"/>
    <w:link w:val="TableTextZchn"/>
    <w:autoRedefine/>
    <w:qFormat/>
    <w:rsid w:val="00C33CB3"/>
    <w:pPr>
      <w:ind w:left="0"/>
      <w:jc w:val="left"/>
    </w:pPr>
    <w:rPr>
      <w:rFonts w:ascii="Trebuchet MS" w:hAnsi="Trebuchet MS"/>
      <w:color w:val="393626" w:themeColor="accent6" w:themeShade="BF"/>
      <w:spacing w:val="-2"/>
      <w:sz w:val="16"/>
      <w:szCs w:val="15"/>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pl-PL"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Domylnaczcionkaakapitu"/>
    <w:link w:val="TableText"/>
    <w:rsid w:val="00C33CB3"/>
    <w:rPr>
      <w:rFonts w:ascii="Trebuchet MS" w:hAnsi="Trebuchet MS"/>
      <w:color w:val="393626" w:themeColor="accent6" w:themeShade="BF"/>
      <w:spacing w:val="-2"/>
      <w:sz w:val="16"/>
      <w:szCs w:val="15"/>
      <w:lang w:val="pl-PL"/>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pl-PL"/>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Domylnaczcionkaakapitu"/>
    <w:link w:val="msoaccenttext8"/>
    <w:rsid w:val="004563B8"/>
    <w:rPr>
      <w:rFonts w:ascii="Arial Rounded MT Bold" w:hAnsi="Arial Rounded MT Bold"/>
      <w:color w:val="000000"/>
      <w:kern w:val="28"/>
      <w:lang w:val="pl-PL"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pl-PL"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pl-PL" w:eastAsia="de-DE"/>
      <w14:ligatures w14:val="standard"/>
      <w14:cntxtAlts/>
    </w:rPr>
  </w:style>
  <w:style w:type="character" w:styleId="Tekstzastpczy">
    <w:name w:val="Placeholder Text"/>
    <w:basedOn w:val="Domylnaczcionkaakapitu"/>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pl-PL" w:eastAsia="de-DE"/>
      <w14:ligatures w14:val="standard"/>
      <w14:cntxtAlts/>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pl-PL"/>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28"/>
      </w:numPr>
      <w:jc w:val="left"/>
    </w:pPr>
  </w:style>
  <w:style w:type="character" w:customStyle="1" w:styleId="CE-BulletPoint1Zchn">
    <w:name w:val="CE-BulletPoint1 Zchn"/>
    <w:basedOn w:val="CE-StandardTextZchn"/>
    <w:link w:val="CE-BulletPoint1"/>
    <w:rsid w:val="00706D40"/>
    <w:rPr>
      <w:rFonts w:ascii="Trebuchet MS" w:hAnsi="Trebuchet MS"/>
      <w:szCs w:val="18"/>
      <w:lang w:val="pl-PL"/>
    </w:rPr>
  </w:style>
  <w:style w:type="paragraph" w:customStyle="1" w:styleId="CE-BulletPoint2">
    <w:name w:val="CE-BulletPoint2"/>
    <w:basedOn w:val="CE-BulletPoint1"/>
    <w:link w:val="CE-BulletPoint2Zchn"/>
    <w:qFormat/>
    <w:rsid w:val="00706D40"/>
    <w:pPr>
      <w:numPr>
        <w:numId w:val="29"/>
      </w:numPr>
      <w:ind w:left="568" w:hanging="284"/>
    </w:pPr>
  </w:style>
  <w:style w:type="paragraph" w:customStyle="1" w:styleId="CE-BulletPoint3">
    <w:name w:val="CE-BulletPoint3"/>
    <w:basedOn w:val="CE-BulletPoint1"/>
    <w:link w:val="CE-BulletPoint3Zchn"/>
    <w:qFormat/>
    <w:rsid w:val="00EF648C"/>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szCs w:val="18"/>
      <w:lang w:val="pl-PL"/>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EF648C"/>
    <w:rPr>
      <w:rFonts w:ascii="Trebuchet MS" w:hAnsi="Trebuchet MS"/>
      <w:szCs w:val="18"/>
      <w:lang w:val="pl-PL"/>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pl-PL"/>
    </w:rPr>
  </w:style>
  <w:style w:type="paragraph" w:styleId="Cytat">
    <w:name w:val="Quote"/>
    <w:aliases w:val="CE-Quotation"/>
    <w:basedOn w:val="Normalny"/>
    <w:next w:val="CE-StandardText"/>
    <w:link w:val="CytatZnak"/>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pl-PL"/>
    </w:rPr>
  </w:style>
  <w:style w:type="character" w:customStyle="1" w:styleId="CytatZnak">
    <w:name w:val="Cytat Znak"/>
    <w:aliases w:val="CE-Quotation Znak"/>
    <w:basedOn w:val="Domylnaczcionkaakapitu"/>
    <w:link w:val="Cytat"/>
    <w:uiPriority w:val="29"/>
    <w:rsid w:val="00C33CB3"/>
    <w:rPr>
      <w:rFonts w:ascii="Trebuchet MS" w:eastAsiaTheme="minorEastAsia" w:hAnsi="Trebuchet MS" w:cstheme="minorBidi"/>
      <w:b/>
      <w:iCs/>
      <w:color w:val="90ABB1" w:themeColor="accent2"/>
      <w:sz w:val="18"/>
      <w:szCs w:val="22"/>
      <w:lang w:val="pl-PL"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pl-PL"/>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Standardowy"/>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Jasnalista">
    <w:name w:val="Light List"/>
    <w:basedOn w:val="Standardowy"/>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pl-PL"/>
    </w:rPr>
  </w:style>
  <w:style w:type="table" w:customStyle="1" w:styleId="GridTable5Dark-Accent11">
    <w:name w:val="Grid Table 5 Dark - Accent 11"/>
    <w:basedOn w:val="Standardowy"/>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173920"/>
    <w:pPr>
      <w:ind w:left="0" w:firstLine="0"/>
    </w:pPr>
    <w:rPr>
      <w:sz w:val="28"/>
      <w:szCs w:val="28"/>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173920"/>
    <w:rPr>
      <w:rFonts w:ascii="Trebuchet MS" w:eastAsia="Calibri" w:hAnsi="Trebuchet MS"/>
      <w:b/>
      <w:bCs/>
      <w:iCs/>
      <w:color w:val="7E93A5" w:themeColor="background2"/>
      <w:sz w:val="28"/>
      <w:szCs w:val="28"/>
      <w:lang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pl-PL"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qFormat/>
    <w:rsid w:val="00411156"/>
    <w:pPr>
      <w:numPr>
        <w:numId w:val="27"/>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pl-PL"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pl-PL" w:eastAsia="de-AT"/>
    </w:rPr>
  </w:style>
  <w:style w:type="table" w:customStyle="1" w:styleId="TableNormal1">
    <w:name w:val="Table Normal1"/>
    <w:rsid w:val="008727F2"/>
    <w:pPr>
      <w:spacing w:after="200" w:line="276" w:lineRule="auto"/>
    </w:pPr>
    <w:rPr>
      <w:rFonts w:ascii="Calibri" w:eastAsia="Calibri" w:hAnsi="Calibri" w:cs="Calibri"/>
      <w:sz w:val="22"/>
      <w:szCs w:val="22"/>
      <w:lang w:eastAsia="de-DE"/>
    </w:rPr>
    <w:tblPr>
      <w:tblCellMar>
        <w:top w:w="0" w:type="dxa"/>
        <w:left w:w="0" w:type="dxa"/>
        <w:bottom w:w="0" w:type="dxa"/>
        <w:right w:w="0" w:type="dxa"/>
      </w:tblCellMar>
    </w:tblPr>
  </w:style>
  <w:style w:type="paragraph" w:customStyle="1" w:styleId="ManualConsidrant">
    <w:name w:val="Manual Considérant"/>
    <w:basedOn w:val="Normalny"/>
    <w:rsid w:val="008727F2"/>
    <w:pPr>
      <w:spacing w:after="120" w:line="240" w:lineRule="auto"/>
      <w:ind w:left="709" w:right="0" w:hanging="709"/>
    </w:pPr>
    <w:rPr>
      <w:rFonts w:eastAsia="Calibri"/>
      <w:sz w:val="24"/>
      <w:lang w:eastAsia="en-GB"/>
    </w:rPr>
  </w:style>
  <w:style w:type="table" w:customStyle="1" w:styleId="TableGrid1">
    <w:name w:val="Table Grid1"/>
    <w:basedOn w:val="Standardowy"/>
    <w:next w:val="Tabela-Siatka"/>
    <w:uiPriority w:val="59"/>
    <w:rsid w:val="008727F2"/>
    <w:rPr>
      <w:rFonts w:ascii="Calibri" w:eastAsia="Calibri" w:hAnsi="Calibri" w:cs="Calibri"/>
      <w:sz w:val="22"/>
      <w:szCs w:val="22"/>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Par1">
    <w:name w:val="NumPar 1"/>
    <w:basedOn w:val="Normalny"/>
    <w:next w:val="Normalny"/>
    <w:rsid w:val="008727F2"/>
    <w:pPr>
      <w:spacing w:after="120" w:line="240" w:lineRule="auto"/>
      <w:ind w:left="850" w:right="0"/>
    </w:pPr>
    <w:rPr>
      <w:rFonts w:eastAsia="Calibri"/>
      <w:sz w:val="24"/>
      <w:szCs w:val="22"/>
      <w:lang w:eastAsia="en-GB"/>
    </w:rPr>
  </w:style>
  <w:style w:type="paragraph" w:customStyle="1" w:styleId="Point0number">
    <w:name w:val="Point 0 (number)"/>
    <w:basedOn w:val="Normalny"/>
    <w:rsid w:val="008727F2"/>
    <w:pPr>
      <w:numPr>
        <w:numId w:val="31"/>
      </w:numPr>
      <w:spacing w:after="120" w:line="240" w:lineRule="auto"/>
      <w:ind w:right="0"/>
    </w:pPr>
    <w:rPr>
      <w:rFonts w:eastAsia="Calibri"/>
      <w:sz w:val="24"/>
      <w:szCs w:val="22"/>
      <w:lang w:eastAsia="de-DE"/>
    </w:rPr>
  </w:style>
  <w:style w:type="paragraph" w:customStyle="1" w:styleId="Point1number">
    <w:name w:val="Point 1 (number)"/>
    <w:basedOn w:val="Normalny"/>
    <w:rsid w:val="008727F2"/>
    <w:pPr>
      <w:numPr>
        <w:ilvl w:val="2"/>
        <w:numId w:val="31"/>
      </w:numPr>
      <w:spacing w:after="120" w:line="240" w:lineRule="auto"/>
      <w:ind w:right="0"/>
    </w:pPr>
    <w:rPr>
      <w:rFonts w:eastAsia="Calibri"/>
      <w:sz w:val="24"/>
      <w:szCs w:val="22"/>
      <w:lang w:eastAsia="de-DE"/>
    </w:rPr>
  </w:style>
  <w:style w:type="paragraph" w:customStyle="1" w:styleId="Point2number">
    <w:name w:val="Point 2 (number)"/>
    <w:basedOn w:val="Normalny"/>
    <w:rsid w:val="008727F2"/>
    <w:pPr>
      <w:numPr>
        <w:ilvl w:val="4"/>
        <w:numId w:val="31"/>
      </w:numPr>
      <w:spacing w:after="120" w:line="240" w:lineRule="auto"/>
      <w:ind w:right="0"/>
    </w:pPr>
    <w:rPr>
      <w:rFonts w:eastAsia="Calibri"/>
      <w:sz w:val="24"/>
      <w:szCs w:val="22"/>
      <w:lang w:eastAsia="de-DE"/>
    </w:rPr>
  </w:style>
  <w:style w:type="paragraph" w:customStyle="1" w:styleId="Point3number">
    <w:name w:val="Point 3 (number)"/>
    <w:basedOn w:val="Normalny"/>
    <w:rsid w:val="008727F2"/>
    <w:pPr>
      <w:numPr>
        <w:ilvl w:val="6"/>
        <w:numId w:val="31"/>
      </w:numPr>
      <w:spacing w:after="120" w:line="240" w:lineRule="auto"/>
      <w:ind w:right="0"/>
    </w:pPr>
    <w:rPr>
      <w:rFonts w:eastAsia="Calibri"/>
      <w:sz w:val="24"/>
      <w:szCs w:val="22"/>
      <w:lang w:eastAsia="de-DE"/>
    </w:rPr>
  </w:style>
  <w:style w:type="paragraph" w:customStyle="1" w:styleId="Point0letter">
    <w:name w:val="Point 0 (letter)"/>
    <w:basedOn w:val="Normalny"/>
    <w:rsid w:val="008727F2"/>
    <w:pPr>
      <w:numPr>
        <w:ilvl w:val="1"/>
        <w:numId w:val="31"/>
      </w:numPr>
      <w:spacing w:after="120" w:line="240" w:lineRule="auto"/>
      <w:ind w:right="0"/>
    </w:pPr>
    <w:rPr>
      <w:rFonts w:eastAsia="Calibri"/>
      <w:sz w:val="24"/>
      <w:szCs w:val="22"/>
      <w:lang w:eastAsia="de-DE"/>
    </w:rPr>
  </w:style>
  <w:style w:type="paragraph" w:customStyle="1" w:styleId="Point1letter">
    <w:name w:val="Point 1 (letter)"/>
    <w:basedOn w:val="Normalny"/>
    <w:rsid w:val="008727F2"/>
    <w:pPr>
      <w:numPr>
        <w:ilvl w:val="3"/>
        <w:numId w:val="31"/>
      </w:numPr>
      <w:spacing w:after="120" w:line="240" w:lineRule="auto"/>
      <w:ind w:right="0"/>
    </w:pPr>
    <w:rPr>
      <w:rFonts w:eastAsia="Calibri"/>
      <w:sz w:val="24"/>
      <w:szCs w:val="22"/>
      <w:lang w:eastAsia="de-DE"/>
    </w:rPr>
  </w:style>
  <w:style w:type="paragraph" w:customStyle="1" w:styleId="Point3letter">
    <w:name w:val="Point 3 (letter)"/>
    <w:basedOn w:val="Normalny"/>
    <w:rsid w:val="008727F2"/>
    <w:pPr>
      <w:numPr>
        <w:ilvl w:val="7"/>
        <w:numId w:val="31"/>
      </w:numPr>
      <w:spacing w:after="120" w:line="240" w:lineRule="auto"/>
      <w:ind w:right="0"/>
    </w:pPr>
    <w:rPr>
      <w:rFonts w:eastAsia="Calibri"/>
      <w:sz w:val="24"/>
      <w:szCs w:val="22"/>
      <w:lang w:eastAsia="de-DE"/>
    </w:rPr>
  </w:style>
  <w:style w:type="paragraph" w:customStyle="1" w:styleId="Point4letter">
    <w:name w:val="Point 4 (letter)"/>
    <w:basedOn w:val="Normalny"/>
    <w:rsid w:val="008727F2"/>
    <w:pPr>
      <w:numPr>
        <w:ilvl w:val="8"/>
        <w:numId w:val="31"/>
      </w:numPr>
      <w:spacing w:after="120" w:line="240" w:lineRule="auto"/>
      <w:ind w:right="0"/>
    </w:pPr>
    <w:rPr>
      <w:rFonts w:eastAsia="Calibri"/>
      <w:sz w:val="24"/>
      <w:szCs w:val="22"/>
      <w:lang w:eastAsia="de-DE"/>
    </w:rPr>
  </w:style>
  <w:style w:type="paragraph" w:customStyle="1" w:styleId="HeaderLandscape">
    <w:name w:val="HeaderLandscape"/>
    <w:basedOn w:val="Normalny"/>
    <w:rsid w:val="008727F2"/>
    <w:pPr>
      <w:tabs>
        <w:tab w:val="center" w:pos="7285"/>
        <w:tab w:val="right" w:pos="14003"/>
      </w:tabs>
      <w:spacing w:before="0" w:after="120" w:line="240" w:lineRule="auto"/>
      <w:ind w:left="0" w:right="0"/>
    </w:pPr>
    <w:rPr>
      <w:rFonts w:eastAsia="Calibri"/>
      <w:sz w:val="24"/>
      <w:szCs w:val="22"/>
      <w:lang w:eastAsia="de-DE"/>
    </w:rPr>
  </w:style>
  <w:style w:type="paragraph" w:customStyle="1" w:styleId="Text3">
    <w:name w:val="Text 3"/>
    <w:basedOn w:val="Normalny"/>
    <w:rsid w:val="008727F2"/>
    <w:pPr>
      <w:spacing w:after="120" w:line="240" w:lineRule="auto"/>
      <w:ind w:left="1984" w:right="0"/>
    </w:pPr>
    <w:rPr>
      <w:rFonts w:eastAsia="Calibri"/>
      <w:sz w:val="24"/>
      <w:szCs w:val="22"/>
      <w:lang w:eastAsia="en-GB"/>
    </w:rPr>
  </w:style>
  <w:style w:type="character" w:customStyle="1" w:styleId="Marker">
    <w:name w:val="Marker"/>
    <w:basedOn w:val="Domylnaczcionkaakapitu"/>
    <w:rsid w:val="008727F2"/>
    <w:rPr>
      <w:color w:val="0000FF"/>
      <w:shd w:val="clear" w:color="auto" w:fill="auto"/>
    </w:rPr>
  </w:style>
  <w:style w:type="paragraph" w:customStyle="1" w:styleId="Pagedecouverture">
    <w:name w:val="Page de couverture"/>
    <w:basedOn w:val="Normalny"/>
    <w:next w:val="Normalny"/>
    <w:rsid w:val="008727F2"/>
    <w:pPr>
      <w:spacing w:before="0" w:line="240" w:lineRule="auto"/>
      <w:ind w:left="0" w:right="0"/>
    </w:pPr>
    <w:rPr>
      <w:rFonts w:eastAsia="Calibri"/>
      <w:sz w:val="24"/>
      <w:szCs w:val="22"/>
      <w:lang w:eastAsia="de-DE"/>
    </w:rPr>
  </w:style>
  <w:style w:type="paragraph" w:customStyle="1" w:styleId="FooterCoverPage">
    <w:name w:val="Footer Cover Page"/>
    <w:basedOn w:val="Normalny"/>
    <w:link w:val="FooterCoverPageChar"/>
    <w:rsid w:val="008727F2"/>
    <w:pPr>
      <w:tabs>
        <w:tab w:val="center" w:pos="4535"/>
        <w:tab w:val="right" w:pos="9071"/>
        <w:tab w:val="right" w:pos="9921"/>
      </w:tabs>
      <w:spacing w:before="360" w:line="240" w:lineRule="auto"/>
      <w:ind w:left="-850" w:right="-850"/>
      <w:jc w:val="left"/>
    </w:pPr>
    <w:rPr>
      <w:rFonts w:eastAsia="Calibri"/>
      <w:sz w:val="24"/>
      <w:szCs w:val="22"/>
      <w:lang w:eastAsia="de-DE"/>
    </w:rPr>
  </w:style>
  <w:style w:type="character" w:customStyle="1" w:styleId="FooterCoverPageChar">
    <w:name w:val="Footer Cover Page Char"/>
    <w:basedOn w:val="Domylnaczcionkaakapitu"/>
    <w:link w:val="FooterCoverPage"/>
    <w:rsid w:val="008727F2"/>
    <w:rPr>
      <w:rFonts w:eastAsia="Calibri"/>
      <w:sz w:val="24"/>
      <w:szCs w:val="22"/>
      <w:lang w:val="pl-PL" w:eastAsia="de-DE"/>
    </w:rPr>
  </w:style>
  <w:style w:type="paragraph" w:customStyle="1" w:styleId="FooterSensitivity">
    <w:name w:val="Footer Sensitivity"/>
    <w:basedOn w:val="Normalny"/>
    <w:link w:val="FooterSensitivityChar"/>
    <w:rsid w:val="008727F2"/>
    <w:pPr>
      <w:pBdr>
        <w:top w:val="single" w:sz="4" w:space="1" w:color="auto"/>
        <w:left w:val="single" w:sz="4" w:space="4" w:color="auto"/>
        <w:bottom w:val="single" w:sz="4" w:space="1" w:color="auto"/>
        <w:right w:val="single" w:sz="4" w:space="4" w:color="auto"/>
      </w:pBdr>
      <w:spacing w:before="360" w:line="240" w:lineRule="auto"/>
      <w:ind w:left="113" w:right="113"/>
      <w:jc w:val="center"/>
    </w:pPr>
    <w:rPr>
      <w:rFonts w:eastAsia="Calibri"/>
      <w:b/>
      <w:sz w:val="32"/>
      <w:szCs w:val="22"/>
      <w:lang w:eastAsia="de-DE"/>
    </w:rPr>
  </w:style>
  <w:style w:type="character" w:customStyle="1" w:styleId="FooterSensitivityChar">
    <w:name w:val="Footer Sensitivity Char"/>
    <w:basedOn w:val="Domylnaczcionkaakapitu"/>
    <w:link w:val="FooterSensitivity"/>
    <w:rsid w:val="008727F2"/>
    <w:rPr>
      <w:rFonts w:eastAsia="Calibri"/>
      <w:b/>
      <w:sz w:val="32"/>
      <w:szCs w:val="22"/>
      <w:lang w:val="pl-PL" w:eastAsia="de-DE"/>
    </w:rPr>
  </w:style>
  <w:style w:type="paragraph" w:customStyle="1" w:styleId="HeaderCoverPage">
    <w:name w:val="Header Cover Page"/>
    <w:basedOn w:val="Normalny"/>
    <w:link w:val="HeaderCoverPageChar"/>
    <w:rsid w:val="008727F2"/>
    <w:pPr>
      <w:tabs>
        <w:tab w:val="center" w:pos="4535"/>
        <w:tab w:val="right" w:pos="9071"/>
      </w:tabs>
      <w:spacing w:before="0" w:after="120" w:line="240" w:lineRule="auto"/>
      <w:ind w:left="0" w:right="0"/>
    </w:pPr>
    <w:rPr>
      <w:rFonts w:eastAsia="Calibri"/>
      <w:sz w:val="24"/>
      <w:szCs w:val="22"/>
      <w:lang w:eastAsia="de-DE"/>
    </w:rPr>
  </w:style>
  <w:style w:type="character" w:customStyle="1" w:styleId="HeaderCoverPageChar">
    <w:name w:val="Header Cover Page Char"/>
    <w:basedOn w:val="Domylnaczcionkaakapitu"/>
    <w:link w:val="HeaderCoverPage"/>
    <w:rsid w:val="008727F2"/>
    <w:rPr>
      <w:rFonts w:eastAsia="Calibri"/>
      <w:sz w:val="24"/>
      <w:szCs w:val="22"/>
      <w:lang w:val="pl-PL" w:eastAsia="de-DE"/>
    </w:rPr>
  </w:style>
  <w:style w:type="paragraph" w:customStyle="1" w:styleId="HeaderSensitivity">
    <w:name w:val="Header Sensitivity"/>
    <w:basedOn w:val="Normalny"/>
    <w:link w:val="HeaderSensitivityChar"/>
    <w:rsid w:val="008727F2"/>
    <w:pPr>
      <w:pBdr>
        <w:top w:val="single" w:sz="4" w:space="1" w:color="auto"/>
        <w:left w:val="single" w:sz="4" w:space="4" w:color="auto"/>
        <w:bottom w:val="single" w:sz="4" w:space="1" w:color="auto"/>
        <w:right w:val="single" w:sz="4" w:space="4" w:color="auto"/>
      </w:pBdr>
      <w:spacing w:before="0" w:after="120" w:line="240" w:lineRule="auto"/>
      <w:ind w:left="113" w:right="113"/>
      <w:jc w:val="center"/>
    </w:pPr>
    <w:rPr>
      <w:rFonts w:eastAsia="Calibri"/>
      <w:b/>
      <w:sz w:val="32"/>
      <w:szCs w:val="22"/>
      <w:lang w:eastAsia="de-DE"/>
    </w:rPr>
  </w:style>
  <w:style w:type="character" w:customStyle="1" w:styleId="HeaderSensitivityChar">
    <w:name w:val="Header Sensitivity Char"/>
    <w:basedOn w:val="Domylnaczcionkaakapitu"/>
    <w:link w:val="HeaderSensitivity"/>
    <w:rsid w:val="008727F2"/>
    <w:rPr>
      <w:rFonts w:eastAsia="Calibri"/>
      <w:b/>
      <w:sz w:val="32"/>
      <w:szCs w:val="22"/>
      <w:lang w:val="pl-PL" w:eastAsia="de-DE"/>
    </w:rPr>
  </w:style>
  <w:style w:type="paragraph" w:styleId="Podtytu">
    <w:name w:val="Subtitle"/>
    <w:basedOn w:val="Normalny"/>
    <w:next w:val="Normalny"/>
    <w:link w:val="PodtytuZnak"/>
    <w:rsid w:val="008727F2"/>
    <w:pPr>
      <w:keepNext/>
      <w:keepLines/>
      <w:spacing w:before="360" w:after="80"/>
      <w:ind w:left="0" w:right="0"/>
      <w:jc w:val="left"/>
    </w:pPr>
    <w:rPr>
      <w:rFonts w:ascii="Georgia" w:eastAsia="Georgia" w:hAnsi="Georgia" w:cs="Georgia"/>
      <w:i/>
      <w:color w:val="666666"/>
      <w:sz w:val="48"/>
      <w:szCs w:val="48"/>
      <w:lang w:eastAsia="de-DE"/>
    </w:rPr>
  </w:style>
  <w:style w:type="character" w:customStyle="1" w:styleId="PodtytuZnak">
    <w:name w:val="Podtytuł Znak"/>
    <w:basedOn w:val="Domylnaczcionkaakapitu"/>
    <w:link w:val="Podtytu"/>
    <w:rsid w:val="008727F2"/>
    <w:rPr>
      <w:rFonts w:ascii="Georgia" w:eastAsia="Georgia" w:hAnsi="Georgia" w:cs="Georgia"/>
      <w:i/>
      <w:color w:val="666666"/>
      <w:sz w:val="48"/>
      <w:szCs w:val="48"/>
      <w:lang w:val="pl-PL" w:eastAsia="de-DE"/>
    </w:rPr>
  </w:style>
  <w:style w:type="table" w:customStyle="1" w:styleId="27">
    <w:name w:val="27"/>
    <w:basedOn w:val="TableNormal1"/>
    <w:rsid w:val="008727F2"/>
    <w:tblPr>
      <w:tblStyleRowBandSize w:val="1"/>
      <w:tblStyleColBandSize w:val="1"/>
      <w:tblCellMar>
        <w:left w:w="115" w:type="dxa"/>
        <w:right w:w="115" w:type="dxa"/>
      </w:tblCellMar>
    </w:tblPr>
  </w:style>
  <w:style w:type="table" w:customStyle="1" w:styleId="26">
    <w:name w:val="26"/>
    <w:basedOn w:val="TableNormal1"/>
    <w:rsid w:val="008727F2"/>
    <w:pPr>
      <w:spacing w:after="0" w:line="240" w:lineRule="auto"/>
    </w:pPr>
    <w:tblPr>
      <w:tblStyleRowBandSize w:val="1"/>
      <w:tblStyleColBandSize w:val="1"/>
      <w:tblCellMar>
        <w:left w:w="108" w:type="dxa"/>
        <w:right w:w="108" w:type="dxa"/>
      </w:tblCellMar>
    </w:tblPr>
  </w:style>
  <w:style w:type="table" w:customStyle="1" w:styleId="25">
    <w:name w:val="25"/>
    <w:basedOn w:val="TableNormal1"/>
    <w:rsid w:val="008727F2"/>
    <w:pPr>
      <w:spacing w:after="0" w:line="240" w:lineRule="auto"/>
    </w:pPr>
    <w:tblPr>
      <w:tblStyleRowBandSize w:val="1"/>
      <w:tblStyleColBandSize w:val="1"/>
      <w:tblCellMar>
        <w:left w:w="108" w:type="dxa"/>
        <w:right w:w="108" w:type="dxa"/>
      </w:tblCellMar>
    </w:tblPr>
  </w:style>
  <w:style w:type="table" w:customStyle="1" w:styleId="24">
    <w:name w:val="24"/>
    <w:basedOn w:val="TableNormal1"/>
    <w:rsid w:val="008727F2"/>
    <w:pPr>
      <w:spacing w:after="0" w:line="240" w:lineRule="auto"/>
    </w:pPr>
    <w:tblPr>
      <w:tblStyleRowBandSize w:val="1"/>
      <w:tblStyleColBandSize w:val="1"/>
      <w:tblCellMar>
        <w:left w:w="108" w:type="dxa"/>
        <w:right w:w="108" w:type="dxa"/>
      </w:tblCellMar>
    </w:tblPr>
  </w:style>
  <w:style w:type="table" w:customStyle="1" w:styleId="23">
    <w:name w:val="23"/>
    <w:basedOn w:val="TableNormal1"/>
    <w:rsid w:val="008727F2"/>
    <w:pPr>
      <w:spacing w:after="0" w:line="240" w:lineRule="auto"/>
    </w:pPr>
    <w:tblPr>
      <w:tblStyleRowBandSize w:val="1"/>
      <w:tblStyleColBandSize w:val="1"/>
      <w:tblCellMar>
        <w:left w:w="108" w:type="dxa"/>
        <w:right w:w="108" w:type="dxa"/>
      </w:tblCellMar>
    </w:tblPr>
  </w:style>
  <w:style w:type="table" w:customStyle="1" w:styleId="22">
    <w:name w:val="22"/>
    <w:basedOn w:val="TableNormal1"/>
    <w:rsid w:val="008727F2"/>
    <w:pPr>
      <w:spacing w:after="0" w:line="240" w:lineRule="auto"/>
    </w:pPr>
    <w:tblPr>
      <w:tblStyleRowBandSize w:val="1"/>
      <w:tblStyleColBandSize w:val="1"/>
      <w:tblCellMar>
        <w:left w:w="108" w:type="dxa"/>
        <w:right w:w="108" w:type="dxa"/>
      </w:tblCellMar>
    </w:tblPr>
  </w:style>
  <w:style w:type="table" w:customStyle="1" w:styleId="21">
    <w:name w:val="21"/>
    <w:basedOn w:val="TableNormal1"/>
    <w:rsid w:val="008727F2"/>
    <w:pPr>
      <w:spacing w:after="0" w:line="240" w:lineRule="auto"/>
    </w:pPr>
    <w:tblPr>
      <w:tblStyleRowBandSize w:val="1"/>
      <w:tblStyleColBandSize w:val="1"/>
      <w:tblCellMar>
        <w:left w:w="108" w:type="dxa"/>
        <w:right w:w="108" w:type="dxa"/>
      </w:tblCellMar>
    </w:tblPr>
  </w:style>
  <w:style w:type="table" w:customStyle="1" w:styleId="20">
    <w:name w:val="20"/>
    <w:basedOn w:val="TableNormal1"/>
    <w:rsid w:val="008727F2"/>
    <w:pPr>
      <w:spacing w:after="0" w:line="240" w:lineRule="auto"/>
    </w:pPr>
    <w:tblPr>
      <w:tblStyleRowBandSize w:val="1"/>
      <w:tblStyleColBandSize w:val="1"/>
      <w:tblCellMar>
        <w:left w:w="108" w:type="dxa"/>
        <w:right w:w="108" w:type="dxa"/>
      </w:tblCellMar>
    </w:tblPr>
  </w:style>
  <w:style w:type="table" w:customStyle="1" w:styleId="19">
    <w:name w:val="19"/>
    <w:basedOn w:val="TableNormal1"/>
    <w:rsid w:val="008727F2"/>
    <w:tblPr>
      <w:tblStyleRowBandSize w:val="1"/>
      <w:tblStyleColBandSize w:val="1"/>
      <w:tblCellMar>
        <w:left w:w="115" w:type="dxa"/>
        <w:right w:w="115" w:type="dxa"/>
      </w:tblCellMar>
    </w:tblPr>
  </w:style>
  <w:style w:type="table" w:customStyle="1" w:styleId="18">
    <w:name w:val="18"/>
    <w:basedOn w:val="TableNormal1"/>
    <w:rsid w:val="008727F2"/>
    <w:tblPr>
      <w:tblStyleRowBandSize w:val="1"/>
      <w:tblStyleColBandSize w:val="1"/>
      <w:tblCellMar>
        <w:left w:w="115" w:type="dxa"/>
        <w:right w:w="115" w:type="dxa"/>
      </w:tblCellMar>
    </w:tblPr>
  </w:style>
  <w:style w:type="table" w:customStyle="1" w:styleId="17">
    <w:name w:val="17"/>
    <w:basedOn w:val="TableNormal1"/>
    <w:rsid w:val="008727F2"/>
    <w:tblPr>
      <w:tblStyleRowBandSize w:val="1"/>
      <w:tblStyleColBandSize w:val="1"/>
      <w:tblCellMar>
        <w:left w:w="115" w:type="dxa"/>
        <w:right w:w="115" w:type="dxa"/>
      </w:tblCellMar>
    </w:tblPr>
  </w:style>
  <w:style w:type="table" w:customStyle="1" w:styleId="16">
    <w:name w:val="16"/>
    <w:basedOn w:val="TableNormal1"/>
    <w:rsid w:val="008727F2"/>
    <w:pPr>
      <w:spacing w:after="0" w:line="240" w:lineRule="auto"/>
    </w:pPr>
    <w:tblPr>
      <w:tblStyleRowBandSize w:val="1"/>
      <w:tblStyleColBandSize w:val="1"/>
      <w:tblCellMar>
        <w:left w:w="108" w:type="dxa"/>
        <w:right w:w="108" w:type="dxa"/>
      </w:tblCellMar>
    </w:tblPr>
  </w:style>
  <w:style w:type="table" w:customStyle="1" w:styleId="15">
    <w:name w:val="15"/>
    <w:basedOn w:val="TableNormal1"/>
    <w:rsid w:val="008727F2"/>
    <w:pPr>
      <w:spacing w:after="0" w:line="240" w:lineRule="auto"/>
    </w:pPr>
    <w:tblPr>
      <w:tblStyleRowBandSize w:val="1"/>
      <w:tblStyleColBandSize w:val="1"/>
      <w:tblCellMar>
        <w:left w:w="108" w:type="dxa"/>
        <w:right w:w="108" w:type="dxa"/>
      </w:tblCellMar>
    </w:tblPr>
  </w:style>
  <w:style w:type="table" w:customStyle="1" w:styleId="14">
    <w:name w:val="14"/>
    <w:basedOn w:val="TableNormal1"/>
    <w:rsid w:val="008727F2"/>
    <w:pPr>
      <w:spacing w:after="0" w:line="240" w:lineRule="auto"/>
    </w:pPr>
    <w:tblPr>
      <w:tblStyleRowBandSize w:val="1"/>
      <w:tblStyleColBandSize w:val="1"/>
      <w:tblCellMar>
        <w:left w:w="108" w:type="dxa"/>
        <w:right w:w="108" w:type="dxa"/>
      </w:tblCellMar>
    </w:tblPr>
  </w:style>
  <w:style w:type="table" w:customStyle="1" w:styleId="13">
    <w:name w:val="13"/>
    <w:basedOn w:val="TableNormal1"/>
    <w:rsid w:val="008727F2"/>
    <w:pPr>
      <w:spacing w:after="0" w:line="240" w:lineRule="auto"/>
    </w:pPr>
    <w:tblPr>
      <w:tblStyleRowBandSize w:val="1"/>
      <w:tblStyleColBandSize w:val="1"/>
      <w:tblCellMar>
        <w:left w:w="108" w:type="dxa"/>
        <w:right w:w="108" w:type="dxa"/>
      </w:tblCellMar>
    </w:tblPr>
  </w:style>
  <w:style w:type="table" w:customStyle="1" w:styleId="12">
    <w:name w:val="12"/>
    <w:basedOn w:val="TableNormal1"/>
    <w:rsid w:val="008727F2"/>
    <w:pPr>
      <w:spacing w:after="0" w:line="240" w:lineRule="auto"/>
    </w:pPr>
    <w:tblPr>
      <w:tblStyleRowBandSize w:val="1"/>
      <w:tblStyleColBandSize w:val="1"/>
      <w:tblCellMar>
        <w:left w:w="108" w:type="dxa"/>
        <w:right w:w="108" w:type="dxa"/>
      </w:tblCellMar>
    </w:tblPr>
  </w:style>
  <w:style w:type="table" w:customStyle="1" w:styleId="11">
    <w:name w:val="11"/>
    <w:basedOn w:val="TableNormal1"/>
    <w:rsid w:val="008727F2"/>
    <w:pPr>
      <w:spacing w:after="0" w:line="240" w:lineRule="auto"/>
    </w:pPr>
    <w:tblPr>
      <w:tblStyleRowBandSize w:val="1"/>
      <w:tblStyleColBandSize w:val="1"/>
      <w:tblCellMar>
        <w:left w:w="108" w:type="dxa"/>
        <w:right w:w="108" w:type="dxa"/>
      </w:tblCellMar>
    </w:tblPr>
  </w:style>
  <w:style w:type="table" w:customStyle="1" w:styleId="10">
    <w:name w:val="10"/>
    <w:basedOn w:val="TableNormal1"/>
    <w:rsid w:val="008727F2"/>
    <w:pPr>
      <w:spacing w:after="0" w:line="240" w:lineRule="auto"/>
    </w:pPr>
    <w:tblPr>
      <w:tblStyleRowBandSize w:val="1"/>
      <w:tblStyleColBandSize w:val="1"/>
      <w:tblCellMar>
        <w:left w:w="108" w:type="dxa"/>
        <w:right w:w="108" w:type="dxa"/>
      </w:tblCellMar>
    </w:tblPr>
  </w:style>
  <w:style w:type="table" w:customStyle="1" w:styleId="9">
    <w:name w:val="9"/>
    <w:basedOn w:val="TableNormal1"/>
    <w:rsid w:val="008727F2"/>
    <w:pPr>
      <w:spacing w:after="0" w:line="240" w:lineRule="auto"/>
    </w:pPr>
    <w:tblPr>
      <w:tblStyleRowBandSize w:val="1"/>
      <w:tblStyleColBandSize w:val="1"/>
      <w:tblCellMar>
        <w:left w:w="108" w:type="dxa"/>
        <w:right w:w="108" w:type="dxa"/>
      </w:tblCellMar>
    </w:tblPr>
  </w:style>
  <w:style w:type="table" w:customStyle="1" w:styleId="8">
    <w:name w:val="8"/>
    <w:basedOn w:val="TableNormal1"/>
    <w:rsid w:val="008727F2"/>
    <w:pPr>
      <w:spacing w:after="0" w:line="240" w:lineRule="auto"/>
    </w:pPr>
    <w:tblPr>
      <w:tblStyleRowBandSize w:val="1"/>
      <w:tblStyleColBandSize w:val="1"/>
      <w:tblCellMar>
        <w:left w:w="108" w:type="dxa"/>
        <w:right w:w="108" w:type="dxa"/>
      </w:tblCellMar>
    </w:tblPr>
  </w:style>
  <w:style w:type="table" w:customStyle="1" w:styleId="7">
    <w:name w:val="7"/>
    <w:basedOn w:val="TableNormal1"/>
    <w:rsid w:val="008727F2"/>
    <w:pPr>
      <w:spacing w:after="0" w:line="240" w:lineRule="auto"/>
    </w:pPr>
    <w:tblPr>
      <w:tblStyleRowBandSize w:val="1"/>
      <w:tblStyleColBandSize w:val="1"/>
      <w:tblCellMar>
        <w:left w:w="108" w:type="dxa"/>
        <w:right w:w="108" w:type="dxa"/>
      </w:tblCellMar>
    </w:tblPr>
  </w:style>
  <w:style w:type="table" w:customStyle="1" w:styleId="6">
    <w:name w:val="6"/>
    <w:basedOn w:val="TableNormal1"/>
    <w:rsid w:val="008727F2"/>
    <w:tblPr>
      <w:tblStyleRowBandSize w:val="1"/>
      <w:tblStyleColBandSize w:val="1"/>
      <w:tblCellMar>
        <w:left w:w="115" w:type="dxa"/>
        <w:right w:w="115" w:type="dxa"/>
      </w:tblCellMar>
    </w:tblPr>
  </w:style>
  <w:style w:type="table" w:customStyle="1" w:styleId="5">
    <w:name w:val="5"/>
    <w:basedOn w:val="TableNormal1"/>
    <w:rsid w:val="008727F2"/>
    <w:tblPr>
      <w:tblStyleRowBandSize w:val="1"/>
      <w:tblStyleColBandSize w:val="1"/>
      <w:tblCellMar>
        <w:left w:w="115" w:type="dxa"/>
        <w:right w:w="115" w:type="dxa"/>
      </w:tblCellMar>
    </w:tblPr>
  </w:style>
  <w:style w:type="table" w:customStyle="1" w:styleId="4">
    <w:name w:val="4"/>
    <w:basedOn w:val="TableNormal1"/>
    <w:rsid w:val="008727F2"/>
    <w:tblPr>
      <w:tblStyleRowBandSize w:val="1"/>
      <w:tblStyleColBandSize w:val="1"/>
      <w:tblCellMar>
        <w:left w:w="115" w:type="dxa"/>
        <w:right w:w="115" w:type="dxa"/>
      </w:tblCellMar>
    </w:tblPr>
  </w:style>
  <w:style w:type="table" w:customStyle="1" w:styleId="3">
    <w:name w:val="3"/>
    <w:basedOn w:val="TableNormal1"/>
    <w:rsid w:val="008727F2"/>
    <w:tblPr>
      <w:tblStyleRowBandSize w:val="1"/>
      <w:tblStyleColBandSize w:val="1"/>
      <w:tblCellMar>
        <w:left w:w="115" w:type="dxa"/>
        <w:right w:w="115" w:type="dxa"/>
      </w:tblCellMar>
    </w:tblPr>
  </w:style>
  <w:style w:type="table" w:customStyle="1" w:styleId="2">
    <w:name w:val="2"/>
    <w:basedOn w:val="TableNormal1"/>
    <w:rsid w:val="008727F2"/>
    <w:tblPr>
      <w:tblStyleRowBandSize w:val="1"/>
      <w:tblStyleColBandSize w:val="1"/>
      <w:tblCellMar>
        <w:left w:w="115" w:type="dxa"/>
        <w:right w:w="115" w:type="dxa"/>
      </w:tblCellMar>
    </w:tblPr>
  </w:style>
  <w:style w:type="table" w:customStyle="1" w:styleId="1">
    <w:name w:val="1"/>
    <w:basedOn w:val="TableNormal1"/>
    <w:rsid w:val="008727F2"/>
    <w:tblPr>
      <w:tblStyleRowBandSize w:val="1"/>
      <w:tblStyleColBandSize w:val="1"/>
      <w:tblCellMar>
        <w:left w:w="115" w:type="dxa"/>
        <w:right w:w="115" w:type="dxa"/>
      </w:tblCellMar>
    </w:tblPr>
  </w:style>
  <w:style w:type="paragraph" w:customStyle="1" w:styleId="Tabelle-Text">
    <w:name w:val="Tabelle - Text"/>
    <w:basedOn w:val="Normalny"/>
    <w:link w:val="Tabelle-TextZchn"/>
    <w:uiPriority w:val="4"/>
    <w:qFormat/>
    <w:rsid w:val="008727F2"/>
    <w:pPr>
      <w:spacing w:before="0" w:line="220" w:lineRule="exact"/>
      <w:ind w:left="0" w:right="0"/>
      <w:contextualSpacing/>
      <w:jc w:val="left"/>
    </w:pPr>
    <w:rPr>
      <w:rFonts w:ascii="Arial" w:eastAsia="SimSun" w:hAnsi="Arial"/>
      <w:sz w:val="15"/>
      <w:szCs w:val="24"/>
      <w:lang w:eastAsia="zh-CN"/>
    </w:rPr>
  </w:style>
  <w:style w:type="character" w:customStyle="1" w:styleId="Tabelle-TextZchn">
    <w:name w:val="Tabelle - Text Zchn"/>
    <w:basedOn w:val="Domylnaczcionkaakapitu"/>
    <w:link w:val="Tabelle-Text"/>
    <w:uiPriority w:val="4"/>
    <w:rsid w:val="008727F2"/>
    <w:rPr>
      <w:rFonts w:ascii="Arial" w:eastAsia="SimSun" w:hAnsi="Arial"/>
      <w:sz w:val="15"/>
      <w:szCs w:val="24"/>
      <w:lang w:val="pl-PL" w:eastAsia="zh-CN"/>
    </w:rPr>
  </w:style>
  <w:style w:type="character" w:customStyle="1" w:styleId="Nagwek4Znak">
    <w:name w:val="Nagłówek 4 Znak"/>
    <w:link w:val="Nagwek4"/>
    <w:rsid w:val="008727F2"/>
    <w:rPr>
      <w:rFonts w:ascii="Verdana" w:hAnsi="Verdana"/>
      <w:b/>
      <w:bCs/>
    </w:rPr>
  </w:style>
  <w:style w:type="paragraph" w:customStyle="1" w:styleId="Beschriftung-Element-oben">
    <w:name w:val="Beschriftung - Element - oben"/>
    <w:next w:val="Normalny"/>
    <w:link w:val="Beschriftung-Element-obenZchn"/>
    <w:uiPriority w:val="4"/>
    <w:qFormat/>
    <w:rsid w:val="00341867"/>
    <w:pPr>
      <w:pBdr>
        <w:top w:val="single" w:sz="4" w:space="5" w:color="9E9FA3"/>
      </w:pBdr>
      <w:spacing w:after="120" w:line="290" w:lineRule="exact"/>
      <w:contextualSpacing/>
    </w:pPr>
    <w:rPr>
      <w:rFonts w:ascii="Arial" w:eastAsia="SimSun" w:hAnsi="Arial"/>
      <w:b/>
      <w:sz w:val="18"/>
      <w:szCs w:val="24"/>
      <w:lang w:eastAsia="zh-CN"/>
    </w:rPr>
  </w:style>
  <w:style w:type="paragraph" w:customStyle="1" w:styleId="Beschriftung-Element-unten">
    <w:name w:val="Beschriftung - Element - unten"/>
    <w:next w:val="Normalny"/>
    <w:link w:val="Beschriftung-Element-untenZchn"/>
    <w:uiPriority w:val="4"/>
    <w:qFormat/>
    <w:rsid w:val="00341867"/>
    <w:pPr>
      <w:pBdr>
        <w:bottom w:val="single" w:sz="4" w:space="5" w:color="9E9FA3"/>
      </w:pBdr>
      <w:spacing w:before="120" w:after="290" w:line="220" w:lineRule="exact"/>
      <w:contextualSpacing/>
    </w:pPr>
    <w:rPr>
      <w:rFonts w:ascii="Arial" w:eastAsia="SimSun" w:hAnsi="Arial"/>
      <w:sz w:val="16"/>
      <w:szCs w:val="24"/>
      <w:lang w:eastAsia="zh-CN"/>
    </w:rPr>
  </w:style>
  <w:style w:type="character" w:customStyle="1" w:styleId="Beschriftung-Element-obenZchn">
    <w:name w:val="Beschriftung - Element - oben Zchn"/>
    <w:basedOn w:val="Domylnaczcionkaakapitu"/>
    <w:link w:val="Beschriftung-Element-oben"/>
    <w:uiPriority w:val="4"/>
    <w:rsid w:val="00341867"/>
    <w:rPr>
      <w:rFonts w:ascii="Arial" w:eastAsia="SimSun" w:hAnsi="Arial"/>
      <w:b/>
      <w:sz w:val="18"/>
      <w:szCs w:val="24"/>
      <w:lang w:val="pl-PL" w:eastAsia="zh-CN"/>
    </w:rPr>
  </w:style>
  <w:style w:type="character" w:customStyle="1" w:styleId="Beschriftung-Element-untenZchn">
    <w:name w:val="Beschriftung - Element - unten Zchn"/>
    <w:basedOn w:val="Domylnaczcionkaakapitu"/>
    <w:link w:val="Beschriftung-Element-unten"/>
    <w:uiPriority w:val="4"/>
    <w:rsid w:val="00341867"/>
    <w:rPr>
      <w:rFonts w:ascii="Arial" w:eastAsia="SimSun" w:hAnsi="Arial"/>
      <w:sz w:val="16"/>
      <w:szCs w:val="24"/>
      <w:lang w:val="pl-PL"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0" w:unhideWhenUsed="0"/>
    <w:lsdException w:name="heading 2" w:semiHidden="0" w:uiPriority="0" w:unhideWhenUsed="0"/>
    <w:lsdException w:name="heading 3" w:semiHidden="0" w:uiPriority="0" w:unhideWhenUsed="0"/>
    <w:lsdException w:name="heading 4" w:semiHidden="0" w:uiPriority="0" w:unhideWhenUsed="0"/>
    <w:lsdException w:name="heading 5" w:semiHidden="0" w:uiPriority="0" w:unhideWhenUsed="0"/>
    <w:lsdException w:name="heading 6" w:semiHidden="0" w:uiPriority="0" w:unhideWhenUsed="0"/>
    <w:lsdException w:name="heading 7" w:semiHidden="0" w:uiPriority="0" w:unhideWhenUsed="0"/>
    <w:lsdException w:name="heading 8" w:semiHidden="0" w:uiPriority="0" w:unhideWhenUsed="0"/>
    <w:lsdException w:name="heading 9" w:semiHidden="0" w:uiPriority="0" w:unhideWhenUsed="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0"/>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ny">
    <w:name w:val="Normal"/>
    <w:rsid w:val="00FA6A17"/>
    <w:pPr>
      <w:spacing w:before="120" w:line="276" w:lineRule="auto"/>
      <w:ind w:left="1418" w:right="339"/>
      <w:jc w:val="both"/>
    </w:pPr>
  </w:style>
  <w:style w:type="paragraph" w:styleId="Nagwek1">
    <w:name w:val="heading 1"/>
    <w:basedOn w:val="Normalny"/>
    <w:next w:val="Normalny"/>
    <w:link w:val="Nagwek1Znak"/>
    <w:rsid w:val="00877C37"/>
    <w:pPr>
      <w:keepNext/>
      <w:numPr>
        <w:numId w:val="11"/>
      </w:numPr>
      <w:tabs>
        <w:tab w:val="left" w:pos="720"/>
      </w:tabs>
      <w:spacing w:before="240" w:after="720"/>
      <w:ind w:right="340"/>
      <w:outlineLvl w:val="0"/>
    </w:pPr>
    <w:rPr>
      <w:rFonts w:ascii="Arial Rounded MT Bold" w:hAnsi="Arial Rounded MT Bold"/>
      <w:b/>
      <w:bCs/>
      <w:color w:val="7D8B8A" w:themeColor="accent1"/>
      <w:sz w:val="28"/>
    </w:rPr>
  </w:style>
  <w:style w:type="paragraph" w:styleId="Nagwek2">
    <w:name w:val="heading 2"/>
    <w:basedOn w:val="Normalny"/>
    <w:next w:val="Normalny"/>
    <w:link w:val="Nagwek2Znak"/>
    <w:rsid w:val="00877C37"/>
    <w:pPr>
      <w:keepNext/>
      <w:numPr>
        <w:numId w:val="12"/>
      </w:numPr>
      <w:spacing w:after="240"/>
      <w:outlineLvl w:val="1"/>
    </w:pPr>
    <w:rPr>
      <w:rFonts w:ascii="Arial Rounded MT Bold" w:hAnsi="Arial Rounded MT Bold"/>
      <w:b/>
      <w:bCs/>
      <w:iCs/>
      <w:color w:val="7D8B8A" w:themeColor="accent1"/>
      <w:sz w:val="24"/>
    </w:rPr>
  </w:style>
  <w:style w:type="paragraph" w:styleId="Nagwek3">
    <w:name w:val="heading 3"/>
    <w:basedOn w:val="Normalny"/>
    <w:next w:val="Normalny"/>
    <w:link w:val="Nagwek3Znak"/>
    <w:rsid w:val="00877C37"/>
    <w:pPr>
      <w:keepNext/>
      <w:keepLines/>
      <w:numPr>
        <w:numId w:val="9"/>
      </w:numPr>
      <w:spacing w:after="240" w:line="240" w:lineRule="auto"/>
      <w:ind w:left="1418" w:right="340" w:firstLine="0"/>
      <w:outlineLvl w:val="2"/>
    </w:pPr>
    <w:rPr>
      <w:rFonts w:ascii="Arial Rounded MT Bold" w:hAnsi="Arial Rounded MT Bold"/>
      <w:b/>
      <w:iCs/>
      <w:color w:val="7D8B8A" w:themeColor="accent1"/>
    </w:rPr>
  </w:style>
  <w:style w:type="paragraph" w:styleId="Nagwek4">
    <w:name w:val="heading 4"/>
    <w:basedOn w:val="Normalny"/>
    <w:next w:val="Normalny"/>
    <w:link w:val="Nagwek4Znak"/>
    <w:pPr>
      <w:keepNext/>
      <w:outlineLvl w:val="3"/>
    </w:pPr>
    <w:rPr>
      <w:rFonts w:ascii="Verdana" w:hAnsi="Verdana"/>
      <w:b/>
      <w:bCs/>
    </w:rPr>
  </w:style>
  <w:style w:type="paragraph" w:styleId="Nagwek5">
    <w:name w:val="heading 5"/>
    <w:basedOn w:val="Normalny"/>
    <w:next w:val="Normalny"/>
    <w:pPr>
      <w:numPr>
        <w:ilvl w:val="4"/>
        <w:numId w:val="2"/>
      </w:numPr>
      <w:spacing w:before="240" w:after="60"/>
      <w:outlineLvl w:val="4"/>
    </w:pPr>
    <w:rPr>
      <w:rFonts w:ascii="Verdana" w:hAnsi="Verdana"/>
      <w:b/>
      <w:bCs/>
      <w:i/>
      <w:iCs/>
      <w:szCs w:val="26"/>
    </w:rPr>
  </w:style>
  <w:style w:type="paragraph" w:styleId="Nagwek6">
    <w:name w:val="heading 6"/>
    <w:basedOn w:val="Normalny"/>
    <w:next w:val="Normalny"/>
    <w:pPr>
      <w:numPr>
        <w:ilvl w:val="5"/>
        <w:numId w:val="2"/>
      </w:numPr>
      <w:spacing w:before="240" w:after="60"/>
      <w:outlineLvl w:val="5"/>
    </w:pPr>
    <w:rPr>
      <w:rFonts w:ascii="Verdana" w:hAnsi="Verdana"/>
      <w:b/>
      <w:bCs/>
    </w:rPr>
  </w:style>
  <w:style w:type="paragraph" w:styleId="Nagwek7">
    <w:name w:val="heading 7"/>
    <w:basedOn w:val="Normalny"/>
    <w:next w:val="Normalny"/>
    <w:pPr>
      <w:numPr>
        <w:ilvl w:val="6"/>
        <w:numId w:val="2"/>
      </w:numPr>
      <w:spacing w:before="240" w:after="60"/>
      <w:outlineLvl w:val="6"/>
    </w:pPr>
    <w:rPr>
      <w:rFonts w:ascii="Verdana" w:hAnsi="Verdana"/>
    </w:rPr>
  </w:style>
  <w:style w:type="paragraph" w:styleId="Nagwek8">
    <w:name w:val="heading 8"/>
    <w:basedOn w:val="Normalny"/>
    <w:next w:val="Normalny"/>
    <w:pPr>
      <w:numPr>
        <w:ilvl w:val="7"/>
        <w:numId w:val="2"/>
      </w:numPr>
      <w:spacing w:before="240" w:after="60"/>
      <w:outlineLvl w:val="7"/>
    </w:pPr>
    <w:rPr>
      <w:rFonts w:ascii="Verdana" w:hAnsi="Verdana"/>
      <w:i/>
      <w:iCs/>
    </w:rPr>
  </w:style>
  <w:style w:type="paragraph" w:styleId="Nagwek9">
    <w:name w:val="heading 9"/>
    <w:basedOn w:val="Normalny"/>
    <w:next w:val="Normalny"/>
    <w:pPr>
      <w:numPr>
        <w:ilvl w:val="8"/>
        <w:numId w:val="2"/>
      </w:numPr>
      <w:spacing w:before="240" w:after="60"/>
      <w:outlineLvl w:val="8"/>
    </w:pPr>
    <w:rPr>
      <w:rFonts w:ascii="Verdana" w:hAnsi="Verdana" w:cs="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pPr>
      <w:tabs>
        <w:tab w:val="center" w:pos="4536"/>
        <w:tab w:val="right" w:pos="9072"/>
      </w:tabs>
    </w:pPr>
    <w:rPr>
      <w:rFonts w:ascii="Verdana" w:hAnsi="Verdana"/>
      <w:sz w:val="16"/>
    </w:rPr>
  </w:style>
  <w:style w:type="paragraph" w:styleId="Stopka">
    <w:name w:val="footer"/>
    <w:basedOn w:val="Normalny"/>
    <w:link w:val="StopkaZnak"/>
    <w:uiPriority w:val="99"/>
    <w:pPr>
      <w:tabs>
        <w:tab w:val="center" w:pos="4536"/>
        <w:tab w:val="right" w:pos="9072"/>
      </w:tabs>
    </w:pPr>
    <w:rPr>
      <w:rFonts w:ascii="Verdana" w:hAnsi="Verdana"/>
      <w:noProof/>
      <w:sz w:val="16"/>
    </w:rPr>
  </w:style>
  <w:style w:type="character" w:styleId="Numerstrony">
    <w:name w:val="page number"/>
    <w:basedOn w:val="Domylnaczcionkaakapitu"/>
    <w:rPr>
      <w:rFonts w:ascii="Verdana" w:hAnsi="Verdana"/>
      <w:sz w:val="20"/>
    </w:rPr>
  </w:style>
  <w:style w:type="paragraph" w:styleId="Tekstpodstawowywcity">
    <w:name w:val="Body Text Indent"/>
    <w:basedOn w:val="Normalny"/>
    <w:semiHidden/>
    <w:pPr>
      <w:spacing w:before="60" w:after="60"/>
      <w:ind w:left="720"/>
    </w:pPr>
    <w:rPr>
      <w:rFonts w:ascii="Verdana" w:hAnsi="Verdana"/>
    </w:rPr>
  </w:style>
  <w:style w:type="paragraph" w:styleId="Tekstpodstawowy">
    <w:name w:val="Body Text"/>
    <w:basedOn w:val="Normalny"/>
    <w:link w:val="TekstpodstawowyZnak"/>
    <w:pPr>
      <w:spacing w:after="120"/>
    </w:pPr>
    <w:rPr>
      <w:rFonts w:ascii="Verdana" w:hAnsi="Verdana"/>
    </w:rPr>
  </w:style>
  <w:style w:type="paragraph" w:styleId="Tekstdymka">
    <w:name w:val="Balloon Text"/>
    <w:basedOn w:val="Normalny"/>
    <w:link w:val="TekstdymkaZnak"/>
    <w:uiPriority w:val="99"/>
    <w:semiHidden/>
    <w:unhideWhenUsed/>
    <w:rsid w:val="00E5766A"/>
    <w:rPr>
      <w:rFonts w:ascii="Tahoma" w:hAnsi="Tahoma" w:cs="Tahoma"/>
      <w:sz w:val="16"/>
      <w:szCs w:val="16"/>
    </w:rPr>
  </w:style>
  <w:style w:type="paragraph" w:customStyle="1" w:styleId="Bullet1">
    <w:name w:val="Bullet1"/>
    <w:basedOn w:val="Normalny"/>
    <w:pPr>
      <w:numPr>
        <w:numId w:val="1"/>
      </w:numPr>
      <w:spacing w:after="120"/>
    </w:pPr>
    <w:rPr>
      <w:rFonts w:ascii="Verdana" w:hAnsi="Verdana"/>
    </w:rPr>
  </w:style>
  <w:style w:type="paragraph" w:customStyle="1" w:styleId="Bullet2">
    <w:name w:val="Bullet2"/>
    <w:basedOn w:val="Bullet1"/>
    <w:pPr>
      <w:numPr>
        <w:ilvl w:val="1"/>
      </w:numPr>
      <w:tabs>
        <w:tab w:val="clear" w:pos="1789"/>
        <w:tab w:val="num" w:pos="1620"/>
      </w:tabs>
      <w:ind w:left="1620" w:hanging="540"/>
    </w:pPr>
  </w:style>
  <w:style w:type="character" w:customStyle="1" w:styleId="TekstdymkaZnak">
    <w:name w:val="Tekst dymka Znak"/>
    <w:basedOn w:val="Domylnaczcionkaakapitu"/>
    <w:link w:val="Tekstdymka"/>
    <w:uiPriority w:val="99"/>
    <w:semiHidden/>
    <w:rsid w:val="00E5766A"/>
    <w:rPr>
      <w:rFonts w:ascii="Tahoma" w:hAnsi="Tahoma" w:cs="Tahoma"/>
      <w:sz w:val="16"/>
      <w:szCs w:val="16"/>
      <w:lang w:val="pl-PL" w:eastAsia="de-DE"/>
    </w:rPr>
  </w:style>
  <w:style w:type="character" w:styleId="Odwoaniedokomentarza">
    <w:name w:val="annotation reference"/>
    <w:basedOn w:val="Domylnaczcionkaakapitu"/>
    <w:uiPriority w:val="99"/>
    <w:unhideWhenUsed/>
    <w:rsid w:val="0023224E"/>
    <w:rPr>
      <w:sz w:val="16"/>
      <w:szCs w:val="16"/>
    </w:rPr>
  </w:style>
  <w:style w:type="paragraph" w:styleId="Tekstkomentarza">
    <w:name w:val="annotation text"/>
    <w:basedOn w:val="Normalny"/>
    <w:link w:val="TekstkomentarzaZnak"/>
    <w:uiPriority w:val="99"/>
    <w:unhideWhenUsed/>
    <w:rsid w:val="0023224E"/>
    <w:pPr>
      <w:spacing w:line="240" w:lineRule="auto"/>
    </w:pPr>
  </w:style>
  <w:style w:type="character" w:customStyle="1" w:styleId="TekstkomentarzaZnak">
    <w:name w:val="Tekst komentarza Znak"/>
    <w:basedOn w:val="Domylnaczcionkaakapitu"/>
    <w:link w:val="Tekstkomentarza"/>
    <w:uiPriority w:val="99"/>
    <w:rsid w:val="0023224E"/>
    <w:rPr>
      <w:rFonts w:ascii="Calibri" w:eastAsia="Calibri" w:hAnsi="Calibri"/>
      <w:lang w:val="pl-PL" w:eastAsia="en-US"/>
    </w:rPr>
  </w:style>
  <w:style w:type="paragraph" w:styleId="Tematkomentarza">
    <w:name w:val="annotation subject"/>
    <w:basedOn w:val="Tekstkomentarza"/>
    <w:next w:val="Tekstkomentarza"/>
    <w:link w:val="TematkomentarzaZnak"/>
    <w:uiPriority w:val="99"/>
    <w:semiHidden/>
    <w:unhideWhenUsed/>
    <w:rsid w:val="0023224E"/>
    <w:rPr>
      <w:b/>
      <w:bCs/>
    </w:rPr>
  </w:style>
  <w:style w:type="character" w:customStyle="1" w:styleId="TematkomentarzaZnak">
    <w:name w:val="Temat komentarza Znak"/>
    <w:basedOn w:val="TekstkomentarzaZnak"/>
    <w:link w:val="Tematkomentarza"/>
    <w:uiPriority w:val="99"/>
    <w:semiHidden/>
    <w:rsid w:val="0023224E"/>
    <w:rPr>
      <w:rFonts w:ascii="Calibri" w:eastAsia="Calibri" w:hAnsi="Calibri"/>
      <w:b/>
      <w:bCs/>
      <w:lang w:val="pl-PL" w:eastAsia="en-US"/>
    </w:rPr>
  </w:style>
  <w:style w:type="paragraph" w:styleId="Akapitzlist">
    <w:name w:val="List Paragraph"/>
    <w:basedOn w:val="Normalny"/>
    <w:link w:val="AkapitzlistZnak"/>
    <w:uiPriority w:val="34"/>
    <w:qFormat/>
    <w:rsid w:val="00063D14"/>
    <w:pPr>
      <w:ind w:left="720"/>
      <w:contextualSpacing/>
    </w:pPr>
  </w:style>
  <w:style w:type="character" w:styleId="Hipercze">
    <w:name w:val="Hyperlink"/>
    <w:basedOn w:val="Domylnaczcionkaakapitu"/>
    <w:uiPriority w:val="99"/>
    <w:unhideWhenUsed/>
    <w:rsid w:val="007D52E7"/>
    <w:rPr>
      <w:color w:val="0000FF"/>
      <w:u w:val="single"/>
    </w:rPr>
  </w:style>
  <w:style w:type="paragraph" w:customStyle="1" w:styleId="Default">
    <w:name w:val="Default"/>
    <w:rsid w:val="00056BAE"/>
    <w:pPr>
      <w:autoSpaceDE w:val="0"/>
      <w:autoSpaceDN w:val="0"/>
      <w:adjustRightInd w:val="0"/>
    </w:pPr>
    <w:rPr>
      <w:rFonts w:ascii="Arial" w:hAnsi="Arial" w:cs="Arial"/>
      <w:color w:val="000000"/>
      <w:sz w:val="24"/>
      <w:szCs w:val="24"/>
    </w:rPr>
  </w:style>
  <w:style w:type="paragraph" w:styleId="NormalnyWeb">
    <w:name w:val="Normal (Web)"/>
    <w:basedOn w:val="Normalny"/>
    <w:uiPriority w:val="99"/>
    <w:semiHidden/>
    <w:unhideWhenUsed/>
    <w:rsid w:val="00747CF2"/>
    <w:pPr>
      <w:spacing w:before="100" w:beforeAutospacing="1" w:after="100" w:afterAutospacing="1" w:line="240" w:lineRule="auto"/>
    </w:pPr>
    <w:rPr>
      <w:rFonts w:eastAsiaTheme="minorHAnsi"/>
      <w:sz w:val="24"/>
      <w:szCs w:val="24"/>
      <w:lang w:eastAsia="de-AT"/>
    </w:rPr>
  </w:style>
  <w:style w:type="character" w:customStyle="1" w:styleId="hps">
    <w:name w:val="hps"/>
    <w:basedOn w:val="Domylnaczcionkaakapitu"/>
    <w:rsid w:val="0037093F"/>
  </w:style>
  <w:style w:type="table" w:styleId="Jasnalistaakcent1">
    <w:name w:val="Light List Accent 1"/>
    <w:basedOn w:val="Standardowy"/>
    <w:uiPriority w:val="61"/>
    <w:rsid w:val="00A350E1"/>
    <w:rPr>
      <w:rFonts w:asciiTheme="minorHAnsi" w:eastAsiaTheme="minorHAnsi" w:hAnsiTheme="minorHAnsi" w:cstheme="minorBidi"/>
      <w:sz w:val="22"/>
      <w:szCs w:val="22"/>
    </w:rPr>
    <w:tblPr>
      <w:tblStyleRowBandSize w:val="1"/>
      <w:tblStyleColBandSize w:val="1"/>
      <w:tblBorders>
        <w:top w:val="single" w:sz="8" w:space="0" w:color="7D8B8A" w:themeColor="accent1"/>
        <w:left w:val="single" w:sz="8" w:space="0" w:color="7D8B8A" w:themeColor="accent1"/>
        <w:bottom w:val="single" w:sz="8" w:space="0" w:color="7D8B8A" w:themeColor="accent1"/>
        <w:right w:val="single" w:sz="8" w:space="0" w:color="7D8B8A" w:themeColor="accent1"/>
      </w:tblBorders>
    </w:tblPr>
    <w:tblStylePr w:type="firstRow">
      <w:pPr>
        <w:spacing w:before="0" w:after="0" w:line="240" w:lineRule="auto"/>
      </w:pPr>
      <w:rPr>
        <w:b/>
        <w:bCs/>
        <w:color w:val="FFFFFF" w:themeColor="background1"/>
      </w:rPr>
      <w:tblPr/>
      <w:tcPr>
        <w:shd w:val="clear" w:color="auto" w:fill="7D8B8A" w:themeFill="accent1"/>
      </w:tcPr>
    </w:tblStylePr>
    <w:tblStylePr w:type="lastRow">
      <w:pPr>
        <w:spacing w:before="0" w:after="0" w:line="240" w:lineRule="auto"/>
      </w:pPr>
      <w:rPr>
        <w:b/>
        <w:bCs/>
      </w:rPr>
      <w:tblPr/>
      <w:tcPr>
        <w:tcBorders>
          <w:top w:val="double" w:sz="6" w:space="0" w:color="7D8B8A" w:themeColor="accent1"/>
          <w:left w:val="single" w:sz="8" w:space="0" w:color="7D8B8A" w:themeColor="accent1"/>
          <w:bottom w:val="single" w:sz="8" w:space="0" w:color="7D8B8A" w:themeColor="accent1"/>
          <w:right w:val="single" w:sz="8" w:space="0" w:color="7D8B8A" w:themeColor="accent1"/>
        </w:tcBorders>
      </w:tcPr>
    </w:tblStylePr>
    <w:tblStylePr w:type="firstCol">
      <w:rPr>
        <w:b/>
        <w:bCs/>
      </w:rPr>
    </w:tblStylePr>
    <w:tblStylePr w:type="lastCol">
      <w:rPr>
        <w:b/>
        <w:bCs/>
      </w:rPr>
    </w:tblStylePr>
    <w:tblStylePr w:type="band1Vert">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tblStylePr w:type="band1Horz">
      <w:tblPr/>
      <w:tcPr>
        <w:tcBorders>
          <w:top w:val="single" w:sz="8" w:space="0" w:color="7D8B8A" w:themeColor="accent1"/>
          <w:left w:val="single" w:sz="8" w:space="0" w:color="7D8B8A" w:themeColor="accent1"/>
          <w:bottom w:val="single" w:sz="8" w:space="0" w:color="7D8B8A" w:themeColor="accent1"/>
          <w:right w:val="single" w:sz="8" w:space="0" w:color="7D8B8A" w:themeColor="accent1"/>
        </w:tcBorders>
      </w:tcPr>
    </w:tblStylePr>
  </w:style>
  <w:style w:type="paragraph" w:customStyle="1" w:styleId="Text1">
    <w:name w:val="Text 1"/>
    <w:basedOn w:val="Normalny"/>
    <w:link w:val="Text1Char"/>
    <w:rsid w:val="00A350E1"/>
    <w:pPr>
      <w:spacing w:after="240" w:line="240" w:lineRule="auto"/>
      <w:ind w:left="482"/>
    </w:pPr>
    <w:rPr>
      <w:sz w:val="24"/>
    </w:rPr>
  </w:style>
  <w:style w:type="character" w:customStyle="1" w:styleId="Text1Char">
    <w:name w:val="Text 1 Char"/>
    <w:link w:val="Text1"/>
    <w:locked/>
    <w:rsid w:val="00A350E1"/>
    <w:rPr>
      <w:sz w:val="24"/>
      <w:lang w:eastAsia="en-US"/>
    </w:rPr>
  </w:style>
  <w:style w:type="paragraph" w:customStyle="1" w:styleId="Tabelle">
    <w:name w:val="Tabelle"/>
    <w:basedOn w:val="Normalny"/>
    <w:rsid w:val="00A350E1"/>
    <w:pPr>
      <w:spacing w:before="40" w:after="40" w:line="240" w:lineRule="auto"/>
    </w:pPr>
    <w:rPr>
      <w:rFonts w:ascii="Arial Narrow" w:hAnsi="Arial Narrow" w:cs="Arial"/>
      <w:lang w:eastAsia="de-DE"/>
    </w:rPr>
  </w:style>
  <w:style w:type="character" w:styleId="UyteHipercze">
    <w:name w:val="FollowedHyperlink"/>
    <w:basedOn w:val="Domylnaczcionkaakapitu"/>
    <w:uiPriority w:val="99"/>
    <w:semiHidden/>
    <w:unhideWhenUsed/>
    <w:rsid w:val="005E328C"/>
    <w:rPr>
      <w:color w:val="BFBFBF" w:themeColor="followedHyperlink"/>
      <w:u w:val="single"/>
    </w:rPr>
  </w:style>
  <w:style w:type="paragraph" w:styleId="Poprawka">
    <w:name w:val="Revision"/>
    <w:hidden/>
    <w:uiPriority w:val="99"/>
    <w:semiHidden/>
    <w:rsid w:val="00F842CD"/>
    <w:rPr>
      <w:rFonts w:ascii="Calibri" w:eastAsia="Calibri" w:hAnsi="Calibri"/>
      <w:sz w:val="22"/>
      <w:szCs w:val="22"/>
    </w:rPr>
  </w:style>
  <w:style w:type="table" w:styleId="Tabela-Siatka">
    <w:name w:val="Table Grid"/>
    <w:basedOn w:val="Standardowy"/>
    <w:uiPriority w:val="59"/>
    <w:rsid w:val="000940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akcent5">
    <w:name w:val="Light List Accent 5"/>
    <w:basedOn w:val="Standardowy"/>
    <w:uiPriority w:val="61"/>
    <w:rsid w:val="00F5177F"/>
    <w:tblPr>
      <w:tblStyleRowBandSize w:val="1"/>
      <w:tblStyleColBandSize w:val="1"/>
      <w:tblBorders>
        <w:top w:val="single" w:sz="8" w:space="0" w:color="A6A7A9" w:themeColor="accent5"/>
        <w:left w:val="single" w:sz="8" w:space="0" w:color="A6A7A9" w:themeColor="accent5"/>
        <w:bottom w:val="single" w:sz="8" w:space="0" w:color="A6A7A9" w:themeColor="accent5"/>
        <w:right w:val="single" w:sz="8" w:space="0" w:color="A6A7A9" w:themeColor="accent5"/>
      </w:tblBorders>
    </w:tblPr>
    <w:tblStylePr w:type="firstRow">
      <w:pPr>
        <w:spacing w:before="0" w:after="0" w:line="240" w:lineRule="auto"/>
      </w:pPr>
      <w:rPr>
        <w:b/>
        <w:bCs/>
        <w:color w:val="FFFFFF" w:themeColor="background1"/>
      </w:rPr>
      <w:tblPr/>
      <w:tcPr>
        <w:shd w:val="clear" w:color="auto" w:fill="A6A7A9" w:themeFill="accent5"/>
      </w:tcPr>
    </w:tblStylePr>
    <w:tblStylePr w:type="lastRow">
      <w:pPr>
        <w:spacing w:before="0" w:after="0" w:line="240" w:lineRule="auto"/>
      </w:pPr>
      <w:rPr>
        <w:b/>
        <w:bCs/>
      </w:rPr>
      <w:tblPr/>
      <w:tcPr>
        <w:tcBorders>
          <w:top w:val="double" w:sz="6" w:space="0" w:color="A6A7A9" w:themeColor="accent5"/>
          <w:left w:val="single" w:sz="8" w:space="0" w:color="A6A7A9" w:themeColor="accent5"/>
          <w:bottom w:val="single" w:sz="8" w:space="0" w:color="A6A7A9" w:themeColor="accent5"/>
          <w:right w:val="single" w:sz="8" w:space="0" w:color="A6A7A9" w:themeColor="accent5"/>
        </w:tcBorders>
      </w:tcPr>
    </w:tblStylePr>
    <w:tblStylePr w:type="firstCol">
      <w:rPr>
        <w:b/>
        <w:bCs/>
      </w:rPr>
    </w:tblStylePr>
    <w:tblStylePr w:type="lastCol">
      <w:rPr>
        <w:b/>
        <w:bCs/>
      </w:rPr>
    </w:tblStylePr>
    <w:tblStylePr w:type="band1Vert">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tblStylePr w:type="band1Horz">
      <w:tblPr/>
      <w:tcPr>
        <w:tcBorders>
          <w:top w:val="single" w:sz="8" w:space="0" w:color="A6A7A9" w:themeColor="accent5"/>
          <w:left w:val="single" w:sz="8" w:space="0" w:color="A6A7A9" w:themeColor="accent5"/>
          <w:bottom w:val="single" w:sz="8" w:space="0" w:color="A6A7A9" w:themeColor="accent5"/>
          <w:right w:val="single" w:sz="8" w:space="0" w:color="A6A7A9" w:themeColor="accent5"/>
        </w:tcBorders>
      </w:tcPr>
    </w:tblStylePr>
  </w:style>
  <w:style w:type="table" w:styleId="Jasnalistaakcent4">
    <w:name w:val="Light List Accent 4"/>
    <w:basedOn w:val="Standardowy"/>
    <w:uiPriority w:val="61"/>
    <w:rsid w:val="00F5177F"/>
    <w:tblPr>
      <w:tblStyleRowBandSize w:val="1"/>
      <w:tblStyleColBandSize w:val="1"/>
      <w:tblBorders>
        <w:top w:val="single" w:sz="8" w:space="0" w:color="7B7B7D" w:themeColor="accent4"/>
        <w:left w:val="single" w:sz="8" w:space="0" w:color="7B7B7D" w:themeColor="accent4"/>
        <w:bottom w:val="single" w:sz="8" w:space="0" w:color="7B7B7D" w:themeColor="accent4"/>
        <w:right w:val="single" w:sz="8" w:space="0" w:color="7B7B7D" w:themeColor="accent4"/>
      </w:tblBorders>
    </w:tblPr>
    <w:tblStylePr w:type="firstRow">
      <w:pPr>
        <w:spacing w:before="0" w:after="0" w:line="240" w:lineRule="auto"/>
      </w:pPr>
      <w:rPr>
        <w:b/>
        <w:bCs/>
        <w:color w:val="FFFFFF" w:themeColor="background1"/>
      </w:rPr>
      <w:tblPr/>
      <w:tcPr>
        <w:shd w:val="clear" w:color="auto" w:fill="7B7B7D" w:themeFill="accent4"/>
      </w:tcPr>
    </w:tblStylePr>
    <w:tblStylePr w:type="lastRow">
      <w:pPr>
        <w:spacing w:before="0" w:after="0" w:line="240" w:lineRule="auto"/>
      </w:pPr>
      <w:rPr>
        <w:b/>
        <w:bCs/>
      </w:rPr>
      <w:tblPr/>
      <w:tcPr>
        <w:tcBorders>
          <w:top w:val="double" w:sz="6" w:space="0" w:color="7B7B7D" w:themeColor="accent4"/>
          <w:left w:val="single" w:sz="8" w:space="0" w:color="7B7B7D" w:themeColor="accent4"/>
          <w:bottom w:val="single" w:sz="8" w:space="0" w:color="7B7B7D" w:themeColor="accent4"/>
          <w:right w:val="single" w:sz="8" w:space="0" w:color="7B7B7D" w:themeColor="accent4"/>
        </w:tcBorders>
      </w:tcPr>
    </w:tblStylePr>
    <w:tblStylePr w:type="firstCol">
      <w:rPr>
        <w:b/>
        <w:bCs/>
      </w:rPr>
    </w:tblStylePr>
    <w:tblStylePr w:type="lastCol">
      <w:rPr>
        <w:b/>
        <w:bCs/>
      </w:rPr>
    </w:tblStylePr>
    <w:tblStylePr w:type="band1Vert">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tblStylePr w:type="band1Horz">
      <w:tblPr/>
      <w:tcPr>
        <w:tcBorders>
          <w:top w:val="single" w:sz="8" w:space="0" w:color="7B7B7D" w:themeColor="accent4"/>
          <w:left w:val="single" w:sz="8" w:space="0" w:color="7B7B7D" w:themeColor="accent4"/>
          <w:bottom w:val="single" w:sz="8" w:space="0" w:color="7B7B7D" w:themeColor="accent4"/>
          <w:right w:val="single" w:sz="8" w:space="0" w:color="7B7B7D" w:themeColor="accent4"/>
        </w:tcBorders>
      </w:tcPr>
    </w:tblStylePr>
  </w:style>
  <w:style w:type="table" w:styleId="Jasnecieniowanieakcent5">
    <w:name w:val="Light Shading Accent 5"/>
    <w:basedOn w:val="Standardowy"/>
    <w:uiPriority w:val="60"/>
    <w:rsid w:val="00F5177F"/>
    <w:rPr>
      <w:color w:val="7B7C7F" w:themeColor="accent5" w:themeShade="BF"/>
    </w:rPr>
    <w:tblPr>
      <w:tblStyleRowBandSize w:val="1"/>
      <w:tblStyleColBandSize w:val="1"/>
      <w:tblBorders>
        <w:top w:val="single" w:sz="8" w:space="0" w:color="A6A7A9" w:themeColor="accent5"/>
        <w:bottom w:val="single" w:sz="8" w:space="0" w:color="A6A7A9" w:themeColor="accent5"/>
      </w:tblBorders>
    </w:tblPr>
    <w:tblStylePr w:type="fir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lastRow">
      <w:pPr>
        <w:spacing w:before="0" w:after="0" w:line="240" w:lineRule="auto"/>
      </w:pPr>
      <w:rPr>
        <w:b/>
        <w:bCs/>
      </w:rPr>
      <w:tblPr/>
      <w:tcPr>
        <w:tcBorders>
          <w:top w:val="single" w:sz="8" w:space="0" w:color="A6A7A9" w:themeColor="accent5"/>
          <w:left w:val="nil"/>
          <w:bottom w:val="single" w:sz="8" w:space="0" w:color="A6A7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E9" w:themeFill="accent5" w:themeFillTint="3F"/>
      </w:tcPr>
    </w:tblStylePr>
    <w:tblStylePr w:type="band1Horz">
      <w:tblPr/>
      <w:tcPr>
        <w:tcBorders>
          <w:left w:val="nil"/>
          <w:right w:val="nil"/>
          <w:insideH w:val="nil"/>
          <w:insideV w:val="nil"/>
        </w:tcBorders>
        <w:shd w:val="clear" w:color="auto" w:fill="E8E9E9" w:themeFill="accent5" w:themeFillTint="3F"/>
      </w:tcPr>
    </w:tblStylePr>
  </w:style>
  <w:style w:type="table" w:styleId="redniasiatka3akcent1">
    <w:name w:val="Medium Grid 3 Accent 1"/>
    <w:basedOn w:val="Standardowy"/>
    <w:uiPriority w:val="69"/>
    <w:rsid w:val="00F5177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E2E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D8B8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D8B8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D8B8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5C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5C4" w:themeFill="accent1" w:themeFillTint="7F"/>
      </w:tcPr>
    </w:tblStylePr>
  </w:style>
  <w:style w:type="paragraph" w:customStyle="1" w:styleId="Aufzhlung">
    <w:name w:val="Aufzählung"/>
    <w:basedOn w:val="Listapunktowana"/>
    <w:rsid w:val="0093166C"/>
    <w:pPr>
      <w:numPr>
        <w:numId w:val="0"/>
      </w:numPr>
      <w:spacing w:after="240" w:line="280" w:lineRule="atLeast"/>
      <w:ind w:left="284" w:hanging="284"/>
    </w:pPr>
    <w:rPr>
      <w:rFonts w:ascii="Arial" w:hAnsi="Arial"/>
      <w:lang w:eastAsia="de-DE"/>
    </w:rPr>
  </w:style>
  <w:style w:type="paragraph" w:styleId="Listapunktowana">
    <w:name w:val="List Bullet"/>
    <w:basedOn w:val="Normalny"/>
    <w:uiPriority w:val="99"/>
    <w:semiHidden/>
    <w:unhideWhenUsed/>
    <w:rsid w:val="0093166C"/>
    <w:pPr>
      <w:numPr>
        <w:numId w:val="4"/>
      </w:numPr>
      <w:contextualSpacing/>
    </w:pPr>
  </w:style>
  <w:style w:type="paragraph" w:styleId="Tytu">
    <w:name w:val="Title"/>
    <w:basedOn w:val="Normalny"/>
    <w:next w:val="Normalny"/>
    <w:link w:val="TytuZnak"/>
    <w:qFormat/>
    <w:rsid w:val="007E62DC"/>
    <w:pPr>
      <w:pBdr>
        <w:bottom w:val="single" w:sz="8" w:space="4" w:color="7D8B8A" w:themeColor="accent1"/>
      </w:pBdr>
      <w:spacing w:after="300" w:line="240" w:lineRule="auto"/>
      <w:contextualSpacing/>
    </w:pPr>
    <w:rPr>
      <w:rFonts w:asciiTheme="majorHAnsi" w:eastAsiaTheme="majorEastAsia" w:hAnsiTheme="majorHAnsi" w:cstheme="majorBidi"/>
      <w:color w:val="39393A" w:themeColor="text2" w:themeShade="BF"/>
      <w:spacing w:val="5"/>
      <w:kern w:val="28"/>
      <w:sz w:val="52"/>
      <w:szCs w:val="52"/>
    </w:rPr>
  </w:style>
  <w:style w:type="character" w:customStyle="1" w:styleId="TytuZnak">
    <w:name w:val="Tytuł Znak"/>
    <w:basedOn w:val="Domylnaczcionkaakapitu"/>
    <w:link w:val="Tytu"/>
    <w:rsid w:val="007E62DC"/>
    <w:rPr>
      <w:rFonts w:asciiTheme="majorHAnsi" w:eastAsiaTheme="majorEastAsia" w:hAnsiTheme="majorHAnsi" w:cstheme="majorBidi"/>
      <w:color w:val="39393A" w:themeColor="text2" w:themeShade="BF"/>
      <w:spacing w:val="5"/>
      <w:kern w:val="28"/>
      <w:sz w:val="52"/>
      <w:szCs w:val="52"/>
      <w:lang w:val="pl-PL" w:eastAsia="en-US"/>
    </w:rPr>
  </w:style>
  <w:style w:type="paragraph" w:customStyle="1" w:styleId="CommsHeading1">
    <w:name w:val="Comms Heading 1"/>
    <w:basedOn w:val="Nagwek1"/>
    <w:link w:val="CommsHeading1Char"/>
    <w:rsid w:val="007E62DC"/>
    <w:pPr>
      <w:numPr>
        <w:numId w:val="3"/>
      </w:numPr>
      <w:pBdr>
        <w:bottom w:val="single" w:sz="4" w:space="1" w:color="5D6867" w:themeColor="accent1" w:themeShade="BF"/>
      </w:pBdr>
      <w:spacing w:before="480" w:after="240"/>
    </w:pPr>
    <w:rPr>
      <w:rFonts w:ascii="Trebuchet MS" w:hAnsi="Trebuchet MS"/>
      <w:color w:val="5D6867" w:themeColor="accent1" w:themeShade="BF"/>
    </w:rPr>
  </w:style>
  <w:style w:type="paragraph" w:customStyle="1" w:styleId="CommsHeading11">
    <w:name w:val="Comms Heading 1.1"/>
    <w:basedOn w:val="Nagwek2"/>
    <w:link w:val="CommsHeading11Char"/>
    <w:rsid w:val="007E62DC"/>
    <w:pPr>
      <w:numPr>
        <w:numId w:val="0"/>
      </w:numPr>
      <w:spacing w:before="360"/>
      <w:ind w:left="1789" w:hanging="360"/>
    </w:pPr>
    <w:rPr>
      <w:rFonts w:ascii="Trebuchet MS" w:hAnsi="Trebuchet MS"/>
      <w:color w:val="5D6867" w:themeColor="accent1" w:themeShade="BF"/>
    </w:rPr>
  </w:style>
  <w:style w:type="character" w:customStyle="1" w:styleId="Nagwek1Znak">
    <w:name w:val="Nagłówek 1 Znak"/>
    <w:basedOn w:val="Domylnaczcionkaakapitu"/>
    <w:link w:val="Nagwek1"/>
    <w:rsid w:val="00877C37"/>
    <w:rPr>
      <w:rFonts w:ascii="Arial Rounded MT Bold" w:hAnsi="Arial Rounded MT Bold"/>
      <w:b/>
      <w:bCs/>
      <w:color w:val="7D8B8A" w:themeColor="accent1"/>
      <w:sz w:val="28"/>
    </w:rPr>
  </w:style>
  <w:style w:type="character" w:customStyle="1" w:styleId="CommsHeading1Char">
    <w:name w:val="Comms Heading 1 Char"/>
    <w:basedOn w:val="Nagwek1Znak"/>
    <w:link w:val="CommsHeading1"/>
    <w:rsid w:val="007E62DC"/>
    <w:rPr>
      <w:rFonts w:ascii="Trebuchet MS" w:hAnsi="Trebuchet MS"/>
      <w:b/>
      <w:bCs/>
      <w:color w:val="5D6867" w:themeColor="accent1" w:themeShade="BF"/>
      <w:sz w:val="28"/>
    </w:rPr>
  </w:style>
  <w:style w:type="paragraph" w:customStyle="1" w:styleId="CommsHeading111">
    <w:name w:val="Comms Heading 1.1.1"/>
    <w:basedOn w:val="Nagwek3"/>
    <w:link w:val="CommsHeading111Char"/>
    <w:rsid w:val="007E62DC"/>
    <w:pPr>
      <w:numPr>
        <w:numId w:val="0"/>
      </w:numPr>
      <w:ind w:left="1789" w:hanging="360"/>
    </w:pPr>
    <w:rPr>
      <w:rFonts w:ascii="Trebuchet MS" w:hAnsi="Trebuchet MS"/>
      <w:color w:val="5D6867" w:themeColor="accent1" w:themeShade="BF"/>
    </w:rPr>
  </w:style>
  <w:style w:type="character" w:customStyle="1" w:styleId="Nagwek2Znak">
    <w:name w:val="Nagłówek 2 Znak"/>
    <w:basedOn w:val="Domylnaczcionkaakapitu"/>
    <w:link w:val="Nagwek2"/>
    <w:rsid w:val="00877C37"/>
    <w:rPr>
      <w:rFonts w:ascii="Arial Rounded MT Bold" w:hAnsi="Arial Rounded MT Bold"/>
      <w:b/>
      <w:bCs/>
      <w:iCs/>
      <w:color w:val="7D8B8A" w:themeColor="accent1"/>
      <w:sz w:val="24"/>
    </w:rPr>
  </w:style>
  <w:style w:type="character" w:customStyle="1" w:styleId="CommsHeading11Char">
    <w:name w:val="Comms Heading 1.1 Char"/>
    <w:basedOn w:val="Nagwek2Znak"/>
    <w:link w:val="CommsHeading11"/>
    <w:rsid w:val="007E62DC"/>
    <w:rPr>
      <w:rFonts w:ascii="Trebuchet MS" w:eastAsia="Calibri" w:hAnsi="Trebuchet MS"/>
      <w:b/>
      <w:bCs/>
      <w:iCs/>
      <w:color w:val="5D6867" w:themeColor="accent1" w:themeShade="BF"/>
      <w:sz w:val="24"/>
      <w:szCs w:val="22"/>
    </w:rPr>
  </w:style>
  <w:style w:type="paragraph" w:customStyle="1" w:styleId="CommsTextNormal">
    <w:name w:val="Comms Text Normal"/>
    <w:basedOn w:val="Normalny"/>
    <w:link w:val="CommsTextNormalChar"/>
    <w:rsid w:val="007E62DC"/>
  </w:style>
  <w:style w:type="character" w:customStyle="1" w:styleId="Nagwek3Znak">
    <w:name w:val="Nagłówek 3 Znak"/>
    <w:basedOn w:val="Domylnaczcionkaakapitu"/>
    <w:link w:val="Nagwek3"/>
    <w:rsid w:val="00877C37"/>
    <w:rPr>
      <w:rFonts w:ascii="Arial Rounded MT Bold" w:hAnsi="Arial Rounded MT Bold"/>
      <w:b/>
      <w:iCs/>
      <w:color w:val="7D8B8A" w:themeColor="accent1"/>
    </w:rPr>
  </w:style>
  <w:style w:type="character" w:customStyle="1" w:styleId="CommsHeading111Char">
    <w:name w:val="Comms Heading 1.1.1 Char"/>
    <w:basedOn w:val="Nagwek3Znak"/>
    <w:link w:val="CommsHeading111"/>
    <w:rsid w:val="007E62DC"/>
    <w:rPr>
      <w:rFonts w:ascii="Trebuchet MS" w:eastAsia="Calibri" w:hAnsi="Trebuchet MS"/>
      <w:b/>
      <w:iCs/>
      <w:color w:val="5D6867" w:themeColor="accent1" w:themeShade="BF"/>
    </w:rPr>
  </w:style>
  <w:style w:type="paragraph" w:styleId="Nagwekspisutreci">
    <w:name w:val="TOC Heading"/>
    <w:basedOn w:val="Nagwek1"/>
    <w:next w:val="Normalny"/>
    <w:uiPriority w:val="39"/>
    <w:unhideWhenUsed/>
    <w:qFormat/>
    <w:rsid w:val="007E62DC"/>
    <w:pPr>
      <w:keepLines/>
      <w:numPr>
        <w:numId w:val="0"/>
      </w:numPr>
      <w:spacing w:before="480" w:after="0"/>
      <w:outlineLvl w:val="9"/>
    </w:pPr>
    <w:rPr>
      <w:rFonts w:asciiTheme="majorHAnsi" w:eastAsiaTheme="majorEastAsia" w:hAnsiTheme="majorHAnsi" w:cstheme="majorBidi"/>
      <w:color w:val="5D6867" w:themeColor="accent1" w:themeShade="BF"/>
      <w:szCs w:val="28"/>
      <w:lang w:eastAsia="ja-JP"/>
    </w:rPr>
  </w:style>
  <w:style w:type="character" w:customStyle="1" w:styleId="CommsTextNormalChar">
    <w:name w:val="Comms Text Normal Char"/>
    <w:basedOn w:val="Domylnaczcionkaakapitu"/>
    <w:link w:val="CommsTextNormal"/>
    <w:rsid w:val="007E62DC"/>
    <w:rPr>
      <w:rFonts w:ascii="Trebuchet MS" w:eastAsia="Calibri" w:hAnsi="Trebuchet MS"/>
      <w:lang w:val="pl-PL" w:eastAsia="en-US"/>
    </w:rPr>
  </w:style>
  <w:style w:type="paragraph" w:styleId="Spistreci1">
    <w:name w:val="toc 1"/>
    <w:basedOn w:val="Normalny"/>
    <w:next w:val="Normalny"/>
    <w:autoRedefine/>
    <w:uiPriority w:val="39"/>
    <w:unhideWhenUsed/>
    <w:rsid w:val="00051D5A"/>
    <w:pPr>
      <w:tabs>
        <w:tab w:val="left" w:pos="284"/>
        <w:tab w:val="right" w:leader="dot" w:pos="8505"/>
      </w:tabs>
      <w:spacing w:line="240" w:lineRule="auto"/>
    </w:pPr>
    <w:rPr>
      <w:b/>
      <w:bCs/>
      <w:caps/>
      <w:noProof/>
    </w:rPr>
  </w:style>
  <w:style w:type="paragraph" w:styleId="Spistreci2">
    <w:name w:val="toc 2"/>
    <w:basedOn w:val="Normalny"/>
    <w:next w:val="Normalny"/>
    <w:autoRedefine/>
    <w:uiPriority w:val="39"/>
    <w:unhideWhenUsed/>
    <w:rsid w:val="001937BA"/>
    <w:pPr>
      <w:tabs>
        <w:tab w:val="right" w:leader="dot" w:pos="9396"/>
      </w:tabs>
      <w:ind w:left="0" w:right="340"/>
      <w:jc w:val="left"/>
    </w:pPr>
    <w:rPr>
      <w:rFonts w:asciiTheme="minorHAnsi" w:hAnsiTheme="minorHAnsi"/>
      <w:b/>
      <w:bCs/>
    </w:rPr>
  </w:style>
  <w:style w:type="paragraph" w:customStyle="1" w:styleId="ListDash1">
    <w:name w:val="List Dash 1"/>
    <w:basedOn w:val="Text1"/>
    <w:rsid w:val="007E62DC"/>
    <w:pPr>
      <w:numPr>
        <w:numId w:val="5"/>
      </w:numPr>
      <w:tabs>
        <w:tab w:val="clear" w:pos="765"/>
        <w:tab w:val="num" w:pos="1069"/>
      </w:tabs>
      <w:ind w:left="1069" w:hanging="360"/>
    </w:pPr>
  </w:style>
  <w:style w:type="paragraph" w:customStyle="1" w:styleId="FSHeading3">
    <w:name w:val="FS Heading 3"/>
    <w:basedOn w:val="Normalny"/>
    <w:next w:val="FSNormal"/>
    <w:link w:val="FSHeading3Char"/>
    <w:autoRedefine/>
    <w:rsid w:val="007E62DC"/>
    <w:pPr>
      <w:tabs>
        <w:tab w:val="left" w:pos="284"/>
        <w:tab w:val="left" w:pos="709"/>
      </w:tabs>
      <w:spacing w:after="120" w:line="360" w:lineRule="auto"/>
      <w:jc w:val="center"/>
    </w:pPr>
    <w:rPr>
      <w:b/>
      <w:i/>
      <w:sz w:val="24"/>
      <w:szCs w:val="24"/>
      <w:lang w:eastAsia="en-GB"/>
    </w:rPr>
  </w:style>
  <w:style w:type="character" w:customStyle="1" w:styleId="FSHeading3Char">
    <w:name w:val="FS Heading 3 Char"/>
    <w:link w:val="FSHeading3"/>
    <w:rsid w:val="007E62DC"/>
    <w:rPr>
      <w:rFonts w:ascii="Trebuchet MS" w:hAnsi="Trebuchet MS"/>
      <w:b/>
      <w:i/>
      <w:sz w:val="24"/>
      <w:szCs w:val="24"/>
    </w:rPr>
  </w:style>
  <w:style w:type="paragraph" w:customStyle="1" w:styleId="FSNormal">
    <w:name w:val="FS Normal"/>
    <w:basedOn w:val="Bezodstpw"/>
    <w:link w:val="FSNormalChar"/>
    <w:rsid w:val="007E62DC"/>
    <w:pPr>
      <w:spacing w:line="276" w:lineRule="auto"/>
    </w:pPr>
    <w:rPr>
      <w:rFonts w:ascii="Trebuchet MS" w:eastAsia="Times New Roman" w:hAnsi="Trebuchet MS"/>
      <w:sz w:val="20"/>
      <w:szCs w:val="20"/>
      <w:lang w:eastAsia="en-GB"/>
    </w:rPr>
  </w:style>
  <w:style w:type="character" w:customStyle="1" w:styleId="FSNormalChar">
    <w:name w:val="FS Normal Char"/>
    <w:link w:val="FSNormal"/>
    <w:rsid w:val="007E62DC"/>
    <w:rPr>
      <w:rFonts w:ascii="Trebuchet MS" w:hAnsi="Trebuchet MS"/>
      <w:lang w:val="pl-PL"/>
    </w:rPr>
  </w:style>
  <w:style w:type="paragraph" w:styleId="Bezodstpw">
    <w:name w:val="No Spacing"/>
    <w:link w:val="BezodstpwZnak"/>
    <w:uiPriority w:val="1"/>
    <w:rsid w:val="007E62DC"/>
    <w:rPr>
      <w:rFonts w:ascii="Calibri" w:eastAsia="Calibri" w:hAnsi="Calibri"/>
      <w:sz w:val="22"/>
      <w:szCs w:val="22"/>
    </w:rPr>
  </w:style>
  <w:style w:type="paragraph" w:styleId="Spistreci3">
    <w:name w:val="toc 3"/>
    <w:basedOn w:val="Normalny"/>
    <w:next w:val="Normalny"/>
    <w:autoRedefine/>
    <w:uiPriority w:val="39"/>
    <w:unhideWhenUsed/>
    <w:rsid w:val="005F6CDB"/>
    <w:pPr>
      <w:tabs>
        <w:tab w:val="left" w:pos="1100"/>
        <w:tab w:val="right" w:leader="dot" w:pos="9736"/>
      </w:tabs>
      <w:spacing w:line="240" w:lineRule="auto"/>
      <w:ind w:left="221"/>
    </w:pPr>
    <w:rPr>
      <w:rFonts w:asciiTheme="minorHAnsi" w:hAnsiTheme="minorHAnsi"/>
    </w:rPr>
  </w:style>
  <w:style w:type="paragraph" w:styleId="Tekstprzypisudolnego">
    <w:name w:val="footnote text"/>
    <w:aliases w:val="CE-Footnote,Footnote,Schriftart: 9 pt,Schriftart: 10 pt,Schriftart: 8 pt,WB-Fußnotentext,FoodNote,ft,Footnote text,Footnote Text Char Char,Footnote Text Char1 Char Char,Footnote Text Char Char Char Char,fn,f,Char"/>
    <w:basedOn w:val="CE-StandardText"/>
    <w:link w:val="TekstprzypisudolnegoZnak"/>
    <w:unhideWhenUsed/>
    <w:qFormat/>
    <w:rsid w:val="0067637D"/>
    <w:pPr>
      <w:spacing w:before="60" w:line="240" w:lineRule="auto"/>
    </w:pPr>
    <w:rPr>
      <w:color w:val="A6A7A9" w:themeColor="accent5"/>
      <w:sz w:val="17"/>
    </w:rPr>
  </w:style>
  <w:style w:type="character" w:customStyle="1" w:styleId="TekstprzypisudolnegoZnak">
    <w:name w:val="Tekst przypisu dolnego Znak"/>
    <w:aliases w:val="CE-Footnote Znak,Footnote Znak,Schriftart: 9 pt Znak,Schriftart: 10 pt Znak,Schriftart: 8 pt Znak,WB-Fußnotentext Znak,FoodNote Znak,ft Znak,Footnote text Znak,Footnote Text Char Char Znak,Footnote Text Char1 Char Char Znak"/>
    <w:basedOn w:val="Domylnaczcionkaakapitu"/>
    <w:link w:val="Tekstprzypisudolnego"/>
    <w:rsid w:val="0067637D"/>
    <w:rPr>
      <w:rFonts w:ascii="Trebuchet MS" w:hAnsi="Trebuchet MS"/>
      <w:color w:val="A6A7A9" w:themeColor="accent5"/>
      <w:sz w:val="17"/>
      <w:szCs w:val="18"/>
      <w:lang w:val="pl-PL"/>
    </w:rPr>
  </w:style>
  <w:style w:type="character" w:styleId="Odwoanieprzypisudolnego">
    <w:name w:val="footnote reference"/>
    <w:aliases w:val="ESPON Footnote No,Footnote number,Footnote symbol,Footnote Reference Number,Footnote reference number,Times 10 Point,Exposant 3 Point,Footnote Reference Superscript,EN Footnote Reference,note TESI,Voetnootverwijzing,fr,o,FR"/>
    <w:basedOn w:val="Domylnaczcionkaakapitu"/>
    <w:unhideWhenUsed/>
    <w:rsid w:val="007E62DC"/>
    <w:rPr>
      <w:vertAlign w:val="superscript"/>
    </w:rPr>
  </w:style>
  <w:style w:type="paragraph" w:styleId="Spistreci4">
    <w:name w:val="toc 4"/>
    <w:basedOn w:val="Normalny"/>
    <w:next w:val="Normalny"/>
    <w:autoRedefine/>
    <w:uiPriority w:val="39"/>
    <w:unhideWhenUsed/>
    <w:rsid w:val="006A676A"/>
    <w:pPr>
      <w:ind w:left="440"/>
    </w:pPr>
    <w:rPr>
      <w:rFonts w:asciiTheme="minorHAnsi" w:hAnsiTheme="minorHAnsi"/>
    </w:rPr>
  </w:style>
  <w:style w:type="paragraph" w:styleId="Spistreci5">
    <w:name w:val="toc 5"/>
    <w:basedOn w:val="Normalny"/>
    <w:next w:val="Normalny"/>
    <w:autoRedefine/>
    <w:uiPriority w:val="39"/>
    <w:unhideWhenUsed/>
    <w:rsid w:val="006A676A"/>
    <w:pPr>
      <w:ind w:left="660"/>
    </w:pPr>
    <w:rPr>
      <w:rFonts w:asciiTheme="minorHAnsi" w:hAnsiTheme="minorHAnsi"/>
    </w:rPr>
  </w:style>
  <w:style w:type="paragraph" w:styleId="Spistreci6">
    <w:name w:val="toc 6"/>
    <w:basedOn w:val="Normalny"/>
    <w:next w:val="Normalny"/>
    <w:autoRedefine/>
    <w:uiPriority w:val="39"/>
    <w:unhideWhenUsed/>
    <w:rsid w:val="006A676A"/>
    <w:pPr>
      <w:ind w:left="880"/>
    </w:pPr>
    <w:rPr>
      <w:rFonts w:asciiTheme="minorHAnsi" w:hAnsiTheme="minorHAnsi"/>
    </w:rPr>
  </w:style>
  <w:style w:type="paragraph" w:styleId="Spistreci7">
    <w:name w:val="toc 7"/>
    <w:basedOn w:val="Normalny"/>
    <w:next w:val="Normalny"/>
    <w:autoRedefine/>
    <w:uiPriority w:val="39"/>
    <w:unhideWhenUsed/>
    <w:rsid w:val="006A676A"/>
    <w:pPr>
      <w:ind w:left="1100"/>
    </w:pPr>
    <w:rPr>
      <w:rFonts w:asciiTheme="minorHAnsi" w:hAnsiTheme="minorHAnsi"/>
    </w:rPr>
  </w:style>
  <w:style w:type="paragraph" w:styleId="Spistreci8">
    <w:name w:val="toc 8"/>
    <w:basedOn w:val="Normalny"/>
    <w:next w:val="Normalny"/>
    <w:autoRedefine/>
    <w:uiPriority w:val="39"/>
    <w:unhideWhenUsed/>
    <w:rsid w:val="006A676A"/>
    <w:pPr>
      <w:ind w:left="1320"/>
    </w:pPr>
    <w:rPr>
      <w:rFonts w:asciiTheme="minorHAnsi" w:hAnsiTheme="minorHAnsi"/>
    </w:rPr>
  </w:style>
  <w:style w:type="paragraph" w:styleId="Spistreci9">
    <w:name w:val="toc 9"/>
    <w:basedOn w:val="Normalny"/>
    <w:next w:val="Normalny"/>
    <w:autoRedefine/>
    <w:uiPriority w:val="39"/>
    <w:unhideWhenUsed/>
    <w:rsid w:val="006A676A"/>
    <w:pPr>
      <w:ind w:left="1540"/>
    </w:pPr>
    <w:rPr>
      <w:rFonts w:asciiTheme="minorHAnsi" w:hAnsiTheme="minorHAnsi"/>
    </w:rPr>
  </w:style>
  <w:style w:type="paragraph" w:customStyle="1" w:styleId="IM1">
    <w:name w:val="IM 1"/>
    <w:basedOn w:val="CommsHeading1"/>
    <w:link w:val="IM1Zchn"/>
    <w:rsid w:val="00605FB6"/>
    <w:pPr>
      <w:numPr>
        <w:numId w:val="6"/>
      </w:numPr>
      <w:tabs>
        <w:tab w:val="clear" w:pos="720"/>
      </w:tabs>
      <w:spacing w:before="120" w:after="120"/>
    </w:pPr>
  </w:style>
  <w:style w:type="paragraph" w:customStyle="1" w:styleId="IM2">
    <w:name w:val="IM 2"/>
    <w:basedOn w:val="CommsHeading11"/>
    <w:link w:val="IM2Zchn"/>
    <w:rsid w:val="00605FB6"/>
    <w:pPr>
      <w:numPr>
        <w:numId w:val="7"/>
      </w:numPr>
      <w:spacing w:before="120" w:after="120"/>
    </w:pPr>
    <w:rPr>
      <w:szCs w:val="24"/>
    </w:rPr>
  </w:style>
  <w:style w:type="character" w:customStyle="1" w:styleId="IM1Zchn">
    <w:name w:val="IM 1 Zchn"/>
    <w:basedOn w:val="CommsHeading1Char"/>
    <w:link w:val="IM1"/>
    <w:rsid w:val="00605FB6"/>
    <w:rPr>
      <w:rFonts w:ascii="Trebuchet MS" w:hAnsi="Trebuchet MS"/>
      <w:b/>
      <w:bCs/>
      <w:color w:val="5D6867" w:themeColor="accent1" w:themeShade="BF"/>
      <w:sz w:val="28"/>
    </w:rPr>
  </w:style>
  <w:style w:type="paragraph" w:customStyle="1" w:styleId="IM3">
    <w:name w:val="IM 3"/>
    <w:basedOn w:val="CommsHeading11"/>
    <w:link w:val="IM3Zchn"/>
    <w:rsid w:val="00605FB6"/>
    <w:pPr>
      <w:numPr>
        <w:numId w:val="8"/>
      </w:numPr>
      <w:spacing w:before="120" w:after="120"/>
    </w:pPr>
    <w:rPr>
      <w:b w:val="0"/>
      <w:color w:val="auto"/>
      <w:szCs w:val="24"/>
    </w:rPr>
  </w:style>
  <w:style w:type="character" w:customStyle="1" w:styleId="IM2Zchn">
    <w:name w:val="IM 2 Zchn"/>
    <w:basedOn w:val="CommsHeading11Char"/>
    <w:link w:val="IM2"/>
    <w:rsid w:val="00605FB6"/>
    <w:rPr>
      <w:rFonts w:ascii="Trebuchet MS" w:eastAsia="Calibri" w:hAnsi="Trebuchet MS"/>
      <w:b/>
      <w:bCs/>
      <w:iCs/>
      <w:color w:val="5D6867" w:themeColor="accent1" w:themeShade="BF"/>
      <w:sz w:val="24"/>
      <w:szCs w:val="24"/>
    </w:rPr>
  </w:style>
  <w:style w:type="character" w:customStyle="1" w:styleId="IM3Zchn">
    <w:name w:val="IM 3 Zchn"/>
    <w:basedOn w:val="CommsHeading11Char"/>
    <w:link w:val="IM3"/>
    <w:rsid w:val="00605FB6"/>
    <w:rPr>
      <w:rFonts w:ascii="Trebuchet MS" w:eastAsia="Calibri" w:hAnsi="Trebuchet MS"/>
      <w:b w:val="0"/>
      <w:bCs/>
      <w:iCs/>
      <w:color w:val="5D6867" w:themeColor="accent1" w:themeShade="BF"/>
      <w:sz w:val="24"/>
      <w:szCs w:val="24"/>
    </w:rPr>
  </w:style>
  <w:style w:type="table" w:styleId="redniecieniowanie1akcent1">
    <w:name w:val="Medium Shading 1 Accent 1"/>
    <w:basedOn w:val="Standardowy"/>
    <w:uiPriority w:val="63"/>
    <w:rsid w:val="001722CD"/>
    <w:rPr>
      <w:rFonts w:asciiTheme="minorHAnsi" w:eastAsiaTheme="minorHAnsi" w:hAnsiTheme="minorHAnsi" w:cstheme="minorBidi"/>
      <w:sz w:val="22"/>
      <w:szCs w:val="22"/>
    </w:rPr>
    <w:tblPr>
      <w:tblStyleRowBandSize w:val="1"/>
      <w:tblStyleColBandSize w:val="1"/>
      <w:tbl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single" w:sz="8" w:space="0" w:color="9DA8A7" w:themeColor="accent1" w:themeTint="BF"/>
      </w:tblBorders>
    </w:tblPr>
    <w:tblStylePr w:type="firstRow">
      <w:pPr>
        <w:spacing w:before="0" w:after="0" w:line="240" w:lineRule="auto"/>
      </w:pPr>
      <w:rPr>
        <w:b/>
        <w:bCs/>
        <w:color w:val="FFFFFF" w:themeColor="background1"/>
      </w:rPr>
      <w:tblPr/>
      <w:tcPr>
        <w:tcBorders>
          <w:top w:val="single" w:sz="8"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shd w:val="clear" w:color="auto" w:fill="7D8B8A" w:themeFill="accent1"/>
      </w:tcPr>
    </w:tblStylePr>
    <w:tblStylePr w:type="lastRow">
      <w:pPr>
        <w:spacing w:before="0" w:after="0" w:line="240" w:lineRule="auto"/>
      </w:pPr>
      <w:rPr>
        <w:b/>
        <w:bCs/>
      </w:rPr>
      <w:tblPr/>
      <w:tcPr>
        <w:tcBorders>
          <w:top w:val="double" w:sz="6" w:space="0" w:color="9DA8A7" w:themeColor="accent1" w:themeTint="BF"/>
          <w:left w:val="single" w:sz="8" w:space="0" w:color="9DA8A7" w:themeColor="accent1" w:themeTint="BF"/>
          <w:bottom w:val="single" w:sz="8" w:space="0" w:color="9DA8A7" w:themeColor="accent1" w:themeTint="BF"/>
          <w:right w:val="single" w:sz="8" w:space="0" w:color="9DA8A7" w:themeColor="accent1" w:themeTint="BF"/>
          <w:insideH w:val="nil"/>
          <w:insideV w:val="nil"/>
        </w:tcBorders>
      </w:tcPr>
    </w:tblStylePr>
    <w:tblStylePr w:type="firstCol">
      <w:rPr>
        <w:b/>
        <w:bCs/>
      </w:rPr>
    </w:tblStylePr>
    <w:tblStylePr w:type="lastCol">
      <w:rPr>
        <w:b/>
        <w:bCs/>
      </w:rPr>
    </w:tblStylePr>
    <w:tblStylePr w:type="band1Vert">
      <w:tblPr/>
      <w:tcPr>
        <w:shd w:val="clear" w:color="auto" w:fill="DEE2E2" w:themeFill="accent1" w:themeFillTint="3F"/>
      </w:tcPr>
    </w:tblStylePr>
    <w:tblStylePr w:type="band1Horz">
      <w:tblPr/>
      <w:tcPr>
        <w:tcBorders>
          <w:insideH w:val="nil"/>
          <w:insideV w:val="nil"/>
        </w:tcBorders>
        <w:shd w:val="clear" w:color="auto" w:fill="DEE2E2" w:themeFill="accent1" w:themeFillTint="3F"/>
      </w:tcPr>
    </w:tblStylePr>
    <w:tblStylePr w:type="band2Horz">
      <w:tblPr/>
      <w:tcPr>
        <w:tcBorders>
          <w:insideH w:val="nil"/>
          <w:insideV w:val="nil"/>
        </w:tcBorders>
      </w:tcPr>
    </w:tblStylePr>
  </w:style>
  <w:style w:type="character" w:customStyle="1" w:styleId="TekstpodstawowyZnak">
    <w:name w:val="Tekst podstawowy Znak"/>
    <w:basedOn w:val="Domylnaczcionkaakapitu"/>
    <w:link w:val="Tekstpodstawowy"/>
    <w:rsid w:val="0085654A"/>
    <w:rPr>
      <w:rFonts w:ascii="Verdana" w:eastAsia="Calibri" w:hAnsi="Verdana"/>
      <w:szCs w:val="22"/>
    </w:rPr>
  </w:style>
  <w:style w:type="character" w:customStyle="1" w:styleId="AkapitzlistZnak">
    <w:name w:val="Akapit z listą Znak"/>
    <w:link w:val="Akapitzlist"/>
    <w:uiPriority w:val="34"/>
    <w:rsid w:val="00DC05A9"/>
    <w:rPr>
      <w:rFonts w:ascii="Calibri" w:eastAsia="Calibri" w:hAnsi="Calibri"/>
      <w:sz w:val="22"/>
      <w:szCs w:val="22"/>
      <w:lang w:val="pl-PL"/>
    </w:rPr>
  </w:style>
  <w:style w:type="paragraph" w:styleId="Tekstpodstawowy3">
    <w:name w:val="Body Text 3"/>
    <w:basedOn w:val="Normalny"/>
    <w:link w:val="Tekstpodstawowy3Znak"/>
    <w:uiPriority w:val="99"/>
    <w:unhideWhenUsed/>
    <w:rsid w:val="00515CB1"/>
    <w:pPr>
      <w:spacing w:after="120"/>
    </w:pPr>
    <w:rPr>
      <w:sz w:val="16"/>
      <w:szCs w:val="16"/>
    </w:rPr>
  </w:style>
  <w:style w:type="character" w:customStyle="1" w:styleId="Tekstpodstawowy3Znak">
    <w:name w:val="Tekst podstawowy 3 Znak"/>
    <w:basedOn w:val="Domylnaczcionkaakapitu"/>
    <w:link w:val="Tekstpodstawowy3"/>
    <w:uiPriority w:val="99"/>
    <w:rsid w:val="00515CB1"/>
    <w:rPr>
      <w:rFonts w:ascii="Calibri" w:eastAsia="Calibri" w:hAnsi="Calibri"/>
      <w:sz w:val="16"/>
      <w:szCs w:val="16"/>
      <w:lang w:val="pl-PL"/>
    </w:rPr>
  </w:style>
  <w:style w:type="paragraph" w:styleId="Legenda">
    <w:name w:val="caption"/>
    <w:basedOn w:val="Normalny"/>
    <w:next w:val="Normalny"/>
    <w:rsid w:val="003C39D2"/>
    <w:pPr>
      <w:keepNext/>
      <w:spacing w:after="120" w:line="240" w:lineRule="auto"/>
    </w:pPr>
    <w:rPr>
      <w:b/>
      <w:color w:val="000080"/>
      <w:szCs w:val="18"/>
    </w:rPr>
  </w:style>
  <w:style w:type="character" w:customStyle="1" w:styleId="NagwekZnak">
    <w:name w:val="Nagłówek Znak"/>
    <w:basedOn w:val="Domylnaczcionkaakapitu"/>
    <w:link w:val="Nagwek"/>
    <w:uiPriority w:val="99"/>
    <w:rsid w:val="00A0196F"/>
    <w:rPr>
      <w:rFonts w:ascii="Verdana" w:eastAsia="Calibri" w:hAnsi="Verdana"/>
      <w:sz w:val="16"/>
      <w:szCs w:val="22"/>
      <w:lang w:val="pl-PL"/>
    </w:rPr>
  </w:style>
  <w:style w:type="character" w:customStyle="1" w:styleId="StopkaZnak">
    <w:name w:val="Stopka Znak"/>
    <w:basedOn w:val="Domylnaczcionkaakapitu"/>
    <w:link w:val="Stopka"/>
    <w:uiPriority w:val="99"/>
    <w:rsid w:val="00311673"/>
    <w:rPr>
      <w:rFonts w:ascii="Verdana" w:eastAsia="Calibri" w:hAnsi="Verdana"/>
      <w:noProof/>
      <w:sz w:val="16"/>
      <w:szCs w:val="22"/>
    </w:rPr>
  </w:style>
  <w:style w:type="paragraph" w:customStyle="1" w:styleId="bulletpoints">
    <w:name w:val="bulletpoints"/>
    <w:basedOn w:val="Akapitzlist"/>
    <w:link w:val="bulletpointsZchn"/>
    <w:rsid w:val="007B6341"/>
    <w:pPr>
      <w:numPr>
        <w:numId w:val="10"/>
      </w:numPr>
      <w:spacing w:before="240" w:after="240" w:line="360" w:lineRule="auto"/>
      <w:ind w:left="2268" w:right="340" w:hanging="425"/>
    </w:pPr>
    <w:rPr>
      <w:noProof/>
      <w:lang w:eastAsia="de-AT"/>
    </w:rPr>
  </w:style>
  <w:style w:type="paragraph" w:customStyle="1" w:styleId="bulletpoints2">
    <w:name w:val="bulletpoints 2"/>
    <w:basedOn w:val="Akapitzlist"/>
    <w:link w:val="bulletpoints2Zchn"/>
    <w:rsid w:val="00925502"/>
    <w:pPr>
      <w:numPr>
        <w:ilvl w:val="1"/>
        <w:numId w:val="13"/>
      </w:numPr>
      <w:spacing w:after="120" w:line="240" w:lineRule="auto"/>
      <w:ind w:left="2268" w:right="340" w:hanging="425"/>
    </w:pPr>
  </w:style>
  <w:style w:type="character" w:customStyle="1" w:styleId="bulletpointsZchn">
    <w:name w:val="bulletpoints Zchn"/>
    <w:basedOn w:val="AkapitzlistZnak"/>
    <w:link w:val="bulletpoints"/>
    <w:rsid w:val="007B6341"/>
    <w:rPr>
      <w:rFonts w:ascii="Calibri" w:eastAsia="Calibri" w:hAnsi="Calibri"/>
      <w:noProof/>
      <w:sz w:val="22"/>
      <w:szCs w:val="22"/>
      <w:lang w:val="pl-PL" w:eastAsia="de-AT"/>
    </w:rPr>
  </w:style>
  <w:style w:type="table" w:styleId="Ciemnalista2akcent1">
    <w:name w:val="Dark List Accent 1"/>
    <w:basedOn w:val="Standardowy"/>
    <w:uiPriority w:val="70"/>
    <w:rsid w:val="00925502"/>
    <w:rPr>
      <w:color w:val="FFFFFF" w:themeColor="background1"/>
    </w:rPr>
    <w:tblPr>
      <w:tblStyleRowBandSize w:val="1"/>
      <w:tblStyleColBandSize w:val="1"/>
    </w:tblPr>
    <w:tcPr>
      <w:shd w:val="clear" w:color="auto" w:fill="7D8B8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C0C0C" w:themeFill="text1"/>
      </w:tcPr>
    </w:tblStylePr>
    <w:tblStylePr w:type="lastRow">
      <w:tblPr/>
      <w:tcPr>
        <w:tcBorders>
          <w:top w:val="single" w:sz="18" w:space="0" w:color="FFFFFF" w:themeColor="background1"/>
          <w:left w:val="nil"/>
          <w:bottom w:val="nil"/>
          <w:right w:val="nil"/>
          <w:insideH w:val="nil"/>
          <w:insideV w:val="nil"/>
        </w:tcBorders>
        <w:shd w:val="clear" w:color="auto" w:fill="3E454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D686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D6867" w:themeFill="accent1" w:themeFillShade="BF"/>
      </w:tcPr>
    </w:tblStylePr>
    <w:tblStylePr w:type="band1Vert">
      <w:tblPr/>
      <w:tcPr>
        <w:tcBorders>
          <w:top w:val="nil"/>
          <w:left w:val="nil"/>
          <w:bottom w:val="nil"/>
          <w:right w:val="nil"/>
          <w:insideH w:val="nil"/>
          <w:insideV w:val="nil"/>
        </w:tcBorders>
        <w:shd w:val="clear" w:color="auto" w:fill="5D6867" w:themeFill="accent1" w:themeFillShade="BF"/>
      </w:tcPr>
    </w:tblStylePr>
    <w:tblStylePr w:type="band1Horz">
      <w:tblPr/>
      <w:tcPr>
        <w:tcBorders>
          <w:top w:val="nil"/>
          <w:left w:val="nil"/>
          <w:bottom w:val="nil"/>
          <w:right w:val="nil"/>
          <w:insideH w:val="nil"/>
          <w:insideV w:val="nil"/>
        </w:tcBorders>
        <w:shd w:val="clear" w:color="auto" w:fill="5D6867" w:themeFill="accent1" w:themeFillShade="BF"/>
      </w:tcPr>
    </w:tblStylePr>
  </w:style>
  <w:style w:type="character" w:customStyle="1" w:styleId="bulletpoints2Zchn">
    <w:name w:val="bulletpoints 2 Zchn"/>
    <w:basedOn w:val="AkapitzlistZnak"/>
    <w:link w:val="bulletpoints2"/>
    <w:rsid w:val="00925502"/>
    <w:rPr>
      <w:rFonts w:ascii="Calibri" w:eastAsia="Calibri" w:hAnsi="Calibri"/>
      <w:sz w:val="22"/>
      <w:szCs w:val="22"/>
      <w:lang w:val="pl-PL"/>
    </w:rPr>
  </w:style>
  <w:style w:type="table" w:styleId="redniasiatka3akcent6">
    <w:name w:val="Medium Grid 3 Accent 6"/>
    <w:basedOn w:val="Standardowy"/>
    <w:uiPriority w:val="69"/>
    <w:rsid w:val="00925502"/>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6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93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93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93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3AD8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3AD8C" w:themeFill="accent6" w:themeFillTint="7F"/>
      </w:tcPr>
    </w:tblStylePr>
  </w:style>
  <w:style w:type="table" w:customStyle="1" w:styleId="CE-Table3">
    <w:name w:val="CE-Table 3"/>
    <w:basedOn w:val="Standardowy"/>
    <w:uiPriority w:val="99"/>
    <w:rsid w:val="003C5F24"/>
    <w:pPr>
      <w:spacing w:line="276" w:lineRule="auto"/>
    </w:pPr>
    <w:rPr>
      <w:rFonts w:ascii="Trebuchet MS" w:hAnsi="Trebuchet MS"/>
    </w:rPr>
    <w:tblPr>
      <w:tblBorders>
        <w:top w:val="single" w:sz="4" w:space="0" w:color="auto"/>
        <w:bottom w:val="single" w:sz="4" w:space="0" w:color="auto"/>
        <w:insideH w:val="single" w:sz="4" w:space="0" w:color="auto"/>
      </w:tblBorders>
    </w:tblPr>
    <w:tcPr>
      <w:shd w:val="clear" w:color="auto" w:fill="E5E9ED" w:themeFill="background2" w:themeFillTint="33"/>
      <w:tcMar>
        <w:top w:w="57" w:type="dxa"/>
        <w:bottom w:w="57" w:type="dxa"/>
      </w:tcMar>
      <w:vAlign w:val="center"/>
    </w:tcPr>
    <w:tblStylePr w:type="firstRow">
      <w:pPr>
        <w:jc w:val="left"/>
      </w:pPr>
    </w:tblStylePr>
    <w:tblStylePr w:type="firstCol">
      <w:tblPr/>
      <w:tcPr>
        <w:shd w:val="clear" w:color="auto" w:fill="FFFFFF" w:themeFill="background1"/>
      </w:tcPr>
    </w:tblStylePr>
  </w:style>
  <w:style w:type="paragraph" w:customStyle="1" w:styleId="msoaccenttext8">
    <w:name w:val="msoaccenttext8"/>
    <w:link w:val="msoaccenttext8Zchn"/>
    <w:rsid w:val="00CD200F"/>
    <w:rPr>
      <w:rFonts w:ascii="Arial Rounded MT Bold" w:hAnsi="Arial Rounded MT Bold"/>
      <w:color w:val="000000"/>
      <w:kern w:val="28"/>
      <w:lang w:eastAsia="de-DE"/>
      <w14:ligatures w14:val="standard"/>
      <w14:cntxtAlts/>
    </w:rPr>
  </w:style>
  <w:style w:type="paragraph" w:customStyle="1" w:styleId="CE-Headline1">
    <w:name w:val="CE-Headline 1"/>
    <w:basedOn w:val="Nagwek2"/>
    <w:link w:val="CE-Headline1Zchn"/>
    <w:qFormat/>
    <w:rsid w:val="005A23E6"/>
    <w:pPr>
      <w:numPr>
        <w:numId w:val="26"/>
      </w:numPr>
      <w:spacing w:before="0"/>
      <w:ind w:right="340"/>
    </w:pPr>
    <w:rPr>
      <w:rFonts w:ascii="Trebuchet MS" w:hAnsi="Trebuchet MS"/>
      <w:noProof/>
      <w:color w:val="7E93A5" w:themeColor="background2"/>
      <w:spacing w:val="-10"/>
      <w:sz w:val="32"/>
      <w:szCs w:val="32"/>
      <w:lang w:eastAsia="de-AT"/>
    </w:rPr>
  </w:style>
  <w:style w:type="paragraph" w:customStyle="1" w:styleId="Headline2">
    <w:name w:val="Headline 2"/>
    <w:basedOn w:val="Nagwek2"/>
    <w:link w:val="Headline2Char"/>
    <w:rsid w:val="00E9195B"/>
    <w:pPr>
      <w:numPr>
        <w:numId w:val="0"/>
      </w:numPr>
      <w:ind w:left="1418"/>
    </w:pPr>
    <w:rPr>
      <w:b w:val="0"/>
      <w:sz w:val="28"/>
      <w:szCs w:val="28"/>
    </w:rPr>
  </w:style>
  <w:style w:type="paragraph" w:customStyle="1" w:styleId="Chapter">
    <w:name w:val="Chapter"/>
    <w:basedOn w:val="msoaccenttext8"/>
    <w:link w:val="ChapterZchn"/>
    <w:rsid w:val="00E9195B"/>
    <w:pPr>
      <w:widowControl w:val="0"/>
    </w:pPr>
    <w:rPr>
      <w14:ligatures w14:val="none"/>
    </w:rPr>
  </w:style>
  <w:style w:type="paragraph" w:customStyle="1" w:styleId="Attention">
    <w:name w:val="Attention"/>
    <w:basedOn w:val="Headline2"/>
    <w:link w:val="AttentionChar"/>
    <w:rsid w:val="001172B4"/>
    <w:pPr>
      <w:ind w:left="1843"/>
      <w:jc w:val="left"/>
    </w:pPr>
    <w:rPr>
      <w:rFonts w:ascii="Trebuchet MS" w:hAnsi="Trebuchet MS"/>
      <w:i/>
      <w:sz w:val="18"/>
      <w:szCs w:val="18"/>
    </w:rPr>
  </w:style>
  <w:style w:type="paragraph" w:customStyle="1" w:styleId="Headline1part">
    <w:name w:val="Headline 1 part"/>
    <w:basedOn w:val="Nagwek2"/>
    <w:link w:val="Headline1partChar"/>
    <w:rsid w:val="000A739F"/>
    <w:pPr>
      <w:numPr>
        <w:numId w:val="14"/>
      </w:numPr>
      <w:ind w:left="1418" w:firstLine="0"/>
    </w:pPr>
    <w:rPr>
      <w:b w:val="0"/>
      <w:sz w:val="32"/>
      <w:szCs w:val="32"/>
    </w:rPr>
  </w:style>
  <w:style w:type="character" w:customStyle="1" w:styleId="Headline2Char">
    <w:name w:val="Headline 2 Char"/>
    <w:basedOn w:val="Nagwek2Znak"/>
    <w:link w:val="Headline2"/>
    <w:rsid w:val="000A739F"/>
    <w:rPr>
      <w:rFonts w:ascii="Arial Rounded MT Bold" w:eastAsia="Calibri" w:hAnsi="Arial Rounded MT Bold"/>
      <w:b w:val="0"/>
      <w:bCs/>
      <w:iCs/>
      <w:color w:val="7D8B8A" w:themeColor="accent1"/>
      <w:sz w:val="28"/>
      <w:szCs w:val="28"/>
    </w:rPr>
  </w:style>
  <w:style w:type="character" w:customStyle="1" w:styleId="AttentionChar">
    <w:name w:val="Attention Char"/>
    <w:basedOn w:val="Headline2Char"/>
    <w:link w:val="Attention"/>
    <w:rsid w:val="001172B4"/>
    <w:rPr>
      <w:rFonts w:ascii="Trebuchet MS" w:eastAsia="Calibri" w:hAnsi="Trebuchet MS"/>
      <w:b w:val="0"/>
      <w:bCs/>
      <w:i/>
      <w:iCs/>
      <w:color w:val="7D8B8A" w:themeColor="accent1"/>
      <w:sz w:val="18"/>
      <w:szCs w:val="18"/>
      <w:lang w:val="pl-PL"/>
    </w:rPr>
  </w:style>
  <w:style w:type="paragraph" w:customStyle="1" w:styleId="HeadlineA1">
    <w:name w:val="Headline A1."/>
    <w:basedOn w:val="Nagwek2"/>
    <w:link w:val="HeadlineA1Char"/>
    <w:rsid w:val="000A739F"/>
    <w:rPr>
      <w:b w:val="0"/>
    </w:rPr>
  </w:style>
  <w:style w:type="character" w:customStyle="1" w:styleId="Headline1partChar">
    <w:name w:val="Headline 1 part Char"/>
    <w:basedOn w:val="Nagwek2Znak"/>
    <w:link w:val="Headline1part"/>
    <w:rsid w:val="000A739F"/>
    <w:rPr>
      <w:rFonts w:ascii="Arial Rounded MT Bold" w:hAnsi="Arial Rounded MT Bold"/>
      <w:b w:val="0"/>
      <w:bCs/>
      <w:iCs/>
      <w:color w:val="7D8B8A" w:themeColor="accent1"/>
      <w:sz w:val="32"/>
      <w:szCs w:val="32"/>
    </w:rPr>
  </w:style>
  <w:style w:type="paragraph" w:customStyle="1" w:styleId="HeadlineA11">
    <w:name w:val="Headline A.1.1"/>
    <w:basedOn w:val="Nagwek3"/>
    <w:rsid w:val="000A739F"/>
    <w:rPr>
      <w:b w:val="0"/>
    </w:rPr>
  </w:style>
  <w:style w:type="character" w:customStyle="1" w:styleId="HeadlineA1Char">
    <w:name w:val="Headline A1. Char"/>
    <w:basedOn w:val="Nagwek2Znak"/>
    <w:link w:val="HeadlineA1"/>
    <w:rsid w:val="000A739F"/>
    <w:rPr>
      <w:rFonts w:ascii="Arial Rounded MT Bold" w:hAnsi="Arial Rounded MT Bold"/>
      <w:b w:val="0"/>
      <w:bCs/>
      <w:iCs/>
      <w:color w:val="7D8B8A" w:themeColor="accent1"/>
      <w:sz w:val="24"/>
    </w:rPr>
  </w:style>
  <w:style w:type="paragraph" w:customStyle="1" w:styleId="A11">
    <w:name w:val="A.1.1"/>
    <w:basedOn w:val="HeadlineA11"/>
    <w:rsid w:val="001C50A4"/>
    <w:pPr>
      <w:ind w:left="2204" w:hanging="360"/>
    </w:pPr>
    <w:rPr>
      <w:sz w:val="24"/>
      <w:szCs w:val="24"/>
    </w:rPr>
  </w:style>
  <w:style w:type="paragraph" w:customStyle="1" w:styleId="Style1">
    <w:name w:val="Style1"/>
    <w:basedOn w:val="HeadlineA11"/>
    <w:rsid w:val="0047724A"/>
    <w:rPr>
      <w:sz w:val="24"/>
      <w:szCs w:val="24"/>
    </w:rPr>
  </w:style>
  <w:style w:type="paragraph" w:customStyle="1" w:styleId="A1">
    <w:name w:val="A1"/>
    <w:basedOn w:val="HeadlineA1"/>
    <w:rsid w:val="00BD1CF8"/>
    <w:pPr>
      <w:ind w:right="340"/>
    </w:pPr>
    <w:rPr>
      <w:sz w:val="28"/>
      <w:szCs w:val="32"/>
    </w:rPr>
  </w:style>
  <w:style w:type="paragraph" w:customStyle="1" w:styleId="A21">
    <w:name w:val="A.2.1"/>
    <w:basedOn w:val="HeadlineA11"/>
    <w:rsid w:val="005D2350"/>
    <w:pPr>
      <w:numPr>
        <w:numId w:val="0"/>
      </w:numPr>
      <w:ind w:left="1418"/>
    </w:pPr>
  </w:style>
  <w:style w:type="paragraph" w:customStyle="1" w:styleId="Subhead">
    <w:name w:val="Subhead"/>
    <w:basedOn w:val="A21"/>
    <w:rsid w:val="00562568"/>
  </w:style>
  <w:style w:type="paragraph" w:customStyle="1" w:styleId="Subbullets">
    <w:name w:val="Subbullets"/>
    <w:basedOn w:val="bulletpoints2"/>
    <w:rsid w:val="00B24760"/>
    <w:pPr>
      <w:numPr>
        <w:numId w:val="15"/>
      </w:numPr>
      <w:ind w:firstLine="687"/>
    </w:pPr>
  </w:style>
  <w:style w:type="paragraph" w:customStyle="1" w:styleId="A21Italic">
    <w:name w:val="A.2.1 Italic"/>
    <w:basedOn w:val="A21"/>
    <w:rsid w:val="004F2A96"/>
  </w:style>
  <w:style w:type="paragraph" w:customStyle="1" w:styleId="HeaderA2">
    <w:name w:val="Header A.2"/>
    <w:basedOn w:val="A21Italic"/>
    <w:rsid w:val="004579FF"/>
    <w:rPr>
      <w:sz w:val="24"/>
      <w:szCs w:val="24"/>
    </w:rPr>
  </w:style>
  <w:style w:type="paragraph" w:customStyle="1" w:styleId="diamonds">
    <w:name w:val="diamonds"/>
    <w:basedOn w:val="bulletpoints"/>
    <w:rsid w:val="004D67BA"/>
    <w:pPr>
      <w:ind w:hanging="219"/>
    </w:pPr>
    <w:rPr>
      <w:u w:val="single"/>
    </w:rPr>
  </w:style>
  <w:style w:type="paragraph" w:customStyle="1" w:styleId="3H">
    <w:name w:val="3H"/>
    <w:basedOn w:val="CE-Headline1"/>
    <w:rsid w:val="0004039C"/>
  </w:style>
  <w:style w:type="paragraph" w:customStyle="1" w:styleId="A111">
    <w:name w:val="A.1.1.1"/>
    <w:basedOn w:val="3H"/>
    <w:rsid w:val="000B51C5"/>
    <w:rPr>
      <w:i/>
      <w:sz w:val="20"/>
      <w:szCs w:val="24"/>
    </w:rPr>
  </w:style>
  <w:style w:type="table" w:customStyle="1" w:styleId="CE-Table1">
    <w:name w:val="CE-Table 1"/>
    <w:basedOn w:val="Standardowy"/>
    <w:uiPriority w:val="48"/>
    <w:rsid w:val="00426766"/>
    <w:rPr>
      <w:rFonts w:ascii="Trebuchet MS" w:hAnsi="Trebuchet MS"/>
    </w:rPr>
    <w:tblPr>
      <w:tblStyleRowBandSize w:val="1"/>
      <w:tblStyleColBandSize w:val="1"/>
      <w:tblBorders>
        <w:insideV w:val="single" w:sz="24" w:space="0" w:color="FFFFFF" w:themeColor="background1"/>
      </w:tblBorders>
    </w:tblPr>
    <w:tcPr>
      <w:shd w:val="clear" w:color="auto" w:fill="auto"/>
      <w:tcMar>
        <w:top w:w="108" w:type="dxa"/>
        <w:bottom w:w="108" w:type="dxa"/>
      </w:tcMar>
      <w:vAlign w:val="center"/>
    </w:tcPr>
    <w:tblStylePr w:type="firstRow">
      <w:pPr>
        <w:wordWrap/>
      </w:pPr>
      <w:rPr>
        <w:rFonts w:ascii="Trebuchet MS" w:hAnsi="Trebuchet MS"/>
        <w:b/>
        <w:bCs/>
        <w:caps/>
        <w:smallCaps w:val="0"/>
        <w:strike w:val="0"/>
        <w:dstrike w:val="0"/>
        <w:vanish w:val="0"/>
        <w:color w:val="7E93A5" w:themeColor="background2"/>
        <w:sz w:val="20"/>
        <w:vertAlign w:val="baseline"/>
      </w:rPr>
      <w:tblPr/>
      <w:tcPr>
        <w:tcBorders>
          <w:top w:val="nil"/>
          <w:left w:val="nil"/>
          <w:bottom w:val="nil"/>
          <w:right w:val="nil"/>
          <w:insideH w:val="nil"/>
          <w:insideV w:val="single" w:sz="24" w:space="0" w:color="FFFFFF" w:themeColor="background1"/>
          <w:tl2br w:val="nil"/>
          <w:tr2bl w:val="nil"/>
        </w:tcBorders>
        <w:shd w:val="clear" w:color="auto" w:fill="auto"/>
      </w:tcPr>
    </w:tblStylePr>
    <w:tblStylePr w:type="lastRow">
      <w:rPr>
        <w:b/>
        <w:bCs/>
      </w:rPr>
      <w:tblPr/>
      <w:tcPr>
        <w:tcBorders>
          <w:top w:val="single" w:sz="2" w:space="0" w:color="auto"/>
          <w:bottom w:val="nil"/>
        </w:tcBorders>
        <w:shd w:val="clear" w:color="auto" w:fill="FFFFFF" w:themeFill="background1"/>
      </w:tcPr>
    </w:tblStylePr>
    <w:tblStylePr w:type="firstCol">
      <w:rPr>
        <w:rFonts w:ascii="Trebuchet MS" w:hAnsi="Trebuchet MS"/>
        <w:b w:val="0"/>
        <w:bCs/>
        <w:color w:val="0C0C0C" w:themeColor="text1"/>
        <w:sz w:val="20"/>
      </w:rPr>
    </w:tblStylePr>
    <w:tblStylePr w:type="lastCol">
      <w:rPr>
        <w:b/>
        <w:bCs/>
      </w:rPr>
    </w:tblStylePr>
    <w:tblStylePr w:type="band1Vert">
      <w:tblPr/>
      <w:tcPr>
        <w:tcBorders>
          <w:left w:val="single" w:sz="4" w:space="0" w:color="7D8B8A" w:themeColor="accent1"/>
          <w:right w:val="single" w:sz="4" w:space="0" w:color="7D8B8A" w:themeColor="accent1"/>
        </w:tcBorders>
      </w:tcPr>
    </w:tblStylePr>
    <w:tblStylePr w:type="band1Horz">
      <w:tblPr/>
      <w:tcPr>
        <w:tcBorders>
          <w:top w:val="single" w:sz="4" w:space="0" w:color="7D8B8A" w:themeColor="accent1"/>
          <w:bottom w:val="single" w:sz="4" w:space="0" w:color="7D8B8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D8B8A" w:themeColor="accent1"/>
          <w:left w:val="nil"/>
        </w:tcBorders>
      </w:tcPr>
    </w:tblStylePr>
    <w:tblStylePr w:type="swCell">
      <w:tblPr/>
      <w:tcPr>
        <w:tcBorders>
          <w:top w:val="double" w:sz="4" w:space="0" w:color="7D8B8A" w:themeColor="accent1"/>
          <w:right w:val="nil"/>
        </w:tcBorders>
      </w:tcPr>
    </w:tblStylePr>
  </w:style>
  <w:style w:type="paragraph" w:customStyle="1" w:styleId="A41">
    <w:name w:val="A41"/>
    <w:basedOn w:val="A11"/>
    <w:rsid w:val="003F2FF3"/>
    <w:pPr>
      <w:numPr>
        <w:numId w:val="0"/>
      </w:numPr>
      <w:ind w:left="709" w:firstLine="709"/>
    </w:pPr>
    <w:rPr>
      <w:sz w:val="22"/>
    </w:rPr>
  </w:style>
  <w:style w:type="character" w:customStyle="1" w:styleId="BezodstpwZnak">
    <w:name w:val="Bez odstępów Znak"/>
    <w:basedOn w:val="Domylnaczcionkaakapitu"/>
    <w:link w:val="Bezodstpw"/>
    <w:uiPriority w:val="1"/>
    <w:rsid w:val="006D3BB8"/>
    <w:rPr>
      <w:rFonts w:ascii="Calibri" w:eastAsia="Calibri" w:hAnsi="Calibri"/>
      <w:sz w:val="22"/>
      <w:szCs w:val="22"/>
      <w:lang w:val="pl-PL"/>
    </w:rPr>
  </w:style>
  <w:style w:type="paragraph" w:styleId="Tekstpodstawowy2">
    <w:name w:val="Body Text 2"/>
    <w:basedOn w:val="Normalny"/>
    <w:link w:val="Tekstpodstawowy2Znak"/>
    <w:uiPriority w:val="99"/>
    <w:unhideWhenUsed/>
    <w:rsid w:val="00995597"/>
    <w:pPr>
      <w:ind w:left="0" w:right="28"/>
      <w:jc w:val="left"/>
    </w:pPr>
    <w:rPr>
      <w:color w:val="FFFFFF" w:themeColor="background1"/>
    </w:rPr>
  </w:style>
  <w:style w:type="character" w:customStyle="1" w:styleId="Tekstpodstawowy2Znak">
    <w:name w:val="Tekst podstawowy 2 Znak"/>
    <w:basedOn w:val="Domylnaczcionkaakapitu"/>
    <w:link w:val="Tekstpodstawowy2"/>
    <w:uiPriority w:val="99"/>
    <w:rsid w:val="00995597"/>
    <w:rPr>
      <w:rFonts w:ascii="Trebuchet MS" w:eastAsia="Calibri" w:hAnsi="Trebuchet MS"/>
      <w:color w:val="FFFFFF" w:themeColor="background1"/>
      <w:sz w:val="18"/>
      <w:szCs w:val="22"/>
    </w:rPr>
  </w:style>
  <w:style w:type="numbering" w:customStyle="1" w:styleId="Budgetlines">
    <w:name w:val="Budget lines"/>
    <w:uiPriority w:val="99"/>
    <w:rsid w:val="00464009"/>
    <w:pPr>
      <w:numPr>
        <w:numId w:val="16"/>
      </w:numPr>
    </w:pPr>
  </w:style>
  <w:style w:type="paragraph" w:customStyle="1" w:styleId="EinfAbs">
    <w:name w:val="[Einf. Abs.]"/>
    <w:basedOn w:val="Normalny"/>
    <w:uiPriority w:val="99"/>
    <w:rsid w:val="000B21A6"/>
    <w:pPr>
      <w:widowControl w:val="0"/>
      <w:autoSpaceDE w:val="0"/>
      <w:autoSpaceDN w:val="0"/>
      <w:adjustRightInd w:val="0"/>
      <w:spacing w:before="0" w:line="288" w:lineRule="auto"/>
      <w:ind w:left="0" w:right="0"/>
      <w:jc w:val="left"/>
      <w:textAlignment w:val="center"/>
    </w:pPr>
    <w:rPr>
      <w:rFonts w:ascii="MinionPro-Regular" w:eastAsiaTheme="minorEastAsia" w:hAnsi="MinionPro-Regular" w:cs="MinionPro-Regular"/>
      <w:color w:val="000000"/>
      <w:sz w:val="24"/>
      <w:szCs w:val="24"/>
      <w:lang w:eastAsia="de-DE"/>
    </w:rPr>
  </w:style>
  <w:style w:type="paragraph" w:customStyle="1" w:styleId="CE-Headline2">
    <w:name w:val="CE-Headline 2"/>
    <w:basedOn w:val="CE-Headline1"/>
    <w:link w:val="CE-Headline2Zchn"/>
    <w:qFormat/>
    <w:rsid w:val="00173920"/>
    <w:pPr>
      <w:numPr>
        <w:ilvl w:val="1"/>
      </w:numPr>
      <w:tabs>
        <w:tab w:val="left" w:pos="454"/>
      </w:tabs>
      <w:spacing w:line="240" w:lineRule="auto"/>
    </w:pPr>
    <w:rPr>
      <w:color w:val="7D8B8A" w:themeColor="accent1"/>
      <w:sz w:val="30"/>
      <w:szCs w:val="30"/>
    </w:rPr>
  </w:style>
  <w:style w:type="paragraph" w:customStyle="1" w:styleId="CE-Headline4">
    <w:name w:val="CE-Headline 4"/>
    <w:basedOn w:val="Headline2"/>
    <w:link w:val="CE-Headline4Zchn"/>
    <w:qFormat/>
    <w:rsid w:val="00173920"/>
    <w:pPr>
      <w:spacing w:after="120"/>
      <w:ind w:left="567" w:right="340" w:hanging="567"/>
    </w:pPr>
    <w:rPr>
      <w:rFonts w:ascii="Trebuchet MS" w:hAnsi="Trebuchet MS"/>
      <w:b/>
      <w:color w:val="7E93A5" w:themeColor="background2"/>
      <w:sz w:val="24"/>
      <w:szCs w:val="24"/>
    </w:rPr>
  </w:style>
  <w:style w:type="character" w:customStyle="1" w:styleId="CE-Headline1Zchn">
    <w:name w:val="CE-Headline 1 Zchn"/>
    <w:basedOn w:val="Nagwek2Znak"/>
    <w:link w:val="CE-Headline1"/>
    <w:rsid w:val="005A23E6"/>
    <w:rPr>
      <w:rFonts w:ascii="Trebuchet MS" w:hAnsi="Trebuchet MS"/>
      <w:b/>
      <w:bCs/>
      <w:iCs/>
      <w:noProof/>
      <w:color w:val="7E93A5" w:themeColor="background2"/>
      <w:spacing w:val="-10"/>
      <w:sz w:val="32"/>
      <w:szCs w:val="32"/>
      <w:lang w:eastAsia="de-AT"/>
    </w:rPr>
  </w:style>
  <w:style w:type="character" w:customStyle="1" w:styleId="CE-Headline2Zchn">
    <w:name w:val="CE-Headline 2 Zchn"/>
    <w:basedOn w:val="CE-Headline1Zchn"/>
    <w:link w:val="CE-Headline2"/>
    <w:rsid w:val="00173920"/>
    <w:rPr>
      <w:rFonts w:ascii="Trebuchet MS" w:hAnsi="Trebuchet MS"/>
      <w:b/>
      <w:bCs/>
      <w:iCs/>
      <w:noProof/>
      <w:color w:val="7D8B8A" w:themeColor="accent1"/>
      <w:spacing w:val="-10"/>
      <w:sz w:val="30"/>
      <w:szCs w:val="30"/>
      <w:lang w:eastAsia="de-AT"/>
    </w:rPr>
  </w:style>
  <w:style w:type="paragraph" w:customStyle="1" w:styleId="CE-StandardText">
    <w:name w:val="CE-StandardText"/>
    <w:basedOn w:val="Normalny"/>
    <w:link w:val="CE-StandardTextZchn"/>
    <w:qFormat/>
    <w:rsid w:val="00E214D1"/>
    <w:pPr>
      <w:ind w:left="0" w:right="0"/>
    </w:pPr>
    <w:rPr>
      <w:rFonts w:ascii="Trebuchet MS" w:hAnsi="Trebuchet MS"/>
      <w:szCs w:val="18"/>
    </w:rPr>
  </w:style>
  <w:style w:type="character" w:customStyle="1" w:styleId="CE-Headline4Zchn">
    <w:name w:val="CE-Headline 4 Zchn"/>
    <w:basedOn w:val="Headline2Char"/>
    <w:link w:val="CE-Headline4"/>
    <w:rsid w:val="00173920"/>
    <w:rPr>
      <w:rFonts w:ascii="Trebuchet MS" w:eastAsia="Calibri" w:hAnsi="Trebuchet MS"/>
      <w:b/>
      <w:bCs/>
      <w:iCs/>
      <w:color w:val="7E93A5" w:themeColor="background2"/>
      <w:sz w:val="24"/>
      <w:szCs w:val="24"/>
    </w:rPr>
  </w:style>
  <w:style w:type="paragraph" w:customStyle="1" w:styleId="CE-List-Bullet">
    <w:name w:val="CE-List-Bullet"/>
    <w:basedOn w:val="CE-StandardText"/>
    <w:link w:val="CE-List-BulletZchn"/>
    <w:rsid w:val="00C33CB3"/>
    <w:pPr>
      <w:numPr>
        <w:numId w:val="17"/>
      </w:numPr>
      <w:ind w:left="360"/>
    </w:pPr>
  </w:style>
  <w:style w:type="character" w:customStyle="1" w:styleId="CE-StandardTextZchn">
    <w:name w:val="CE-StandardText Zchn"/>
    <w:basedOn w:val="Domylnaczcionkaakapitu"/>
    <w:link w:val="CE-StandardText"/>
    <w:rsid w:val="00E214D1"/>
    <w:rPr>
      <w:rFonts w:ascii="Trebuchet MS" w:hAnsi="Trebuchet MS"/>
      <w:szCs w:val="18"/>
      <w:lang w:val="pl-PL"/>
    </w:rPr>
  </w:style>
  <w:style w:type="paragraph" w:customStyle="1" w:styleId="CE-List-Numbers">
    <w:name w:val="CE-List-Numbers"/>
    <w:basedOn w:val="CE-StandardText"/>
    <w:link w:val="CE-List-NumbersZchn"/>
    <w:rsid w:val="0068495D"/>
    <w:pPr>
      <w:numPr>
        <w:numId w:val="18"/>
      </w:numPr>
      <w:tabs>
        <w:tab w:val="left" w:pos="284"/>
      </w:tabs>
      <w:ind w:left="567"/>
    </w:pPr>
  </w:style>
  <w:style w:type="character" w:customStyle="1" w:styleId="CE-List-BulletZchn">
    <w:name w:val="CE-List-Bullet Zchn"/>
    <w:basedOn w:val="CE-StandardTextZchn"/>
    <w:link w:val="CE-List-Bullet"/>
    <w:rsid w:val="00C33CB3"/>
    <w:rPr>
      <w:rFonts w:ascii="Trebuchet MS" w:hAnsi="Trebuchet MS"/>
      <w:szCs w:val="18"/>
      <w:lang w:val="pl-PL"/>
    </w:rPr>
  </w:style>
  <w:style w:type="paragraph" w:customStyle="1" w:styleId="PubTitle">
    <w:name w:val="Pub.Title"/>
    <w:basedOn w:val="Normalny"/>
    <w:link w:val="PubTitleZchn"/>
    <w:rsid w:val="001A4AC1"/>
    <w:pPr>
      <w:spacing w:before="0" w:line="760" w:lineRule="exact"/>
      <w:ind w:left="0" w:right="0"/>
      <w:jc w:val="left"/>
    </w:pPr>
    <w:rPr>
      <w:rFonts w:ascii="Trebuchet MS" w:hAnsi="Trebuchet MS"/>
      <w:b/>
      <w:spacing w:val="-20"/>
      <w:kern w:val="72"/>
      <w:sz w:val="72"/>
      <w:szCs w:val="72"/>
      <w14:ligatures w14:val="standard"/>
    </w:rPr>
  </w:style>
  <w:style w:type="character" w:customStyle="1" w:styleId="CE-List-NumbersZchn">
    <w:name w:val="CE-List-Numbers Zchn"/>
    <w:basedOn w:val="CE-StandardTextZchn"/>
    <w:link w:val="CE-List-Numbers"/>
    <w:rsid w:val="0068495D"/>
    <w:rPr>
      <w:rFonts w:ascii="Trebuchet MS" w:hAnsi="Trebuchet MS"/>
      <w:szCs w:val="18"/>
      <w:lang w:val="pl-PL"/>
    </w:rPr>
  </w:style>
  <w:style w:type="paragraph" w:customStyle="1" w:styleId="CE-TableHead">
    <w:name w:val="CE-Table Head"/>
    <w:basedOn w:val="CE-Headline2"/>
    <w:link w:val="CE-TableHeadZchn"/>
    <w:qFormat/>
    <w:rsid w:val="00C33CB3"/>
    <w:pPr>
      <w:outlineLvl w:val="9"/>
    </w:pPr>
    <w:rPr>
      <w:rFonts w:eastAsiaTheme="minorHAnsi" w:cstheme="minorBidi"/>
      <w:b w:val="0"/>
      <w:bCs w:val="0"/>
      <w:color w:val="FFFFFF" w:themeColor="background1"/>
      <w:spacing w:val="0"/>
      <w:szCs w:val="24"/>
    </w:rPr>
  </w:style>
  <w:style w:type="character" w:customStyle="1" w:styleId="PubTitleZchn">
    <w:name w:val="Pub.Title Zchn"/>
    <w:basedOn w:val="Domylnaczcionkaakapitu"/>
    <w:link w:val="PubTitle"/>
    <w:rsid w:val="001A4AC1"/>
    <w:rPr>
      <w:rFonts w:ascii="Trebuchet MS" w:hAnsi="Trebuchet MS"/>
      <w:b/>
      <w:spacing w:val="-20"/>
      <w:kern w:val="72"/>
      <w:sz w:val="72"/>
      <w:szCs w:val="72"/>
      <w:lang w:val="pl-PL"/>
      <w14:ligatures w14:val="standard"/>
    </w:rPr>
  </w:style>
  <w:style w:type="paragraph" w:customStyle="1" w:styleId="TableText">
    <w:name w:val="Table Text"/>
    <w:basedOn w:val="Normalny"/>
    <w:link w:val="TableTextZchn"/>
    <w:autoRedefine/>
    <w:qFormat/>
    <w:rsid w:val="00C33CB3"/>
    <w:pPr>
      <w:ind w:left="0"/>
      <w:jc w:val="left"/>
    </w:pPr>
    <w:rPr>
      <w:rFonts w:ascii="Trebuchet MS" w:hAnsi="Trebuchet MS"/>
      <w:color w:val="393626" w:themeColor="accent6" w:themeShade="BF"/>
      <w:spacing w:val="-2"/>
      <w:sz w:val="16"/>
      <w:szCs w:val="15"/>
    </w:rPr>
  </w:style>
  <w:style w:type="character" w:customStyle="1" w:styleId="CE-TableHeadZchn">
    <w:name w:val="CE-Table Head Zchn"/>
    <w:basedOn w:val="CE-Headline2Zchn"/>
    <w:link w:val="CE-TableHead"/>
    <w:rsid w:val="00C33CB3"/>
    <w:rPr>
      <w:rFonts w:ascii="Trebuchet MS" w:eastAsiaTheme="minorHAnsi" w:hAnsi="Trebuchet MS" w:cstheme="minorBidi"/>
      <w:b w:val="0"/>
      <w:bCs w:val="0"/>
      <w:iCs/>
      <w:noProof/>
      <w:color w:val="FFFFFF" w:themeColor="background1"/>
      <w:spacing w:val="-10"/>
      <w:sz w:val="28"/>
      <w:szCs w:val="24"/>
      <w:lang w:val="pl-PL" w:eastAsia="de-AT"/>
    </w:rPr>
  </w:style>
  <w:style w:type="paragraph" w:customStyle="1" w:styleId="CE-TableList">
    <w:name w:val="CE-Table List"/>
    <w:basedOn w:val="CE-List-Bullet"/>
    <w:link w:val="CE-TableListZchn"/>
    <w:autoRedefine/>
    <w:rsid w:val="00C33CB3"/>
    <w:pPr>
      <w:ind w:left="357" w:right="340" w:hanging="357"/>
      <w:jc w:val="left"/>
    </w:pPr>
    <w:rPr>
      <w:color w:val="393626" w:themeColor="accent6" w:themeShade="BF"/>
      <w:spacing w:val="-2"/>
      <w:sz w:val="16"/>
      <w:szCs w:val="16"/>
    </w:rPr>
  </w:style>
  <w:style w:type="character" w:customStyle="1" w:styleId="TableTextZchn">
    <w:name w:val="Table Text Zchn"/>
    <w:basedOn w:val="Domylnaczcionkaakapitu"/>
    <w:link w:val="TableText"/>
    <w:rsid w:val="00C33CB3"/>
    <w:rPr>
      <w:rFonts w:ascii="Trebuchet MS" w:hAnsi="Trebuchet MS"/>
      <w:color w:val="393626" w:themeColor="accent6" w:themeShade="BF"/>
      <w:spacing w:val="-2"/>
      <w:sz w:val="16"/>
      <w:szCs w:val="15"/>
      <w:lang w:val="pl-PL"/>
    </w:rPr>
  </w:style>
  <w:style w:type="paragraph" w:customStyle="1" w:styleId="CE-Sidebar">
    <w:name w:val="CE-Sidebar"/>
    <w:basedOn w:val="Chapter"/>
    <w:link w:val="CE-SidebarZchn"/>
    <w:autoRedefine/>
    <w:rsid w:val="004563B8"/>
    <w:pPr>
      <w:spacing w:line="240" w:lineRule="atLeast"/>
    </w:pPr>
    <w:rPr>
      <w:rFonts w:ascii="Trebuchet MS" w:hAnsi="Trebuchet MS"/>
      <w:color w:val="4D4933" w:themeColor="accent6"/>
      <w:sz w:val="16"/>
      <w:szCs w:val="18"/>
    </w:rPr>
  </w:style>
  <w:style w:type="character" w:customStyle="1" w:styleId="CE-TableListZchn">
    <w:name w:val="CE-Table List Zchn"/>
    <w:basedOn w:val="CE-List-BulletZchn"/>
    <w:link w:val="CE-TableList"/>
    <w:rsid w:val="00C33CB3"/>
    <w:rPr>
      <w:rFonts w:ascii="Trebuchet MS" w:hAnsi="Trebuchet MS"/>
      <w:color w:val="393626" w:themeColor="accent6" w:themeShade="BF"/>
      <w:spacing w:val="-2"/>
      <w:sz w:val="16"/>
      <w:szCs w:val="16"/>
      <w:lang w:val="pl-PL"/>
    </w:rPr>
  </w:style>
  <w:style w:type="paragraph" w:customStyle="1" w:styleId="CE-SidebarHead">
    <w:name w:val="CE-Sidebar Head"/>
    <w:basedOn w:val="CE-Sidebar"/>
    <w:link w:val="CE-SidebarHeadZchn"/>
    <w:rsid w:val="00B76958"/>
    <w:rPr>
      <w:b/>
      <w:caps/>
      <w:color w:val="7494A4"/>
      <w:sz w:val="22"/>
      <w:szCs w:val="22"/>
      <w:u w:color="E6E6E6" w:themeColor="text1" w:themeTint="1A"/>
    </w:rPr>
  </w:style>
  <w:style w:type="character" w:customStyle="1" w:styleId="msoaccenttext8Zchn">
    <w:name w:val="msoaccenttext8 Zchn"/>
    <w:basedOn w:val="Domylnaczcionkaakapitu"/>
    <w:link w:val="msoaccenttext8"/>
    <w:rsid w:val="004563B8"/>
    <w:rPr>
      <w:rFonts w:ascii="Arial Rounded MT Bold" w:hAnsi="Arial Rounded MT Bold"/>
      <w:color w:val="000000"/>
      <w:kern w:val="28"/>
      <w:lang w:val="pl-PL" w:eastAsia="de-DE"/>
      <w14:ligatures w14:val="standard"/>
      <w14:cntxtAlts/>
    </w:rPr>
  </w:style>
  <w:style w:type="character" w:customStyle="1" w:styleId="ChapterZchn">
    <w:name w:val="Chapter Zchn"/>
    <w:basedOn w:val="msoaccenttext8Zchn"/>
    <w:link w:val="Chapter"/>
    <w:rsid w:val="004563B8"/>
    <w:rPr>
      <w:rFonts w:ascii="Arial Rounded MT Bold" w:hAnsi="Arial Rounded MT Bold"/>
      <w:color w:val="000000"/>
      <w:kern w:val="28"/>
      <w:lang w:val="pl-PL" w:eastAsia="de-DE"/>
      <w14:ligatures w14:val="standard"/>
      <w14:cntxtAlts/>
    </w:rPr>
  </w:style>
  <w:style w:type="character" w:customStyle="1" w:styleId="CE-SidebarZchn">
    <w:name w:val="CE-Sidebar Zchn"/>
    <w:basedOn w:val="ChapterZchn"/>
    <w:link w:val="CE-Sidebar"/>
    <w:rsid w:val="004563B8"/>
    <w:rPr>
      <w:rFonts w:ascii="Trebuchet MS" w:hAnsi="Trebuchet MS"/>
      <w:color w:val="4D4933" w:themeColor="accent6"/>
      <w:kern w:val="28"/>
      <w:sz w:val="16"/>
      <w:szCs w:val="18"/>
      <w:lang w:val="pl-PL" w:eastAsia="de-DE"/>
      <w14:ligatures w14:val="standard"/>
      <w14:cntxtAlts/>
    </w:rPr>
  </w:style>
  <w:style w:type="character" w:styleId="Tekstzastpczy">
    <w:name w:val="Placeholder Text"/>
    <w:basedOn w:val="Domylnaczcionkaakapitu"/>
    <w:uiPriority w:val="99"/>
    <w:semiHidden/>
    <w:rsid w:val="00EA293B"/>
    <w:rPr>
      <w:color w:val="808080"/>
    </w:rPr>
  </w:style>
  <w:style w:type="character" w:customStyle="1" w:styleId="CE-SidebarHeadZchn">
    <w:name w:val="CE-Sidebar Head Zchn"/>
    <w:basedOn w:val="CE-SidebarZchn"/>
    <w:link w:val="CE-SidebarHead"/>
    <w:rsid w:val="00B76958"/>
    <w:rPr>
      <w:rFonts w:ascii="Trebuchet MS" w:hAnsi="Trebuchet MS"/>
      <w:b/>
      <w:caps/>
      <w:color w:val="7494A4"/>
      <w:kern w:val="28"/>
      <w:sz w:val="22"/>
      <w:szCs w:val="22"/>
      <w:u w:color="E6E6E6" w:themeColor="text1" w:themeTint="1A"/>
      <w:lang w:val="pl-PL" w:eastAsia="de-DE"/>
      <w14:ligatures w14:val="standard"/>
      <w14:cntxtAlts/>
    </w:rPr>
  </w:style>
  <w:style w:type="paragraph" w:customStyle="1" w:styleId="CE-HeadlineTitle">
    <w:name w:val="CE-Headline Title"/>
    <w:basedOn w:val="PubTitle"/>
    <w:link w:val="CE-HeadlineTitleZchn"/>
    <w:qFormat/>
    <w:rsid w:val="00084A52"/>
    <w:pPr>
      <w:spacing w:after="240" w:line="700" w:lineRule="exact"/>
    </w:pPr>
    <w:rPr>
      <w:b w:val="0"/>
      <w:caps/>
      <w:color w:val="7E93A5" w:themeColor="background2"/>
      <w:sz w:val="60"/>
      <w:szCs w:val="76"/>
    </w:rPr>
  </w:style>
  <w:style w:type="character" w:customStyle="1" w:styleId="CE-HeadlineTitleZchn">
    <w:name w:val="CE-Headline Title Zchn"/>
    <w:basedOn w:val="PubTitleZchn"/>
    <w:link w:val="CE-HeadlineTitle"/>
    <w:rsid w:val="00084A52"/>
    <w:rPr>
      <w:rFonts w:ascii="Trebuchet MS" w:hAnsi="Trebuchet MS"/>
      <w:b w:val="0"/>
      <w:caps/>
      <w:color w:val="7E93A5" w:themeColor="background2"/>
      <w:spacing w:val="-20"/>
      <w:kern w:val="72"/>
      <w:sz w:val="60"/>
      <w:szCs w:val="76"/>
      <w:lang w:val="pl-PL"/>
      <w14:ligatures w14:val="standard"/>
    </w:rPr>
  </w:style>
  <w:style w:type="character" w:customStyle="1" w:styleId="Fliesstext">
    <w:name w:val="Fliesstext"/>
    <w:uiPriority w:val="99"/>
    <w:rsid w:val="004016B9"/>
    <w:rPr>
      <w:rFonts w:ascii="Trebuchet MS" w:hAnsi="Trebuchet MS" w:cs="Trebuchet MS"/>
      <w:color w:val="000000"/>
      <w:spacing w:val="0"/>
      <w:sz w:val="18"/>
      <w:szCs w:val="18"/>
    </w:rPr>
  </w:style>
  <w:style w:type="numbering" w:customStyle="1" w:styleId="CentralEuropeStandard">
    <w:name w:val="CentralEurope Standard"/>
    <w:uiPriority w:val="99"/>
    <w:rsid w:val="00C25513"/>
    <w:pPr>
      <w:numPr>
        <w:numId w:val="19"/>
      </w:numPr>
    </w:pPr>
  </w:style>
  <w:style w:type="paragraph" w:customStyle="1" w:styleId="CE-BulletPoint1">
    <w:name w:val="CE-BulletPoint1"/>
    <w:basedOn w:val="CE-StandardText"/>
    <w:link w:val="CE-BulletPoint1Zchn"/>
    <w:qFormat/>
    <w:rsid w:val="00706D40"/>
    <w:pPr>
      <w:numPr>
        <w:numId w:val="28"/>
      </w:numPr>
      <w:jc w:val="left"/>
    </w:pPr>
  </w:style>
  <w:style w:type="character" w:customStyle="1" w:styleId="CE-BulletPoint1Zchn">
    <w:name w:val="CE-BulletPoint1 Zchn"/>
    <w:basedOn w:val="CE-StandardTextZchn"/>
    <w:link w:val="CE-BulletPoint1"/>
    <w:rsid w:val="00706D40"/>
    <w:rPr>
      <w:rFonts w:ascii="Trebuchet MS" w:hAnsi="Trebuchet MS"/>
      <w:szCs w:val="18"/>
      <w:lang w:val="pl-PL"/>
    </w:rPr>
  </w:style>
  <w:style w:type="paragraph" w:customStyle="1" w:styleId="CE-BulletPoint2">
    <w:name w:val="CE-BulletPoint2"/>
    <w:basedOn w:val="CE-BulletPoint1"/>
    <w:link w:val="CE-BulletPoint2Zchn"/>
    <w:qFormat/>
    <w:rsid w:val="00706D40"/>
    <w:pPr>
      <w:numPr>
        <w:numId w:val="29"/>
      </w:numPr>
      <w:ind w:left="568" w:hanging="284"/>
    </w:pPr>
  </w:style>
  <w:style w:type="paragraph" w:customStyle="1" w:styleId="CE-BulletPoint3">
    <w:name w:val="CE-BulletPoint3"/>
    <w:basedOn w:val="CE-BulletPoint1"/>
    <w:link w:val="CE-BulletPoint3Zchn"/>
    <w:qFormat/>
    <w:rsid w:val="00EF648C"/>
    <w:pPr>
      <w:numPr>
        <w:numId w:val="21"/>
      </w:numPr>
      <w:ind w:left="851" w:hanging="284"/>
    </w:pPr>
  </w:style>
  <w:style w:type="character" w:customStyle="1" w:styleId="CE-BulletPoint2Zchn">
    <w:name w:val="CE-BulletPoint2 Zchn"/>
    <w:basedOn w:val="CE-BulletPoint1Zchn"/>
    <w:link w:val="CE-BulletPoint2"/>
    <w:rsid w:val="00706D40"/>
    <w:rPr>
      <w:rFonts w:ascii="Trebuchet MS" w:hAnsi="Trebuchet MS"/>
      <w:szCs w:val="18"/>
      <w:lang w:val="pl-PL"/>
    </w:rPr>
  </w:style>
  <w:style w:type="paragraph" w:customStyle="1" w:styleId="CE-TableStandardWhite">
    <w:name w:val="CE-Table Standard White"/>
    <w:basedOn w:val="CE-StandardText"/>
    <w:link w:val="CE-TableStandardWhiteZchn"/>
    <w:qFormat/>
    <w:rsid w:val="00C33CB3"/>
    <w:pPr>
      <w:spacing w:line="240" w:lineRule="auto"/>
      <w:jc w:val="left"/>
    </w:pPr>
    <w:rPr>
      <w:b/>
      <w:bCs/>
      <w:color w:val="FFFFFF" w:themeColor="background1"/>
    </w:rPr>
  </w:style>
  <w:style w:type="character" w:customStyle="1" w:styleId="CE-BulletPoint3Zchn">
    <w:name w:val="CE-BulletPoint3 Zchn"/>
    <w:basedOn w:val="CE-BulletPoint1Zchn"/>
    <w:link w:val="CE-BulletPoint3"/>
    <w:rsid w:val="00EF648C"/>
    <w:rPr>
      <w:rFonts w:ascii="Trebuchet MS" w:hAnsi="Trebuchet MS"/>
      <w:szCs w:val="18"/>
      <w:lang w:val="pl-PL"/>
    </w:rPr>
  </w:style>
  <w:style w:type="paragraph" w:customStyle="1" w:styleId="CE-TableStandard">
    <w:name w:val="CE-Table Standard"/>
    <w:basedOn w:val="CE-TableStandardWhite"/>
    <w:link w:val="CE-TableStandardZchn"/>
    <w:qFormat/>
    <w:rsid w:val="00C658A0"/>
    <w:pPr>
      <w:spacing w:line="288" w:lineRule="auto"/>
    </w:pPr>
    <w:rPr>
      <w:b w:val="0"/>
      <w:color w:val="4D4D4E" w:themeColor="text2"/>
      <w:sz w:val="17"/>
    </w:rPr>
  </w:style>
  <w:style w:type="character" w:customStyle="1" w:styleId="CE-TableStandardWhiteZchn">
    <w:name w:val="CE-Table Standard White Zchn"/>
    <w:basedOn w:val="CE-StandardTextZchn"/>
    <w:link w:val="CE-TableStandardWhite"/>
    <w:rsid w:val="00C33CB3"/>
    <w:rPr>
      <w:rFonts w:ascii="Trebuchet MS" w:hAnsi="Trebuchet MS"/>
      <w:b/>
      <w:bCs/>
      <w:color w:val="FFFFFF" w:themeColor="background1"/>
      <w:szCs w:val="18"/>
      <w:lang w:val="pl-PL"/>
    </w:rPr>
  </w:style>
  <w:style w:type="paragraph" w:styleId="Cytat">
    <w:name w:val="Quote"/>
    <w:aliases w:val="CE-Quotation"/>
    <w:basedOn w:val="Normalny"/>
    <w:next w:val="CE-StandardText"/>
    <w:link w:val="CytatZnak"/>
    <w:uiPriority w:val="29"/>
    <w:qFormat/>
    <w:rsid w:val="00C33CB3"/>
    <w:pPr>
      <w:spacing w:before="0" w:after="200"/>
      <w:ind w:left="0" w:right="0"/>
      <w:jc w:val="left"/>
    </w:pPr>
    <w:rPr>
      <w:rFonts w:ascii="Trebuchet MS" w:eastAsiaTheme="minorEastAsia" w:hAnsi="Trebuchet MS" w:cstheme="minorBidi"/>
      <w:b/>
      <w:iCs/>
      <w:color w:val="90ABB1" w:themeColor="accent2"/>
      <w:sz w:val="18"/>
      <w:szCs w:val="22"/>
      <w:lang w:eastAsia="de-AT"/>
    </w:rPr>
  </w:style>
  <w:style w:type="character" w:customStyle="1" w:styleId="CE-TableStandardZchn">
    <w:name w:val="CE-Table Standard Zchn"/>
    <w:basedOn w:val="CE-TableStandardWhiteZchn"/>
    <w:link w:val="CE-TableStandard"/>
    <w:rsid w:val="00C658A0"/>
    <w:rPr>
      <w:rFonts w:ascii="Trebuchet MS" w:hAnsi="Trebuchet MS"/>
      <w:b w:val="0"/>
      <w:bCs/>
      <w:color w:val="4D4D4E" w:themeColor="text2"/>
      <w:sz w:val="17"/>
      <w:szCs w:val="18"/>
      <w:lang w:val="pl-PL"/>
    </w:rPr>
  </w:style>
  <w:style w:type="character" w:customStyle="1" w:styleId="CytatZnak">
    <w:name w:val="Cytat Znak"/>
    <w:aliases w:val="CE-Quotation Znak"/>
    <w:basedOn w:val="Domylnaczcionkaakapitu"/>
    <w:link w:val="Cytat"/>
    <w:uiPriority w:val="29"/>
    <w:rsid w:val="00C33CB3"/>
    <w:rPr>
      <w:rFonts w:ascii="Trebuchet MS" w:eastAsiaTheme="minorEastAsia" w:hAnsi="Trebuchet MS" w:cstheme="minorBidi"/>
      <w:b/>
      <w:iCs/>
      <w:color w:val="90ABB1" w:themeColor="accent2"/>
      <w:sz w:val="18"/>
      <w:szCs w:val="22"/>
      <w:lang w:val="pl-PL" w:eastAsia="de-AT"/>
    </w:rPr>
  </w:style>
  <w:style w:type="paragraph" w:customStyle="1" w:styleId="CE-TableStandardBold">
    <w:name w:val="CE-Table Standard Bold"/>
    <w:basedOn w:val="CE-TableStandard"/>
    <w:link w:val="CE-TableStandardBoldZchn"/>
    <w:rsid w:val="00ED042D"/>
    <w:rPr>
      <w:b/>
      <w:bCs w:val="0"/>
    </w:rPr>
  </w:style>
  <w:style w:type="character" w:customStyle="1" w:styleId="CE-TableStandardBoldZchn">
    <w:name w:val="CE-Table Standard Bold Zchn"/>
    <w:basedOn w:val="CE-TableStandardZchn"/>
    <w:link w:val="CE-TableStandardBold"/>
    <w:rsid w:val="00ED042D"/>
    <w:rPr>
      <w:rFonts w:ascii="Trebuchet MS" w:hAnsi="Trebuchet MS"/>
      <w:b/>
      <w:bCs w:val="0"/>
      <w:color w:val="4D4D4E" w:themeColor="text2"/>
      <w:sz w:val="18"/>
      <w:szCs w:val="18"/>
      <w:lang w:val="pl-PL"/>
    </w:rPr>
  </w:style>
  <w:style w:type="numbering" w:customStyle="1" w:styleId="CE-List">
    <w:name w:val="CE-List"/>
    <w:uiPriority w:val="99"/>
    <w:rsid w:val="00E3317E"/>
    <w:pPr>
      <w:numPr>
        <w:numId w:val="20"/>
      </w:numPr>
    </w:pPr>
  </w:style>
  <w:style w:type="numbering" w:customStyle="1" w:styleId="Formatvorlage1">
    <w:name w:val="Formatvorlage1"/>
    <w:uiPriority w:val="99"/>
    <w:rsid w:val="001161C3"/>
    <w:pPr>
      <w:numPr>
        <w:numId w:val="22"/>
      </w:numPr>
    </w:pPr>
  </w:style>
  <w:style w:type="table" w:customStyle="1" w:styleId="CE-TableExample">
    <w:name w:val="CE-Table Example"/>
    <w:basedOn w:val="Standardowy"/>
    <w:uiPriority w:val="99"/>
    <w:rsid w:val="005158CB"/>
    <w:rPr>
      <w:rFonts w:ascii="Trebuchet MS" w:hAnsi="Trebuchet MS"/>
      <w:sz w:val="18"/>
    </w:rPr>
    <w:tblPr>
      <w:tblBorders>
        <w:top w:val="single" w:sz="24" w:space="0" w:color="7E93A5" w:themeColor="background2"/>
        <w:bottom w:val="single" w:sz="24" w:space="0" w:color="7E93A5" w:themeColor="background2"/>
      </w:tblBorders>
      <w:tblCellMar>
        <w:top w:w="108" w:type="dxa"/>
        <w:bottom w:w="108" w:type="dxa"/>
      </w:tblCellMar>
    </w:tblPr>
    <w:tcPr>
      <w:vAlign w:val="center"/>
    </w:tcPr>
    <w:tblStylePr w:type="firstCol">
      <w:rPr>
        <w:rFonts w:ascii="Trebuchet MS" w:hAnsi="Trebuchet MS"/>
        <w:b w:val="0"/>
        <w:i w:val="0"/>
        <w:caps/>
        <w:smallCaps w:val="0"/>
        <w:strike w:val="0"/>
        <w:dstrike w:val="0"/>
        <w:vanish w:val="0"/>
        <w:color w:val="7E93A5" w:themeColor="background2"/>
        <w:sz w:val="60"/>
        <w:vertAlign w:val="baseline"/>
      </w:rPr>
    </w:tblStylePr>
  </w:style>
  <w:style w:type="table" w:styleId="Jasnalista">
    <w:name w:val="Light List"/>
    <w:basedOn w:val="Standardowy"/>
    <w:uiPriority w:val="61"/>
    <w:rsid w:val="00DC0E0B"/>
    <w:rPr>
      <w:rFonts w:asciiTheme="minorHAnsi" w:eastAsiaTheme="minorEastAsia" w:hAnsiTheme="minorHAnsi" w:cstheme="minorBidi"/>
      <w:sz w:val="22"/>
      <w:szCs w:val="22"/>
      <w:lang w:eastAsia="de-AT"/>
    </w:rPr>
    <w:tblPr>
      <w:tblStyleRowBandSize w:val="1"/>
      <w:tblStyleColBandSize w:val="1"/>
      <w:tblBorders>
        <w:top w:val="single" w:sz="8" w:space="0" w:color="0C0C0C" w:themeColor="text1"/>
        <w:left w:val="single" w:sz="8" w:space="0" w:color="0C0C0C" w:themeColor="text1"/>
        <w:bottom w:val="single" w:sz="8" w:space="0" w:color="0C0C0C" w:themeColor="text1"/>
        <w:right w:val="single" w:sz="8" w:space="0" w:color="0C0C0C" w:themeColor="text1"/>
      </w:tblBorders>
    </w:tblPr>
    <w:tblStylePr w:type="firstRow">
      <w:pPr>
        <w:spacing w:before="0" w:after="0" w:line="240" w:lineRule="auto"/>
      </w:pPr>
      <w:rPr>
        <w:b/>
        <w:bCs/>
        <w:color w:val="FFFFFF" w:themeColor="background1"/>
      </w:rPr>
      <w:tblPr/>
      <w:tcPr>
        <w:shd w:val="clear" w:color="auto" w:fill="0C0C0C" w:themeFill="text1"/>
      </w:tcPr>
    </w:tblStylePr>
    <w:tblStylePr w:type="lastRow">
      <w:pPr>
        <w:spacing w:before="0" w:after="0" w:line="240" w:lineRule="auto"/>
      </w:pPr>
      <w:rPr>
        <w:b/>
        <w:bCs/>
      </w:rPr>
      <w:tblPr/>
      <w:tcPr>
        <w:tcBorders>
          <w:top w:val="double" w:sz="6" w:space="0" w:color="0C0C0C" w:themeColor="text1"/>
          <w:left w:val="single" w:sz="8" w:space="0" w:color="0C0C0C" w:themeColor="text1"/>
          <w:bottom w:val="single" w:sz="8" w:space="0" w:color="0C0C0C" w:themeColor="text1"/>
          <w:right w:val="single" w:sz="8" w:space="0" w:color="0C0C0C" w:themeColor="text1"/>
        </w:tcBorders>
      </w:tcPr>
    </w:tblStylePr>
    <w:tblStylePr w:type="firstCol">
      <w:rPr>
        <w:b/>
        <w:bCs/>
      </w:rPr>
    </w:tblStylePr>
    <w:tblStylePr w:type="lastCol">
      <w:rPr>
        <w:b/>
        <w:bCs/>
      </w:rPr>
    </w:tblStylePr>
    <w:tblStylePr w:type="band1Vert">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tblStylePr w:type="band1Horz">
      <w:tblPr/>
      <w:tcPr>
        <w:tcBorders>
          <w:top w:val="single" w:sz="8" w:space="0" w:color="0C0C0C" w:themeColor="text1"/>
          <w:left w:val="single" w:sz="8" w:space="0" w:color="0C0C0C" w:themeColor="text1"/>
          <w:bottom w:val="single" w:sz="8" w:space="0" w:color="0C0C0C" w:themeColor="text1"/>
          <w:right w:val="single" w:sz="8" w:space="0" w:color="0C0C0C" w:themeColor="text1"/>
        </w:tcBorders>
      </w:tcPr>
    </w:tblStylePr>
  </w:style>
  <w:style w:type="paragraph" w:customStyle="1" w:styleId="CE-TableStandardBold0">
    <w:name w:val="CE-Table StandardBold"/>
    <w:basedOn w:val="CE-TableStandard"/>
    <w:link w:val="CE-TableStandardBoldZchn0"/>
    <w:qFormat/>
    <w:rsid w:val="00C33CB3"/>
    <w:rPr>
      <w:b/>
      <w:bCs w:val="0"/>
    </w:rPr>
  </w:style>
  <w:style w:type="character" w:customStyle="1" w:styleId="CE-TableStandardBoldZchn0">
    <w:name w:val="CE-Table StandardBold Zchn"/>
    <w:basedOn w:val="CE-TableStandardZchn"/>
    <w:link w:val="CE-TableStandardBold0"/>
    <w:rsid w:val="00C33CB3"/>
    <w:rPr>
      <w:rFonts w:ascii="Trebuchet MS" w:hAnsi="Trebuchet MS"/>
      <w:b/>
      <w:bCs w:val="0"/>
      <w:color w:val="4D4D4E" w:themeColor="text2"/>
      <w:sz w:val="17"/>
      <w:szCs w:val="18"/>
      <w:lang w:val="pl-PL"/>
    </w:rPr>
  </w:style>
  <w:style w:type="table" w:customStyle="1" w:styleId="GridTable5Dark-Accent11">
    <w:name w:val="Grid Table 5 Dark - Accent 11"/>
    <w:basedOn w:val="Standardowy"/>
    <w:uiPriority w:val="50"/>
    <w:rsid w:val="0042676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7E7" w:themeFill="accent1" w:themeFillTint="33"/>
    </w:tcPr>
    <w:tblStylePr w:type="firstRow">
      <w:rPr>
        <w:b/>
        <w:bCs/>
        <w:color w:val="FFFFFF" w:themeColor="background1"/>
        <w:u w:color="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D8B8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D8B8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D8B8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D8B8A" w:themeFill="accent1"/>
      </w:tcPr>
    </w:tblStylePr>
    <w:tblStylePr w:type="band1Vert">
      <w:tblPr/>
      <w:tcPr>
        <w:shd w:val="clear" w:color="auto" w:fill="CAD0D0" w:themeFill="accent1" w:themeFillTint="66"/>
      </w:tcPr>
    </w:tblStylePr>
    <w:tblStylePr w:type="band1Horz">
      <w:tblPr/>
      <w:tcPr>
        <w:shd w:val="clear" w:color="auto" w:fill="CAD0D0" w:themeFill="accent1" w:themeFillTint="66"/>
      </w:tcPr>
    </w:tblStylePr>
  </w:style>
  <w:style w:type="numbering" w:customStyle="1" w:styleId="Formatvorlage2">
    <w:name w:val="Formatvorlage2"/>
    <w:uiPriority w:val="99"/>
    <w:rsid w:val="004B06F7"/>
    <w:pPr>
      <w:numPr>
        <w:numId w:val="23"/>
      </w:numPr>
    </w:pPr>
  </w:style>
  <w:style w:type="paragraph" w:customStyle="1" w:styleId="CE-Headline3">
    <w:name w:val="CE-Headline 3"/>
    <w:basedOn w:val="CE-Headline4"/>
    <w:link w:val="CE-Headline3Zchn"/>
    <w:qFormat/>
    <w:rsid w:val="00173920"/>
    <w:pPr>
      <w:ind w:left="0" w:firstLine="0"/>
    </w:pPr>
    <w:rPr>
      <w:sz w:val="28"/>
      <w:szCs w:val="28"/>
      <w:lang w:eastAsia="de-AT"/>
    </w:rPr>
  </w:style>
  <w:style w:type="paragraph" w:customStyle="1" w:styleId="CE-Quote">
    <w:name w:val="CE-Quote"/>
    <w:basedOn w:val="CE-StandardText"/>
    <w:link w:val="CE-QuoteZchn"/>
    <w:qFormat/>
    <w:rsid w:val="001F57EC"/>
    <w:pPr>
      <w:jc w:val="left"/>
    </w:pPr>
    <w:rPr>
      <w:i/>
      <w:lang w:eastAsia="de-AT"/>
    </w:rPr>
  </w:style>
  <w:style w:type="character" w:customStyle="1" w:styleId="CE-Headline3Zchn">
    <w:name w:val="CE-Headline 3 Zchn"/>
    <w:basedOn w:val="CE-Headline4Zchn"/>
    <w:link w:val="CE-Headline3"/>
    <w:rsid w:val="00173920"/>
    <w:rPr>
      <w:rFonts w:ascii="Trebuchet MS" w:eastAsia="Calibri" w:hAnsi="Trebuchet MS"/>
      <w:b/>
      <w:bCs/>
      <w:iCs/>
      <w:color w:val="7E93A5" w:themeColor="background2"/>
      <w:sz w:val="28"/>
      <w:szCs w:val="28"/>
      <w:lang w:eastAsia="de-AT"/>
    </w:rPr>
  </w:style>
  <w:style w:type="character" w:customStyle="1" w:styleId="CE-QuoteZchn">
    <w:name w:val="CE-Quote Zchn"/>
    <w:basedOn w:val="CE-StandardTextZchn"/>
    <w:link w:val="CE-Quote"/>
    <w:rsid w:val="001F57EC"/>
    <w:rPr>
      <w:rFonts w:ascii="Trebuchet MS" w:hAnsi="Trebuchet MS"/>
      <w:i/>
      <w:color w:val="4D4D4E" w:themeColor="text2"/>
      <w:szCs w:val="18"/>
      <w:lang w:val="pl-PL" w:eastAsia="de-AT"/>
    </w:rPr>
  </w:style>
  <w:style w:type="numbering" w:customStyle="1" w:styleId="CE-ListStandardText">
    <w:name w:val="CE-List StandardText"/>
    <w:uiPriority w:val="99"/>
    <w:rsid w:val="005C49B1"/>
    <w:pPr>
      <w:numPr>
        <w:numId w:val="24"/>
      </w:numPr>
    </w:pPr>
  </w:style>
  <w:style w:type="numbering" w:customStyle="1" w:styleId="CE-HeadNumbering">
    <w:name w:val="CE-HeadNumbering"/>
    <w:uiPriority w:val="99"/>
    <w:rsid w:val="003F0BC1"/>
    <w:pPr>
      <w:numPr>
        <w:numId w:val="25"/>
      </w:numPr>
    </w:pPr>
  </w:style>
  <w:style w:type="paragraph" w:customStyle="1" w:styleId="CE-HeadlineChapter">
    <w:name w:val="CE-Headline Chapter"/>
    <w:basedOn w:val="CE-Headline1"/>
    <w:next w:val="CE-Headline1"/>
    <w:link w:val="CE-HeadlineChapterZchn"/>
    <w:qFormat/>
    <w:rsid w:val="00411156"/>
    <w:pPr>
      <w:numPr>
        <w:numId w:val="27"/>
      </w:numPr>
      <w:pBdr>
        <w:top w:val="single" w:sz="4" w:space="6" w:color="7E93A5" w:themeColor="background2"/>
        <w:left w:val="single" w:sz="4" w:space="4" w:color="7E93A5" w:themeColor="background2"/>
        <w:bottom w:val="single" w:sz="4" w:space="4" w:color="7E93A5" w:themeColor="background2"/>
        <w:right w:val="single" w:sz="4" w:space="4" w:color="7E93A5" w:themeColor="background2"/>
      </w:pBdr>
      <w:shd w:val="clear" w:color="auto" w:fill="7E93A5" w:themeFill="background2"/>
      <w:spacing w:before="240"/>
      <w:ind w:left="357" w:hanging="357"/>
      <w:jc w:val="left"/>
    </w:pPr>
    <w:rPr>
      <w:color w:val="FFFFFF" w:themeColor="background1"/>
    </w:rPr>
  </w:style>
  <w:style w:type="character" w:customStyle="1" w:styleId="CE-HeadlineChapterZchn">
    <w:name w:val="CE-Headline Chapter Zchn"/>
    <w:basedOn w:val="CE-Headline1Zchn"/>
    <w:link w:val="CE-HeadlineChapter"/>
    <w:rsid w:val="00411156"/>
    <w:rPr>
      <w:rFonts w:ascii="Trebuchet MS" w:hAnsi="Trebuchet MS"/>
      <w:b/>
      <w:bCs/>
      <w:iCs/>
      <w:noProof/>
      <w:color w:val="FFFFFF" w:themeColor="background1"/>
      <w:spacing w:val="-10"/>
      <w:sz w:val="36"/>
      <w:szCs w:val="32"/>
      <w:shd w:val="clear" w:color="auto" w:fill="7E93A5" w:themeFill="background2"/>
      <w:lang w:val="pl-PL" w:eastAsia="de-AT"/>
    </w:rPr>
  </w:style>
  <w:style w:type="paragraph" w:customStyle="1" w:styleId="CE-HeadlineSubtitle">
    <w:name w:val="CE-Headline Subtitle"/>
    <w:basedOn w:val="CE-Headline1"/>
    <w:link w:val="CE-HeadlineSubtitleZchn"/>
    <w:qFormat/>
    <w:rsid w:val="009805EB"/>
    <w:pPr>
      <w:numPr>
        <w:numId w:val="0"/>
      </w:numPr>
      <w:spacing w:before="80" w:after="80" w:line="240" w:lineRule="auto"/>
      <w:ind w:right="0"/>
      <w:jc w:val="left"/>
    </w:pPr>
  </w:style>
  <w:style w:type="character" w:customStyle="1" w:styleId="CE-HeadlineSubtitleZchn">
    <w:name w:val="CE-Headline Subtitle Zchn"/>
    <w:basedOn w:val="CE-Headline1Zchn"/>
    <w:link w:val="CE-HeadlineSubtitle"/>
    <w:rsid w:val="009805EB"/>
    <w:rPr>
      <w:rFonts w:ascii="Trebuchet MS" w:hAnsi="Trebuchet MS"/>
      <w:b/>
      <w:bCs/>
      <w:iCs/>
      <w:noProof/>
      <w:color w:val="7E93A5" w:themeColor="background2"/>
      <w:spacing w:val="-10"/>
      <w:sz w:val="32"/>
      <w:szCs w:val="32"/>
      <w:lang w:val="pl-PL" w:eastAsia="de-AT"/>
    </w:rPr>
  </w:style>
  <w:style w:type="table" w:customStyle="1" w:styleId="TableNormal1">
    <w:name w:val="Table Normal1"/>
    <w:rsid w:val="008727F2"/>
    <w:pPr>
      <w:spacing w:after="200" w:line="276" w:lineRule="auto"/>
    </w:pPr>
    <w:rPr>
      <w:rFonts w:ascii="Calibri" w:eastAsia="Calibri" w:hAnsi="Calibri" w:cs="Calibri"/>
      <w:sz w:val="22"/>
      <w:szCs w:val="22"/>
      <w:lang w:eastAsia="de-DE"/>
    </w:rPr>
    <w:tblPr>
      <w:tblCellMar>
        <w:top w:w="0" w:type="dxa"/>
        <w:left w:w="0" w:type="dxa"/>
        <w:bottom w:w="0" w:type="dxa"/>
        <w:right w:w="0" w:type="dxa"/>
      </w:tblCellMar>
    </w:tblPr>
  </w:style>
  <w:style w:type="paragraph" w:customStyle="1" w:styleId="ManualConsidrant">
    <w:name w:val="Manual Considérant"/>
    <w:basedOn w:val="Normalny"/>
    <w:rsid w:val="008727F2"/>
    <w:pPr>
      <w:spacing w:after="120" w:line="240" w:lineRule="auto"/>
      <w:ind w:left="709" w:right="0" w:hanging="709"/>
    </w:pPr>
    <w:rPr>
      <w:rFonts w:eastAsia="Calibri"/>
      <w:sz w:val="24"/>
      <w:lang w:eastAsia="en-GB"/>
    </w:rPr>
  </w:style>
  <w:style w:type="table" w:customStyle="1" w:styleId="TableGrid1">
    <w:name w:val="Table Grid1"/>
    <w:basedOn w:val="Standardowy"/>
    <w:next w:val="Tabela-Siatka"/>
    <w:uiPriority w:val="59"/>
    <w:rsid w:val="008727F2"/>
    <w:rPr>
      <w:rFonts w:ascii="Calibri" w:eastAsia="Calibri" w:hAnsi="Calibri" w:cs="Calibri"/>
      <w:sz w:val="22"/>
      <w:szCs w:val="22"/>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Par1">
    <w:name w:val="NumPar 1"/>
    <w:basedOn w:val="Normalny"/>
    <w:next w:val="Normalny"/>
    <w:rsid w:val="008727F2"/>
    <w:pPr>
      <w:spacing w:after="120" w:line="240" w:lineRule="auto"/>
      <w:ind w:left="850" w:right="0"/>
    </w:pPr>
    <w:rPr>
      <w:rFonts w:eastAsia="Calibri"/>
      <w:sz w:val="24"/>
      <w:szCs w:val="22"/>
      <w:lang w:eastAsia="en-GB"/>
    </w:rPr>
  </w:style>
  <w:style w:type="paragraph" w:customStyle="1" w:styleId="Point0number">
    <w:name w:val="Point 0 (number)"/>
    <w:basedOn w:val="Normalny"/>
    <w:rsid w:val="008727F2"/>
    <w:pPr>
      <w:numPr>
        <w:numId w:val="31"/>
      </w:numPr>
      <w:spacing w:after="120" w:line="240" w:lineRule="auto"/>
      <w:ind w:right="0"/>
    </w:pPr>
    <w:rPr>
      <w:rFonts w:eastAsia="Calibri"/>
      <w:sz w:val="24"/>
      <w:szCs w:val="22"/>
      <w:lang w:eastAsia="de-DE"/>
    </w:rPr>
  </w:style>
  <w:style w:type="paragraph" w:customStyle="1" w:styleId="Point1number">
    <w:name w:val="Point 1 (number)"/>
    <w:basedOn w:val="Normalny"/>
    <w:rsid w:val="008727F2"/>
    <w:pPr>
      <w:numPr>
        <w:ilvl w:val="2"/>
        <w:numId w:val="31"/>
      </w:numPr>
      <w:spacing w:after="120" w:line="240" w:lineRule="auto"/>
      <w:ind w:right="0"/>
    </w:pPr>
    <w:rPr>
      <w:rFonts w:eastAsia="Calibri"/>
      <w:sz w:val="24"/>
      <w:szCs w:val="22"/>
      <w:lang w:eastAsia="de-DE"/>
    </w:rPr>
  </w:style>
  <w:style w:type="paragraph" w:customStyle="1" w:styleId="Point2number">
    <w:name w:val="Point 2 (number)"/>
    <w:basedOn w:val="Normalny"/>
    <w:rsid w:val="008727F2"/>
    <w:pPr>
      <w:numPr>
        <w:ilvl w:val="4"/>
        <w:numId w:val="31"/>
      </w:numPr>
      <w:spacing w:after="120" w:line="240" w:lineRule="auto"/>
      <w:ind w:right="0"/>
    </w:pPr>
    <w:rPr>
      <w:rFonts w:eastAsia="Calibri"/>
      <w:sz w:val="24"/>
      <w:szCs w:val="22"/>
      <w:lang w:eastAsia="de-DE"/>
    </w:rPr>
  </w:style>
  <w:style w:type="paragraph" w:customStyle="1" w:styleId="Point3number">
    <w:name w:val="Point 3 (number)"/>
    <w:basedOn w:val="Normalny"/>
    <w:rsid w:val="008727F2"/>
    <w:pPr>
      <w:numPr>
        <w:ilvl w:val="6"/>
        <w:numId w:val="31"/>
      </w:numPr>
      <w:spacing w:after="120" w:line="240" w:lineRule="auto"/>
      <w:ind w:right="0"/>
    </w:pPr>
    <w:rPr>
      <w:rFonts w:eastAsia="Calibri"/>
      <w:sz w:val="24"/>
      <w:szCs w:val="22"/>
      <w:lang w:eastAsia="de-DE"/>
    </w:rPr>
  </w:style>
  <w:style w:type="paragraph" w:customStyle="1" w:styleId="Point0letter">
    <w:name w:val="Point 0 (letter)"/>
    <w:basedOn w:val="Normalny"/>
    <w:rsid w:val="008727F2"/>
    <w:pPr>
      <w:numPr>
        <w:ilvl w:val="1"/>
        <w:numId w:val="31"/>
      </w:numPr>
      <w:spacing w:after="120" w:line="240" w:lineRule="auto"/>
      <w:ind w:right="0"/>
    </w:pPr>
    <w:rPr>
      <w:rFonts w:eastAsia="Calibri"/>
      <w:sz w:val="24"/>
      <w:szCs w:val="22"/>
      <w:lang w:eastAsia="de-DE"/>
    </w:rPr>
  </w:style>
  <w:style w:type="paragraph" w:customStyle="1" w:styleId="Point1letter">
    <w:name w:val="Point 1 (letter)"/>
    <w:basedOn w:val="Normalny"/>
    <w:rsid w:val="008727F2"/>
    <w:pPr>
      <w:numPr>
        <w:ilvl w:val="3"/>
        <w:numId w:val="31"/>
      </w:numPr>
      <w:spacing w:after="120" w:line="240" w:lineRule="auto"/>
      <w:ind w:right="0"/>
    </w:pPr>
    <w:rPr>
      <w:rFonts w:eastAsia="Calibri"/>
      <w:sz w:val="24"/>
      <w:szCs w:val="22"/>
      <w:lang w:eastAsia="de-DE"/>
    </w:rPr>
  </w:style>
  <w:style w:type="paragraph" w:customStyle="1" w:styleId="Point3letter">
    <w:name w:val="Point 3 (letter)"/>
    <w:basedOn w:val="Normalny"/>
    <w:rsid w:val="008727F2"/>
    <w:pPr>
      <w:numPr>
        <w:ilvl w:val="7"/>
        <w:numId w:val="31"/>
      </w:numPr>
      <w:spacing w:after="120" w:line="240" w:lineRule="auto"/>
      <w:ind w:right="0"/>
    </w:pPr>
    <w:rPr>
      <w:rFonts w:eastAsia="Calibri"/>
      <w:sz w:val="24"/>
      <w:szCs w:val="22"/>
      <w:lang w:eastAsia="de-DE"/>
    </w:rPr>
  </w:style>
  <w:style w:type="paragraph" w:customStyle="1" w:styleId="Point4letter">
    <w:name w:val="Point 4 (letter)"/>
    <w:basedOn w:val="Normalny"/>
    <w:rsid w:val="008727F2"/>
    <w:pPr>
      <w:numPr>
        <w:ilvl w:val="8"/>
        <w:numId w:val="31"/>
      </w:numPr>
      <w:spacing w:after="120" w:line="240" w:lineRule="auto"/>
      <w:ind w:right="0"/>
    </w:pPr>
    <w:rPr>
      <w:rFonts w:eastAsia="Calibri"/>
      <w:sz w:val="24"/>
      <w:szCs w:val="22"/>
      <w:lang w:eastAsia="de-DE"/>
    </w:rPr>
  </w:style>
  <w:style w:type="paragraph" w:customStyle="1" w:styleId="HeaderLandscape">
    <w:name w:val="HeaderLandscape"/>
    <w:basedOn w:val="Normalny"/>
    <w:rsid w:val="008727F2"/>
    <w:pPr>
      <w:tabs>
        <w:tab w:val="center" w:pos="7285"/>
        <w:tab w:val="right" w:pos="14003"/>
      </w:tabs>
      <w:spacing w:before="0" w:after="120" w:line="240" w:lineRule="auto"/>
      <w:ind w:left="0" w:right="0"/>
    </w:pPr>
    <w:rPr>
      <w:rFonts w:eastAsia="Calibri"/>
      <w:sz w:val="24"/>
      <w:szCs w:val="22"/>
      <w:lang w:eastAsia="de-DE"/>
    </w:rPr>
  </w:style>
  <w:style w:type="paragraph" w:customStyle="1" w:styleId="Text3">
    <w:name w:val="Text 3"/>
    <w:basedOn w:val="Normalny"/>
    <w:rsid w:val="008727F2"/>
    <w:pPr>
      <w:spacing w:after="120" w:line="240" w:lineRule="auto"/>
      <w:ind w:left="1984" w:right="0"/>
    </w:pPr>
    <w:rPr>
      <w:rFonts w:eastAsia="Calibri"/>
      <w:sz w:val="24"/>
      <w:szCs w:val="22"/>
      <w:lang w:eastAsia="en-GB"/>
    </w:rPr>
  </w:style>
  <w:style w:type="character" w:customStyle="1" w:styleId="Marker">
    <w:name w:val="Marker"/>
    <w:basedOn w:val="Domylnaczcionkaakapitu"/>
    <w:rsid w:val="008727F2"/>
    <w:rPr>
      <w:color w:val="0000FF"/>
      <w:shd w:val="clear" w:color="auto" w:fill="auto"/>
    </w:rPr>
  </w:style>
  <w:style w:type="paragraph" w:customStyle="1" w:styleId="Pagedecouverture">
    <w:name w:val="Page de couverture"/>
    <w:basedOn w:val="Normalny"/>
    <w:next w:val="Normalny"/>
    <w:rsid w:val="008727F2"/>
    <w:pPr>
      <w:spacing w:before="0" w:line="240" w:lineRule="auto"/>
      <w:ind w:left="0" w:right="0"/>
    </w:pPr>
    <w:rPr>
      <w:rFonts w:eastAsia="Calibri"/>
      <w:sz w:val="24"/>
      <w:szCs w:val="22"/>
      <w:lang w:eastAsia="de-DE"/>
    </w:rPr>
  </w:style>
  <w:style w:type="paragraph" w:customStyle="1" w:styleId="FooterCoverPage">
    <w:name w:val="Footer Cover Page"/>
    <w:basedOn w:val="Normalny"/>
    <w:link w:val="FooterCoverPageChar"/>
    <w:rsid w:val="008727F2"/>
    <w:pPr>
      <w:tabs>
        <w:tab w:val="center" w:pos="4535"/>
        <w:tab w:val="right" w:pos="9071"/>
        <w:tab w:val="right" w:pos="9921"/>
      </w:tabs>
      <w:spacing w:before="360" w:line="240" w:lineRule="auto"/>
      <w:ind w:left="-850" w:right="-850"/>
      <w:jc w:val="left"/>
    </w:pPr>
    <w:rPr>
      <w:rFonts w:eastAsia="Calibri"/>
      <w:sz w:val="24"/>
      <w:szCs w:val="22"/>
      <w:lang w:eastAsia="de-DE"/>
    </w:rPr>
  </w:style>
  <w:style w:type="character" w:customStyle="1" w:styleId="FooterCoverPageChar">
    <w:name w:val="Footer Cover Page Char"/>
    <w:basedOn w:val="Domylnaczcionkaakapitu"/>
    <w:link w:val="FooterCoverPage"/>
    <w:rsid w:val="008727F2"/>
    <w:rPr>
      <w:rFonts w:eastAsia="Calibri"/>
      <w:sz w:val="24"/>
      <w:szCs w:val="22"/>
      <w:lang w:val="pl-PL" w:eastAsia="de-DE"/>
    </w:rPr>
  </w:style>
  <w:style w:type="paragraph" w:customStyle="1" w:styleId="FooterSensitivity">
    <w:name w:val="Footer Sensitivity"/>
    <w:basedOn w:val="Normalny"/>
    <w:link w:val="FooterSensitivityChar"/>
    <w:rsid w:val="008727F2"/>
    <w:pPr>
      <w:pBdr>
        <w:top w:val="single" w:sz="4" w:space="1" w:color="auto"/>
        <w:left w:val="single" w:sz="4" w:space="4" w:color="auto"/>
        <w:bottom w:val="single" w:sz="4" w:space="1" w:color="auto"/>
        <w:right w:val="single" w:sz="4" w:space="4" w:color="auto"/>
      </w:pBdr>
      <w:spacing w:before="360" w:line="240" w:lineRule="auto"/>
      <w:ind w:left="113" w:right="113"/>
      <w:jc w:val="center"/>
    </w:pPr>
    <w:rPr>
      <w:rFonts w:eastAsia="Calibri"/>
      <w:b/>
      <w:sz w:val="32"/>
      <w:szCs w:val="22"/>
      <w:lang w:eastAsia="de-DE"/>
    </w:rPr>
  </w:style>
  <w:style w:type="character" w:customStyle="1" w:styleId="FooterSensitivityChar">
    <w:name w:val="Footer Sensitivity Char"/>
    <w:basedOn w:val="Domylnaczcionkaakapitu"/>
    <w:link w:val="FooterSensitivity"/>
    <w:rsid w:val="008727F2"/>
    <w:rPr>
      <w:rFonts w:eastAsia="Calibri"/>
      <w:b/>
      <w:sz w:val="32"/>
      <w:szCs w:val="22"/>
      <w:lang w:val="pl-PL" w:eastAsia="de-DE"/>
    </w:rPr>
  </w:style>
  <w:style w:type="paragraph" w:customStyle="1" w:styleId="HeaderCoverPage">
    <w:name w:val="Header Cover Page"/>
    <w:basedOn w:val="Normalny"/>
    <w:link w:val="HeaderCoverPageChar"/>
    <w:rsid w:val="008727F2"/>
    <w:pPr>
      <w:tabs>
        <w:tab w:val="center" w:pos="4535"/>
        <w:tab w:val="right" w:pos="9071"/>
      </w:tabs>
      <w:spacing w:before="0" w:after="120" w:line="240" w:lineRule="auto"/>
      <w:ind w:left="0" w:right="0"/>
    </w:pPr>
    <w:rPr>
      <w:rFonts w:eastAsia="Calibri"/>
      <w:sz w:val="24"/>
      <w:szCs w:val="22"/>
      <w:lang w:eastAsia="de-DE"/>
    </w:rPr>
  </w:style>
  <w:style w:type="character" w:customStyle="1" w:styleId="HeaderCoverPageChar">
    <w:name w:val="Header Cover Page Char"/>
    <w:basedOn w:val="Domylnaczcionkaakapitu"/>
    <w:link w:val="HeaderCoverPage"/>
    <w:rsid w:val="008727F2"/>
    <w:rPr>
      <w:rFonts w:eastAsia="Calibri"/>
      <w:sz w:val="24"/>
      <w:szCs w:val="22"/>
      <w:lang w:val="pl-PL" w:eastAsia="de-DE"/>
    </w:rPr>
  </w:style>
  <w:style w:type="paragraph" w:customStyle="1" w:styleId="HeaderSensitivity">
    <w:name w:val="Header Sensitivity"/>
    <w:basedOn w:val="Normalny"/>
    <w:link w:val="HeaderSensitivityChar"/>
    <w:rsid w:val="008727F2"/>
    <w:pPr>
      <w:pBdr>
        <w:top w:val="single" w:sz="4" w:space="1" w:color="auto"/>
        <w:left w:val="single" w:sz="4" w:space="4" w:color="auto"/>
        <w:bottom w:val="single" w:sz="4" w:space="1" w:color="auto"/>
        <w:right w:val="single" w:sz="4" w:space="4" w:color="auto"/>
      </w:pBdr>
      <w:spacing w:before="0" w:after="120" w:line="240" w:lineRule="auto"/>
      <w:ind w:left="113" w:right="113"/>
      <w:jc w:val="center"/>
    </w:pPr>
    <w:rPr>
      <w:rFonts w:eastAsia="Calibri"/>
      <w:b/>
      <w:sz w:val="32"/>
      <w:szCs w:val="22"/>
      <w:lang w:eastAsia="de-DE"/>
    </w:rPr>
  </w:style>
  <w:style w:type="character" w:customStyle="1" w:styleId="HeaderSensitivityChar">
    <w:name w:val="Header Sensitivity Char"/>
    <w:basedOn w:val="Domylnaczcionkaakapitu"/>
    <w:link w:val="HeaderSensitivity"/>
    <w:rsid w:val="008727F2"/>
    <w:rPr>
      <w:rFonts w:eastAsia="Calibri"/>
      <w:b/>
      <w:sz w:val="32"/>
      <w:szCs w:val="22"/>
      <w:lang w:val="pl-PL" w:eastAsia="de-DE"/>
    </w:rPr>
  </w:style>
  <w:style w:type="paragraph" w:styleId="Podtytu">
    <w:name w:val="Subtitle"/>
    <w:basedOn w:val="Normalny"/>
    <w:next w:val="Normalny"/>
    <w:link w:val="PodtytuZnak"/>
    <w:rsid w:val="008727F2"/>
    <w:pPr>
      <w:keepNext/>
      <w:keepLines/>
      <w:spacing w:before="360" w:after="80"/>
      <w:ind w:left="0" w:right="0"/>
      <w:jc w:val="left"/>
    </w:pPr>
    <w:rPr>
      <w:rFonts w:ascii="Georgia" w:eastAsia="Georgia" w:hAnsi="Georgia" w:cs="Georgia"/>
      <w:i/>
      <w:color w:val="666666"/>
      <w:sz w:val="48"/>
      <w:szCs w:val="48"/>
      <w:lang w:eastAsia="de-DE"/>
    </w:rPr>
  </w:style>
  <w:style w:type="character" w:customStyle="1" w:styleId="PodtytuZnak">
    <w:name w:val="Podtytuł Znak"/>
    <w:basedOn w:val="Domylnaczcionkaakapitu"/>
    <w:link w:val="Podtytu"/>
    <w:rsid w:val="008727F2"/>
    <w:rPr>
      <w:rFonts w:ascii="Georgia" w:eastAsia="Georgia" w:hAnsi="Georgia" w:cs="Georgia"/>
      <w:i/>
      <w:color w:val="666666"/>
      <w:sz w:val="48"/>
      <w:szCs w:val="48"/>
      <w:lang w:val="pl-PL" w:eastAsia="de-DE"/>
    </w:rPr>
  </w:style>
  <w:style w:type="table" w:customStyle="1" w:styleId="27">
    <w:name w:val="27"/>
    <w:basedOn w:val="TableNormal1"/>
    <w:rsid w:val="008727F2"/>
    <w:tblPr>
      <w:tblStyleRowBandSize w:val="1"/>
      <w:tblStyleColBandSize w:val="1"/>
      <w:tblCellMar>
        <w:left w:w="115" w:type="dxa"/>
        <w:right w:w="115" w:type="dxa"/>
      </w:tblCellMar>
    </w:tblPr>
  </w:style>
  <w:style w:type="table" w:customStyle="1" w:styleId="26">
    <w:name w:val="26"/>
    <w:basedOn w:val="TableNormal1"/>
    <w:rsid w:val="008727F2"/>
    <w:pPr>
      <w:spacing w:after="0" w:line="240" w:lineRule="auto"/>
    </w:pPr>
    <w:tblPr>
      <w:tblStyleRowBandSize w:val="1"/>
      <w:tblStyleColBandSize w:val="1"/>
      <w:tblCellMar>
        <w:left w:w="108" w:type="dxa"/>
        <w:right w:w="108" w:type="dxa"/>
      </w:tblCellMar>
    </w:tblPr>
  </w:style>
  <w:style w:type="table" w:customStyle="1" w:styleId="25">
    <w:name w:val="25"/>
    <w:basedOn w:val="TableNormal1"/>
    <w:rsid w:val="008727F2"/>
    <w:pPr>
      <w:spacing w:after="0" w:line="240" w:lineRule="auto"/>
    </w:pPr>
    <w:tblPr>
      <w:tblStyleRowBandSize w:val="1"/>
      <w:tblStyleColBandSize w:val="1"/>
      <w:tblCellMar>
        <w:left w:w="108" w:type="dxa"/>
        <w:right w:w="108" w:type="dxa"/>
      </w:tblCellMar>
    </w:tblPr>
  </w:style>
  <w:style w:type="table" w:customStyle="1" w:styleId="24">
    <w:name w:val="24"/>
    <w:basedOn w:val="TableNormal1"/>
    <w:rsid w:val="008727F2"/>
    <w:pPr>
      <w:spacing w:after="0" w:line="240" w:lineRule="auto"/>
    </w:pPr>
    <w:tblPr>
      <w:tblStyleRowBandSize w:val="1"/>
      <w:tblStyleColBandSize w:val="1"/>
      <w:tblCellMar>
        <w:left w:w="108" w:type="dxa"/>
        <w:right w:w="108" w:type="dxa"/>
      </w:tblCellMar>
    </w:tblPr>
  </w:style>
  <w:style w:type="table" w:customStyle="1" w:styleId="23">
    <w:name w:val="23"/>
    <w:basedOn w:val="TableNormal1"/>
    <w:rsid w:val="008727F2"/>
    <w:pPr>
      <w:spacing w:after="0" w:line="240" w:lineRule="auto"/>
    </w:pPr>
    <w:tblPr>
      <w:tblStyleRowBandSize w:val="1"/>
      <w:tblStyleColBandSize w:val="1"/>
      <w:tblCellMar>
        <w:left w:w="108" w:type="dxa"/>
        <w:right w:w="108" w:type="dxa"/>
      </w:tblCellMar>
    </w:tblPr>
  </w:style>
  <w:style w:type="table" w:customStyle="1" w:styleId="22">
    <w:name w:val="22"/>
    <w:basedOn w:val="TableNormal1"/>
    <w:rsid w:val="008727F2"/>
    <w:pPr>
      <w:spacing w:after="0" w:line="240" w:lineRule="auto"/>
    </w:pPr>
    <w:tblPr>
      <w:tblStyleRowBandSize w:val="1"/>
      <w:tblStyleColBandSize w:val="1"/>
      <w:tblCellMar>
        <w:left w:w="108" w:type="dxa"/>
        <w:right w:w="108" w:type="dxa"/>
      </w:tblCellMar>
    </w:tblPr>
  </w:style>
  <w:style w:type="table" w:customStyle="1" w:styleId="21">
    <w:name w:val="21"/>
    <w:basedOn w:val="TableNormal1"/>
    <w:rsid w:val="008727F2"/>
    <w:pPr>
      <w:spacing w:after="0" w:line="240" w:lineRule="auto"/>
    </w:pPr>
    <w:tblPr>
      <w:tblStyleRowBandSize w:val="1"/>
      <w:tblStyleColBandSize w:val="1"/>
      <w:tblCellMar>
        <w:left w:w="108" w:type="dxa"/>
        <w:right w:w="108" w:type="dxa"/>
      </w:tblCellMar>
    </w:tblPr>
  </w:style>
  <w:style w:type="table" w:customStyle="1" w:styleId="20">
    <w:name w:val="20"/>
    <w:basedOn w:val="TableNormal1"/>
    <w:rsid w:val="008727F2"/>
    <w:pPr>
      <w:spacing w:after="0" w:line="240" w:lineRule="auto"/>
    </w:pPr>
    <w:tblPr>
      <w:tblStyleRowBandSize w:val="1"/>
      <w:tblStyleColBandSize w:val="1"/>
      <w:tblCellMar>
        <w:left w:w="108" w:type="dxa"/>
        <w:right w:w="108" w:type="dxa"/>
      </w:tblCellMar>
    </w:tblPr>
  </w:style>
  <w:style w:type="table" w:customStyle="1" w:styleId="19">
    <w:name w:val="19"/>
    <w:basedOn w:val="TableNormal1"/>
    <w:rsid w:val="008727F2"/>
    <w:tblPr>
      <w:tblStyleRowBandSize w:val="1"/>
      <w:tblStyleColBandSize w:val="1"/>
      <w:tblCellMar>
        <w:left w:w="115" w:type="dxa"/>
        <w:right w:w="115" w:type="dxa"/>
      </w:tblCellMar>
    </w:tblPr>
  </w:style>
  <w:style w:type="table" w:customStyle="1" w:styleId="18">
    <w:name w:val="18"/>
    <w:basedOn w:val="TableNormal1"/>
    <w:rsid w:val="008727F2"/>
    <w:tblPr>
      <w:tblStyleRowBandSize w:val="1"/>
      <w:tblStyleColBandSize w:val="1"/>
      <w:tblCellMar>
        <w:left w:w="115" w:type="dxa"/>
        <w:right w:w="115" w:type="dxa"/>
      </w:tblCellMar>
    </w:tblPr>
  </w:style>
  <w:style w:type="table" w:customStyle="1" w:styleId="17">
    <w:name w:val="17"/>
    <w:basedOn w:val="TableNormal1"/>
    <w:rsid w:val="008727F2"/>
    <w:tblPr>
      <w:tblStyleRowBandSize w:val="1"/>
      <w:tblStyleColBandSize w:val="1"/>
      <w:tblCellMar>
        <w:left w:w="115" w:type="dxa"/>
        <w:right w:w="115" w:type="dxa"/>
      </w:tblCellMar>
    </w:tblPr>
  </w:style>
  <w:style w:type="table" w:customStyle="1" w:styleId="16">
    <w:name w:val="16"/>
    <w:basedOn w:val="TableNormal1"/>
    <w:rsid w:val="008727F2"/>
    <w:pPr>
      <w:spacing w:after="0" w:line="240" w:lineRule="auto"/>
    </w:pPr>
    <w:tblPr>
      <w:tblStyleRowBandSize w:val="1"/>
      <w:tblStyleColBandSize w:val="1"/>
      <w:tblCellMar>
        <w:left w:w="108" w:type="dxa"/>
        <w:right w:w="108" w:type="dxa"/>
      </w:tblCellMar>
    </w:tblPr>
  </w:style>
  <w:style w:type="table" w:customStyle="1" w:styleId="15">
    <w:name w:val="15"/>
    <w:basedOn w:val="TableNormal1"/>
    <w:rsid w:val="008727F2"/>
    <w:pPr>
      <w:spacing w:after="0" w:line="240" w:lineRule="auto"/>
    </w:pPr>
    <w:tblPr>
      <w:tblStyleRowBandSize w:val="1"/>
      <w:tblStyleColBandSize w:val="1"/>
      <w:tblCellMar>
        <w:left w:w="108" w:type="dxa"/>
        <w:right w:w="108" w:type="dxa"/>
      </w:tblCellMar>
    </w:tblPr>
  </w:style>
  <w:style w:type="table" w:customStyle="1" w:styleId="14">
    <w:name w:val="14"/>
    <w:basedOn w:val="TableNormal1"/>
    <w:rsid w:val="008727F2"/>
    <w:pPr>
      <w:spacing w:after="0" w:line="240" w:lineRule="auto"/>
    </w:pPr>
    <w:tblPr>
      <w:tblStyleRowBandSize w:val="1"/>
      <w:tblStyleColBandSize w:val="1"/>
      <w:tblCellMar>
        <w:left w:w="108" w:type="dxa"/>
        <w:right w:w="108" w:type="dxa"/>
      </w:tblCellMar>
    </w:tblPr>
  </w:style>
  <w:style w:type="table" w:customStyle="1" w:styleId="13">
    <w:name w:val="13"/>
    <w:basedOn w:val="TableNormal1"/>
    <w:rsid w:val="008727F2"/>
    <w:pPr>
      <w:spacing w:after="0" w:line="240" w:lineRule="auto"/>
    </w:pPr>
    <w:tblPr>
      <w:tblStyleRowBandSize w:val="1"/>
      <w:tblStyleColBandSize w:val="1"/>
      <w:tblCellMar>
        <w:left w:w="108" w:type="dxa"/>
        <w:right w:w="108" w:type="dxa"/>
      </w:tblCellMar>
    </w:tblPr>
  </w:style>
  <w:style w:type="table" w:customStyle="1" w:styleId="12">
    <w:name w:val="12"/>
    <w:basedOn w:val="TableNormal1"/>
    <w:rsid w:val="008727F2"/>
    <w:pPr>
      <w:spacing w:after="0" w:line="240" w:lineRule="auto"/>
    </w:pPr>
    <w:tblPr>
      <w:tblStyleRowBandSize w:val="1"/>
      <w:tblStyleColBandSize w:val="1"/>
      <w:tblCellMar>
        <w:left w:w="108" w:type="dxa"/>
        <w:right w:w="108" w:type="dxa"/>
      </w:tblCellMar>
    </w:tblPr>
  </w:style>
  <w:style w:type="table" w:customStyle="1" w:styleId="11">
    <w:name w:val="11"/>
    <w:basedOn w:val="TableNormal1"/>
    <w:rsid w:val="008727F2"/>
    <w:pPr>
      <w:spacing w:after="0" w:line="240" w:lineRule="auto"/>
    </w:pPr>
    <w:tblPr>
      <w:tblStyleRowBandSize w:val="1"/>
      <w:tblStyleColBandSize w:val="1"/>
      <w:tblCellMar>
        <w:left w:w="108" w:type="dxa"/>
        <w:right w:w="108" w:type="dxa"/>
      </w:tblCellMar>
    </w:tblPr>
  </w:style>
  <w:style w:type="table" w:customStyle="1" w:styleId="10">
    <w:name w:val="10"/>
    <w:basedOn w:val="TableNormal1"/>
    <w:rsid w:val="008727F2"/>
    <w:pPr>
      <w:spacing w:after="0" w:line="240" w:lineRule="auto"/>
    </w:pPr>
    <w:tblPr>
      <w:tblStyleRowBandSize w:val="1"/>
      <w:tblStyleColBandSize w:val="1"/>
      <w:tblCellMar>
        <w:left w:w="108" w:type="dxa"/>
        <w:right w:w="108" w:type="dxa"/>
      </w:tblCellMar>
    </w:tblPr>
  </w:style>
  <w:style w:type="table" w:customStyle="1" w:styleId="9">
    <w:name w:val="9"/>
    <w:basedOn w:val="TableNormal1"/>
    <w:rsid w:val="008727F2"/>
    <w:pPr>
      <w:spacing w:after="0" w:line="240" w:lineRule="auto"/>
    </w:pPr>
    <w:tblPr>
      <w:tblStyleRowBandSize w:val="1"/>
      <w:tblStyleColBandSize w:val="1"/>
      <w:tblCellMar>
        <w:left w:w="108" w:type="dxa"/>
        <w:right w:w="108" w:type="dxa"/>
      </w:tblCellMar>
    </w:tblPr>
  </w:style>
  <w:style w:type="table" w:customStyle="1" w:styleId="8">
    <w:name w:val="8"/>
    <w:basedOn w:val="TableNormal1"/>
    <w:rsid w:val="008727F2"/>
    <w:pPr>
      <w:spacing w:after="0" w:line="240" w:lineRule="auto"/>
    </w:pPr>
    <w:tblPr>
      <w:tblStyleRowBandSize w:val="1"/>
      <w:tblStyleColBandSize w:val="1"/>
      <w:tblCellMar>
        <w:left w:w="108" w:type="dxa"/>
        <w:right w:w="108" w:type="dxa"/>
      </w:tblCellMar>
    </w:tblPr>
  </w:style>
  <w:style w:type="table" w:customStyle="1" w:styleId="7">
    <w:name w:val="7"/>
    <w:basedOn w:val="TableNormal1"/>
    <w:rsid w:val="008727F2"/>
    <w:pPr>
      <w:spacing w:after="0" w:line="240" w:lineRule="auto"/>
    </w:pPr>
    <w:tblPr>
      <w:tblStyleRowBandSize w:val="1"/>
      <w:tblStyleColBandSize w:val="1"/>
      <w:tblCellMar>
        <w:left w:w="108" w:type="dxa"/>
        <w:right w:w="108" w:type="dxa"/>
      </w:tblCellMar>
    </w:tblPr>
  </w:style>
  <w:style w:type="table" w:customStyle="1" w:styleId="6">
    <w:name w:val="6"/>
    <w:basedOn w:val="TableNormal1"/>
    <w:rsid w:val="008727F2"/>
    <w:tblPr>
      <w:tblStyleRowBandSize w:val="1"/>
      <w:tblStyleColBandSize w:val="1"/>
      <w:tblCellMar>
        <w:left w:w="115" w:type="dxa"/>
        <w:right w:w="115" w:type="dxa"/>
      </w:tblCellMar>
    </w:tblPr>
  </w:style>
  <w:style w:type="table" w:customStyle="1" w:styleId="5">
    <w:name w:val="5"/>
    <w:basedOn w:val="TableNormal1"/>
    <w:rsid w:val="008727F2"/>
    <w:tblPr>
      <w:tblStyleRowBandSize w:val="1"/>
      <w:tblStyleColBandSize w:val="1"/>
      <w:tblCellMar>
        <w:left w:w="115" w:type="dxa"/>
        <w:right w:w="115" w:type="dxa"/>
      </w:tblCellMar>
    </w:tblPr>
  </w:style>
  <w:style w:type="table" w:customStyle="1" w:styleId="4">
    <w:name w:val="4"/>
    <w:basedOn w:val="TableNormal1"/>
    <w:rsid w:val="008727F2"/>
    <w:tblPr>
      <w:tblStyleRowBandSize w:val="1"/>
      <w:tblStyleColBandSize w:val="1"/>
      <w:tblCellMar>
        <w:left w:w="115" w:type="dxa"/>
        <w:right w:w="115" w:type="dxa"/>
      </w:tblCellMar>
    </w:tblPr>
  </w:style>
  <w:style w:type="table" w:customStyle="1" w:styleId="3">
    <w:name w:val="3"/>
    <w:basedOn w:val="TableNormal1"/>
    <w:rsid w:val="008727F2"/>
    <w:tblPr>
      <w:tblStyleRowBandSize w:val="1"/>
      <w:tblStyleColBandSize w:val="1"/>
      <w:tblCellMar>
        <w:left w:w="115" w:type="dxa"/>
        <w:right w:w="115" w:type="dxa"/>
      </w:tblCellMar>
    </w:tblPr>
  </w:style>
  <w:style w:type="table" w:customStyle="1" w:styleId="2">
    <w:name w:val="2"/>
    <w:basedOn w:val="TableNormal1"/>
    <w:rsid w:val="008727F2"/>
    <w:tblPr>
      <w:tblStyleRowBandSize w:val="1"/>
      <w:tblStyleColBandSize w:val="1"/>
      <w:tblCellMar>
        <w:left w:w="115" w:type="dxa"/>
        <w:right w:w="115" w:type="dxa"/>
      </w:tblCellMar>
    </w:tblPr>
  </w:style>
  <w:style w:type="table" w:customStyle="1" w:styleId="1">
    <w:name w:val="1"/>
    <w:basedOn w:val="TableNormal1"/>
    <w:rsid w:val="008727F2"/>
    <w:tblPr>
      <w:tblStyleRowBandSize w:val="1"/>
      <w:tblStyleColBandSize w:val="1"/>
      <w:tblCellMar>
        <w:left w:w="115" w:type="dxa"/>
        <w:right w:w="115" w:type="dxa"/>
      </w:tblCellMar>
    </w:tblPr>
  </w:style>
  <w:style w:type="paragraph" w:customStyle="1" w:styleId="Tabelle-Text">
    <w:name w:val="Tabelle - Text"/>
    <w:basedOn w:val="Normalny"/>
    <w:link w:val="Tabelle-TextZchn"/>
    <w:uiPriority w:val="4"/>
    <w:qFormat/>
    <w:rsid w:val="008727F2"/>
    <w:pPr>
      <w:spacing w:before="0" w:line="220" w:lineRule="exact"/>
      <w:ind w:left="0" w:right="0"/>
      <w:contextualSpacing/>
      <w:jc w:val="left"/>
    </w:pPr>
    <w:rPr>
      <w:rFonts w:ascii="Arial" w:eastAsia="SimSun" w:hAnsi="Arial"/>
      <w:sz w:val="15"/>
      <w:szCs w:val="24"/>
      <w:lang w:eastAsia="zh-CN"/>
    </w:rPr>
  </w:style>
  <w:style w:type="character" w:customStyle="1" w:styleId="Tabelle-TextZchn">
    <w:name w:val="Tabelle - Text Zchn"/>
    <w:basedOn w:val="Domylnaczcionkaakapitu"/>
    <w:link w:val="Tabelle-Text"/>
    <w:uiPriority w:val="4"/>
    <w:rsid w:val="008727F2"/>
    <w:rPr>
      <w:rFonts w:ascii="Arial" w:eastAsia="SimSun" w:hAnsi="Arial"/>
      <w:sz w:val="15"/>
      <w:szCs w:val="24"/>
      <w:lang w:val="pl-PL" w:eastAsia="zh-CN"/>
    </w:rPr>
  </w:style>
  <w:style w:type="character" w:customStyle="1" w:styleId="Nagwek4Znak">
    <w:name w:val="Nagłówek 4 Znak"/>
    <w:link w:val="Nagwek4"/>
    <w:rsid w:val="008727F2"/>
    <w:rPr>
      <w:rFonts w:ascii="Verdana" w:hAnsi="Verdana"/>
      <w:b/>
      <w:bCs/>
    </w:rPr>
  </w:style>
  <w:style w:type="paragraph" w:customStyle="1" w:styleId="Beschriftung-Element-oben">
    <w:name w:val="Beschriftung - Element - oben"/>
    <w:next w:val="Normalny"/>
    <w:link w:val="Beschriftung-Element-obenZchn"/>
    <w:uiPriority w:val="4"/>
    <w:qFormat/>
    <w:rsid w:val="00341867"/>
    <w:pPr>
      <w:pBdr>
        <w:top w:val="single" w:sz="4" w:space="5" w:color="9E9FA3"/>
      </w:pBdr>
      <w:spacing w:after="120" w:line="290" w:lineRule="exact"/>
      <w:contextualSpacing/>
    </w:pPr>
    <w:rPr>
      <w:rFonts w:ascii="Arial" w:eastAsia="SimSun" w:hAnsi="Arial"/>
      <w:b/>
      <w:sz w:val="18"/>
      <w:szCs w:val="24"/>
      <w:lang w:eastAsia="zh-CN"/>
    </w:rPr>
  </w:style>
  <w:style w:type="paragraph" w:customStyle="1" w:styleId="Beschriftung-Element-unten">
    <w:name w:val="Beschriftung - Element - unten"/>
    <w:next w:val="Normalny"/>
    <w:link w:val="Beschriftung-Element-untenZchn"/>
    <w:uiPriority w:val="4"/>
    <w:qFormat/>
    <w:rsid w:val="00341867"/>
    <w:pPr>
      <w:pBdr>
        <w:bottom w:val="single" w:sz="4" w:space="5" w:color="9E9FA3"/>
      </w:pBdr>
      <w:spacing w:before="120" w:after="290" w:line="220" w:lineRule="exact"/>
      <w:contextualSpacing/>
    </w:pPr>
    <w:rPr>
      <w:rFonts w:ascii="Arial" w:eastAsia="SimSun" w:hAnsi="Arial"/>
      <w:sz w:val="16"/>
      <w:szCs w:val="24"/>
      <w:lang w:eastAsia="zh-CN"/>
    </w:rPr>
  </w:style>
  <w:style w:type="character" w:customStyle="1" w:styleId="Beschriftung-Element-obenZchn">
    <w:name w:val="Beschriftung - Element - oben Zchn"/>
    <w:basedOn w:val="Domylnaczcionkaakapitu"/>
    <w:link w:val="Beschriftung-Element-oben"/>
    <w:uiPriority w:val="4"/>
    <w:rsid w:val="00341867"/>
    <w:rPr>
      <w:rFonts w:ascii="Arial" w:eastAsia="SimSun" w:hAnsi="Arial"/>
      <w:b/>
      <w:sz w:val="18"/>
      <w:szCs w:val="24"/>
      <w:lang w:val="pl-PL" w:eastAsia="zh-CN"/>
    </w:rPr>
  </w:style>
  <w:style w:type="character" w:customStyle="1" w:styleId="Beschriftung-Element-untenZchn">
    <w:name w:val="Beschriftung - Element - unten Zchn"/>
    <w:basedOn w:val="Domylnaczcionkaakapitu"/>
    <w:link w:val="Beschriftung-Element-unten"/>
    <w:uiPriority w:val="4"/>
    <w:rsid w:val="00341867"/>
    <w:rPr>
      <w:rFonts w:ascii="Arial" w:eastAsia="SimSun" w:hAnsi="Arial"/>
      <w:sz w:val="16"/>
      <w:szCs w:val="24"/>
      <w:lang w:val="pl-PL"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38489">
      <w:bodyDiv w:val="1"/>
      <w:marLeft w:val="0"/>
      <w:marRight w:val="0"/>
      <w:marTop w:val="0"/>
      <w:marBottom w:val="0"/>
      <w:divBdr>
        <w:top w:val="none" w:sz="0" w:space="0" w:color="auto"/>
        <w:left w:val="none" w:sz="0" w:space="0" w:color="auto"/>
        <w:bottom w:val="none" w:sz="0" w:space="0" w:color="auto"/>
        <w:right w:val="none" w:sz="0" w:space="0" w:color="auto"/>
      </w:divBdr>
      <w:divsChild>
        <w:div w:id="110051516">
          <w:marLeft w:val="0"/>
          <w:marRight w:val="0"/>
          <w:marTop w:val="0"/>
          <w:marBottom w:val="0"/>
          <w:divBdr>
            <w:top w:val="none" w:sz="0" w:space="0" w:color="auto"/>
            <w:left w:val="none" w:sz="0" w:space="0" w:color="auto"/>
            <w:bottom w:val="none" w:sz="0" w:space="0" w:color="auto"/>
            <w:right w:val="none" w:sz="0" w:space="0" w:color="auto"/>
          </w:divBdr>
        </w:div>
      </w:divsChild>
    </w:div>
    <w:div w:id="128593797">
      <w:bodyDiv w:val="1"/>
      <w:marLeft w:val="0"/>
      <w:marRight w:val="0"/>
      <w:marTop w:val="0"/>
      <w:marBottom w:val="0"/>
      <w:divBdr>
        <w:top w:val="none" w:sz="0" w:space="0" w:color="auto"/>
        <w:left w:val="none" w:sz="0" w:space="0" w:color="auto"/>
        <w:bottom w:val="none" w:sz="0" w:space="0" w:color="auto"/>
        <w:right w:val="none" w:sz="0" w:space="0" w:color="auto"/>
      </w:divBdr>
      <w:divsChild>
        <w:div w:id="527792257">
          <w:marLeft w:val="0"/>
          <w:marRight w:val="0"/>
          <w:marTop w:val="0"/>
          <w:marBottom w:val="0"/>
          <w:divBdr>
            <w:top w:val="none" w:sz="0" w:space="0" w:color="auto"/>
            <w:left w:val="none" w:sz="0" w:space="0" w:color="auto"/>
            <w:bottom w:val="none" w:sz="0" w:space="0" w:color="auto"/>
            <w:right w:val="none" w:sz="0" w:space="0" w:color="auto"/>
          </w:divBdr>
        </w:div>
        <w:div w:id="689063833">
          <w:marLeft w:val="0"/>
          <w:marRight w:val="0"/>
          <w:marTop w:val="0"/>
          <w:marBottom w:val="0"/>
          <w:divBdr>
            <w:top w:val="none" w:sz="0" w:space="0" w:color="auto"/>
            <w:left w:val="none" w:sz="0" w:space="0" w:color="auto"/>
            <w:bottom w:val="none" w:sz="0" w:space="0" w:color="auto"/>
            <w:right w:val="none" w:sz="0" w:space="0" w:color="auto"/>
          </w:divBdr>
        </w:div>
        <w:div w:id="1271814771">
          <w:marLeft w:val="0"/>
          <w:marRight w:val="0"/>
          <w:marTop w:val="0"/>
          <w:marBottom w:val="0"/>
          <w:divBdr>
            <w:top w:val="none" w:sz="0" w:space="0" w:color="auto"/>
            <w:left w:val="none" w:sz="0" w:space="0" w:color="auto"/>
            <w:bottom w:val="none" w:sz="0" w:space="0" w:color="auto"/>
            <w:right w:val="none" w:sz="0" w:space="0" w:color="auto"/>
          </w:divBdr>
        </w:div>
        <w:div w:id="1351417858">
          <w:marLeft w:val="0"/>
          <w:marRight w:val="0"/>
          <w:marTop w:val="0"/>
          <w:marBottom w:val="0"/>
          <w:divBdr>
            <w:top w:val="none" w:sz="0" w:space="0" w:color="auto"/>
            <w:left w:val="none" w:sz="0" w:space="0" w:color="auto"/>
            <w:bottom w:val="none" w:sz="0" w:space="0" w:color="auto"/>
            <w:right w:val="none" w:sz="0" w:space="0" w:color="auto"/>
          </w:divBdr>
        </w:div>
        <w:div w:id="1561280710">
          <w:marLeft w:val="0"/>
          <w:marRight w:val="0"/>
          <w:marTop w:val="0"/>
          <w:marBottom w:val="0"/>
          <w:divBdr>
            <w:top w:val="none" w:sz="0" w:space="0" w:color="auto"/>
            <w:left w:val="none" w:sz="0" w:space="0" w:color="auto"/>
            <w:bottom w:val="none" w:sz="0" w:space="0" w:color="auto"/>
            <w:right w:val="none" w:sz="0" w:space="0" w:color="auto"/>
          </w:divBdr>
        </w:div>
        <w:div w:id="2137067564">
          <w:marLeft w:val="0"/>
          <w:marRight w:val="0"/>
          <w:marTop w:val="0"/>
          <w:marBottom w:val="0"/>
          <w:divBdr>
            <w:top w:val="none" w:sz="0" w:space="0" w:color="auto"/>
            <w:left w:val="none" w:sz="0" w:space="0" w:color="auto"/>
            <w:bottom w:val="none" w:sz="0" w:space="0" w:color="auto"/>
            <w:right w:val="none" w:sz="0" w:space="0" w:color="auto"/>
          </w:divBdr>
        </w:div>
      </w:divsChild>
    </w:div>
    <w:div w:id="217204068">
      <w:bodyDiv w:val="1"/>
      <w:marLeft w:val="0"/>
      <w:marRight w:val="0"/>
      <w:marTop w:val="0"/>
      <w:marBottom w:val="0"/>
      <w:divBdr>
        <w:top w:val="none" w:sz="0" w:space="0" w:color="auto"/>
        <w:left w:val="none" w:sz="0" w:space="0" w:color="auto"/>
        <w:bottom w:val="none" w:sz="0" w:space="0" w:color="auto"/>
        <w:right w:val="none" w:sz="0" w:space="0" w:color="auto"/>
      </w:divBdr>
      <w:divsChild>
        <w:div w:id="1044406129">
          <w:marLeft w:val="0"/>
          <w:marRight w:val="0"/>
          <w:marTop w:val="0"/>
          <w:marBottom w:val="120"/>
          <w:divBdr>
            <w:top w:val="none" w:sz="0" w:space="0" w:color="auto"/>
            <w:left w:val="none" w:sz="0" w:space="0" w:color="auto"/>
            <w:bottom w:val="none" w:sz="0" w:space="0" w:color="auto"/>
            <w:right w:val="none" w:sz="0" w:space="0" w:color="auto"/>
          </w:divBdr>
        </w:div>
      </w:divsChild>
    </w:div>
    <w:div w:id="278488395">
      <w:bodyDiv w:val="1"/>
      <w:marLeft w:val="0"/>
      <w:marRight w:val="0"/>
      <w:marTop w:val="0"/>
      <w:marBottom w:val="0"/>
      <w:divBdr>
        <w:top w:val="none" w:sz="0" w:space="0" w:color="auto"/>
        <w:left w:val="none" w:sz="0" w:space="0" w:color="auto"/>
        <w:bottom w:val="none" w:sz="0" w:space="0" w:color="auto"/>
        <w:right w:val="none" w:sz="0" w:space="0" w:color="auto"/>
      </w:divBdr>
      <w:divsChild>
        <w:div w:id="1053967255">
          <w:marLeft w:val="0"/>
          <w:marRight w:val="0"/>
          <w:marTop w:val="120"/>
          <w:marBottom w:val="120"/>
          <w:divBdr>
            <w:top w:val="none" w:sz="0" w:space="0" w:color="auto"/>
            <w:left w:val="none" w:sz="0" w:space="0" w:color="auto"/>
            <w:bottom w:val="none" w:sz="0" w:space="0" w:color="auto"/>
            <w:right w:val="none" w:sz="0" w:space="0" w:color="auto"/>
          </w:divBdr>
        </w:div>
        <w:div w:id="1109281617">
          <w:marLeft w:val="0"/>
          <w:marRight w:val="0"/>
          <w:marTop w:val="120"/>
          <w:marBottom w:val="120"/>
          <w:divBdr>
            <w:top w:val="none" w:sz="0" w:space="0" w:color="auto"/>
            <w:left w:val="none" w:sz="0" w:space="0" w:color="auto"/>
            <w:bottom w:val="none" w:sz="0" w:space="0" w:color="auto"/>
            <w:right w:val="none" w:sz="0" w:space="0" w:color="auto"/>
          </w:divBdr>
        </w:div>
        <w:div w:id="1120799867">
          <w:marLeft w:val="0"/>
          <w:marRight w:val="0"/>
          <w:marTop w:val="120"/>
          <w:marBottom w:val="120"/>
          <w:divBdr>
            <w:top w:val="none" w:sz="0" w:space="0" w:color="auto"/>
            <w:left w:val="none" w:sz="0" w:space="0" w:color="auto"/>
            <w:bottom w:val="none" w:sz="0" w:space="0" w:color="auto"/>
            <w:right w:val="none" w:sz="0" w:space="0" w:color="auto"/>
          </w:divBdr>
        </w:div>
        <w:div w:id="1169642059">
          <w:marLeft w:val="0"/>
          <w:marRight w:val="0"/>
          <w:marTop w:val="120"/>
          <w:marBottom w:val="120"/>
          <w:divBdr>
            <w:top w:val="none" w:sz="0" w:space="0" w:color="auto"/>
            <w:left w:val="none" w:sz="0" w:space="0" w:color="auto"/>
            <w:bottom w:val="none" w:sz="0" w:space="0" w:color="auto"/>
            <w:right w:val="none" w:sz="0" w:space="0" w:color="auto"/>
          </w:divBdr>
        </w:div>
        <w:div w:id="1883786122">
          <w:marLeft w:val="0"/>
          <w:marRight w:val="0"/>
          <w:marTop w:val="120"/>
          <w:marBottom w:val="120"/>
          <w:divBdr>
            <w:top w:val="none" w:sz="0" w:space="0" w:color="auto"/>
            <w:left w:val="none" w:sz="0" w:space="0" w:color="auto"/>
            <w:bottom w:val="none" w:sz="0" w:space="0" w:color="auto"/>
            <w:right w:val="none" w:sz="0" w:space="0" w:color="auto"/>
          </w:divBdr>
        </w:div>
        <w:div w:id="1910069013">
          <w:marLeft w:val="0"/>
          <w:marRight w:val="0"/>
          <w:marTop w:val="120"/>
          <w:marBottom w:val="120"/>
          <w:divBdr>
            <w:top w:val="none" w:sz="0" w:space="0" w:color="auto"/>
            <w:left w:val="none" w:sz="0" w:space="0" w:color="auto"/>
            <w:bottom w:val="none" w:sz="0" w:space="0" w:color="auto"/>
            <w:right w:val="none" w:sz="0" w:space="0" w:color="auto"/>
          </w:divBdr>
        </w:div>
      </w:divsChild>
    </w:div>
    <w:div w:id="309291005">
      <w:bodyDiv w:val="1"/>
      <w:marLeft w:val="0"/>
      <w:marRight w:val="0"/>
      <w:marTop w:val="0"/>
      <w:marBottom w:val="0"/>
      <w:divBdr>
        <w:top w:val="none" w:sz="0" w:space="0" w:color="auto"/>
        <w:left w:val="none" w:sz="0" w:space="0" w:color="auto"/>
        <w:bottom w:val="none" w:sz="0" w:space="0" w:color="auto"/>
        <w:right w:val="none" w:sz="0" w:space="0" w:color="auto"/>
      </w:divBdr>
    </w:div>
    <w:div w:id="323512152">
      <w:bodyDiv w:val="1"/>
      <w:marLeft w:val="0"/>
      <w:marRight w:val="0"/>
      <w:marTop w:val="0"/>
      <w:marBottom w:val="0"/>
      <w:divBdr>
        <w:top w:val="none" w:sz="0" w:space="0" w:color="auto"/>
        <w:left w:val="none" w:sz="0" w:space="0" w:color="auto"/>
        <w:bottom w:val="none" w:sz="0" w:space="0" w:color="auto"/>
        <w:right w:val="none" w:sz="0" w:space="0" w:color="auto"/>
      </w:divBdr>
    </w:div>
    <w:div w:id="347566588">
      <w:bodyDiv w:val="1"/>
      <w:marLeft w:val="0"/>
      <w:marRight w:val="0"/>
      <w:marTop w:val="0"/>
      <w:marBottom w:val="0"/>
      <w:divBdr>
        <w:top w:val="none" w:sz="0" w:space="0" w:color="auto"/>
        <w:left w:val="none" w:sz="0" w:space="0" w:color="auto"/>
        <w:bottom w:val="none" w:sz="0" w:space="0" w:color="auto"/>
        <w:right w:val="none" w:sz="0" w:space="0" w:color="auto"/>
      </w:divBdr>
    </w:div>
    <w:div w:id="354697335">
      <w:bodyDiv w:val="1"/>
      <w:marLeft w:val="0"/>
      <w:marRight w:val="0"/>
      <w:marTop w:val="0"/>
      <w:marBottom w:val="0"/>
      <w:divBdr>
        <w:top w:val="none" w:sz="0" w:space="0" w:color="auto"/>
        <w:left w:val="none" w:sz="0" w:space="0" w:color="auto"/>
        <w:bottom w:val="none" w:sz="0" w:space="0" w:color="auto"/>
        <w:right w:val="none" w:sz="0" w:space="0" w:color="auto"/>
      </w:divBdr>
    </w:div>
    <w:div w:id="414937456">
      <w:bodyDiv w:val="1"/>
      <w:marLeft w:val="0"/>
      <w:marRight w:val="0"/>
      <w:marTop w:val="0"/>
      <w:marBottom w:val="0"/>
      <w:divBdr>
        <w:top w:val="none" w:sz="0" w:space="0" w:color="auto"/>
        <w:left w:val="none" w:sz="0" w:space="0" w:color="auto"/>
        <w:bottom w:val="none" w:sz="0" w:space="0" w:color="auto"/>
        <w:right w:val="none" w:sz="0" w:space="0" w:color="auto"/>
      </w:divBdr>
    </w:div>
    <w:div w:id="445396008">
      <w:bodyDiv w:val="1"/>
      <w:marLeft w:val="0"/>
      <w:marRight w:val="0"/>
      <w:marTop w:val="0"/>
      <w:marBottom w:val="0"/>
      <w:divBdr>
        <w:top w:val="none" w:sz="0" w:space="0" w:color="auto"/>
        <w:left w:val="none" w:sz="0" w:space="0" w:color="auto"/>
        <w:bottom w:val="none" w:sz="0" w:space="0" w:color="auto"/>
        <w:right w:val="none" w:sz="0" w:space="0" w:color="auto"/>
      </w:divBdr>
    </w:div>
    <w:div w:id="466509533">
      <w:bodyDiv w:val="1"/>
      <w:marLeft w:val="0"/>
      <w:marRight w:val="0"/>
      <w:marTop w:val="0"/>
      <w:marBottom w:val="0"/>
      <w:divBdr>
        <w:top w:val="none" w:sz="0" w:space="0" w:color="auto"/>
        <w:left w:val="none" w:sz="0" w:space="0" w:color="auto"/>
        <w:bottom w:val="none" w:sz="0" w:space="0" w:color="auto"/>
        <w:right w:val="none" w:sz="0" w:space="0" w:color="auto"/>
      </w:divBdr>
    </w:div>
    <w:div w:id="552617921">
      <w:bodyDiv w:val="1"/>
      <w:marLeft w:val="0"/>
      <w:marRight w:val="0"/>
      <w:marTop w:val="0"/>
      <w:marBottom w:val="0"/>
      <w:divBdr>
        <w:top w:val="none" w:sz="0" w:space="0" w:color="auto"/>
        <w:left w:val="none" w:sz="0" w:space="0" w:color="auto"/>
        <w:bottom w:val="none" w:sz="0" w:space="0" w:color="auto"/>
        <w:right w:val="none" w:sz="0" w:space="0" w:color="auto"/>
      </w:divBdr>
    </w:div>
    <w:div w:id="585841535">
      <w:bodyDiv w:val="1"/>
      <w:marLeft w:val="0"/>
      <w:marRight w:val="0"/>
      <w:marTop w:val="0"/>
      <w:marBottom w:val="0"/>
      <w:divBdr>
        <w:top w:val="none" w:sz="0" w:space="0" w:color="auto"/>
        <w:left w:val="none" w:sz="0" w:space="0" w:color="auto"/>
        <w:bottom w:val="none" w:sz="0" w:space="0" w:color="auto"/>
        <w:right w:val="none" w:sz="0" w:space="0" w:color="auto"/>
      </w:divBdr>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257717270">
          <w:marLeft w:val="0"/>
          <w:marRight w:val="0"/>
          <w:marTop w:val="0"/>
          <w:marBottom w:val="0"/>
          <w:divBdr>
            <w:top w:val="none" w:sz="0" w:space="0" w:color="auto"/>
            <w:left w:val="none" w:sz="0" w:space="0" w:color="auto"/>
            <w:bottom w:val="none" w:sz="0" w:space="0" w:color="auto"/>
            <w:right w:val="none" w:sz="0" w:space="0" w:color="auto"/>
          </w:divBdr>
        </w:div>
        <w:div w:id="689917766">
          <w:marLeft w:val="0"/>
          <w:marRight w:val="0"/>
          <w:marTop w:val="0"/>
          <w:marBottom w:val="0"/>
          <w:divBdr>
            <w:top w:val="none" w:sz="0" w:space="0" w:color="auto"/>
            <w:left w:val="none" w:sz="0" w:space="0" w:color="auto"/>
            <w:bottom w:val="none" w:sz="0" w:space="0" w:color="auto"/>
            <w:right w:val="none" w:sz="0" w:space="0" w:color="auto"/>
          </w:divBdr>
        </w:div>
        <w:div w:id="773280282">
          <w:marLeft w:val="0"/>
          <w:marRight w:val="0"/>
          <w:marTop w:val="0"/>
          <w:marBottom w:val="0"/>
          <w:divBdr>
            <w:top w:val="none" w:sz="0" w:space="0" w:color="auto"/>
            <w:left w:val="none" w:sz="0" w:space="0" w:color="auto"/>
            <w:bottom w:val="none" w:sz="0" w:space="0" w:color="auto"/>
            <w:right w:val="none" w:sz="0" w:space="0" w:color="auto"/>
          </w:divBdr>
        </w:div>
        <w:div w:id="846165856">
          <w:marLeft w:val="0"/>
          <w:marRight w:val="0"/>
          <w:marTop w:val="0"/>
          <w:marBottom w:val="0"/>
          <w:divBdr>
            <w:top w:val="none" w:sz="0" w:space="0" w:color="auto"/>
            <w:left w:val="none" w:sz="0" w:space="0" w:color="auto"/>
            <w:bottom w:val="none" w:sz="0" w:space="0" w:color="auto"/>
            <w:right w:val="none" w:sz="0" w:space="0" w:color="auto"/>
          </w:divBdr>
        </w:div>
        <w:div w:id="888030778">
          <w:marLeft w:val="0"/>
          <w:marRight w:val="0"/>
          <w:marTop w:val="0"/>
          <w:marBottom w:val="0"/>
          <w:divBdr>
            <w:top w:val="none" w:sz="0" w:space="0" w:color="auto"/>
            <w:left w:val="none" w:sz="0" w:space="0" w:color="auto"/>
            <w:bottom w:val="none" w:sz="0" w:space="0" w:color="auto"/>
            <w:right w:val="none" w:sz="0" w:space="0" w:color="auto"/>
          </w:divBdr>
        </w:div>
        <w:div w:id="1225212647">
          <w:marLeft w:val="0"/>
          <w:marRight w:val="0"/>
          <w:marTop w:val="0"/>
          <w:marBottom w:val="0"/>
          <w:divBdr>
            <w:top w:val="none" w:sz="0" w:space="0" w:color="auto"/>
            <w:left w:val="none" w:sz="0" w:space="0" w:color="auto"/>
            <w:bottom w:val="none" w:sz="0" w:space="0" w:color="auto"/>
            <w:right w:val="none" w:sz="0" w:space="0" w:color="auto"/>
          </w:divBdr>
        </w:div>
        <w:div w:id="1294019952">
          <w:marLeft w:val="0"/>
          <w:marRight w:val="0"/>
          <w:marTop w:val="0"/>
          <w:marBottom w:val="0"/>
          <w:divBdr>
            <w:top w:val="none" w:sz="0" w:space="0" w:color="auto"/>
            <w:left w:val="none" w:sz="0" w:space="0" w:color="auto"/>
            <w:bottom w:val="none" w:sz="0" w:space="0" w:color="auto"/>
            <w:right w:val="none" w:sz="0" w:space="0" w:color="auto"/>
          </w:divBdr>
        </w:div>
        <w:div w:id="1609586327">
          <w:marLeft w:val="0"/>
          <w:marRight w:val="0"/>
          <w:marTop w:val="0"/>
          <w:marBottom w:val="0"/>
          <w:divBdr>
            <w:top w:val="none" w:sz="0" w:space="0" w:color="auto"/>
            <w:left w:val="none" w:sz="0" w:space="0" w:color="auto"/>
            <w:bottom w:val="none" w:sz="0" w:space="0" w:color="auto"/>
            <w:right w:val="none" w:sz="0" w:space="0" w:color="auto"/>
          </w:divBdr>
        </w:div>
      </w:divsChild>
    </w:div>
    <w:div w:id="641929727">
      <w:bodyDiv w:val="1"/>
      <w:marLeft w:val="0"/>
      <w:marRight w:val="0"/>
      <w:marTop w:val="0"/>
      <w:marBottom w:val="0"/>
      <w:divBdr>
        <w:top w:val="none" w:sz="0" w:space="0" w:color="auto"/>
        <w:left w:val="none" w:sz="0" w:space="0" w:color="auto"/>
        <w:bottom w:val="none" w:sz="0" w:space="0" w:color="auto"/>
        <w:right w:val="none" w:sz="0" w:space="0" w:color="auto"/>
      </w:divBdr>
    </w:div>
    <w:div w:id="661741656">
      <w:bodyDiv w:val="1"/>
      <w:marLeft w:val="0"/>
      <w:marRight w:val="0"/>
      <w:marTop w:val="0"/>
      <w:marBottom w:val="0"/>
      <w:divBdr>
        <w:top w:val="none" w:sz="0" w:space="0" w:color="auto"/>
        <w:left w:val="none" w:sz="0" w:space="0" w:color="auto"/>
        <w:bottom w:val="none" w:sz="0" w:space="0" w:color="auto"/>
        <w:right w:val="none" w:sz="0" w:space="0" w:color="auto"/>
      </w:divBdr>
    </w:div>
    <w:div w:id="715662843">
      <w:bodyDiv w:val="1"/>
      <w:marLeft w:val="0"/>
      <w:marRight w:val="0"/>
      <w:marTop w:val="0"/>
      <w:marBottom w:val="0"/>
      <w:divBdr>
        <w:top w:val="none" w:sz="0" w:space="0" w:color="auto"/>
        <w:left w:val="none" w:sz="0" w:space="0" w:color="auto"/>
        <w:bottom w:val="none" w:sz="0" w:space="0" w:color="auto"/>
        <w:right w:val="none" w:sz="0" w:space="0" w:color="auto"/>
      </w:divBdr>
      <w:divsChild>
        <w:div w:id="315957174">
          <w:marLeft w:val="1699"/>
          <w:marRight w:val="0"/>
          <w:marTop w:val="77"/>
          <w:marBottom w:val="0"/>
          <w:divBdr>
            <w:top w:val="none" w:sz="0" w:space="0" w:color="auto"/>
            <w:left w:val="none" w:sz="0" w:space="0" w:color="auto"/>
            <w:bottom w:val="none" w:sz="0" w:space="0" w:color="auto"/>
            <w:right w:val="none" w:sz="0" w:space="0" w:color="auto"/>
          </w:divBdr>
        </w:div>
      </w:divsChild>
    </w:div>
    <w:div w:id="762998266">
      <w:bodyDiv w:val="1"/>
      <w:marLeft w:val="0"/>
      <w:marRight w:val="0"/>
      <w:marTop w:val="0"/>
      <w:marBottom w:val="0"/>
      <w:divBdr>
        <w:top w:val="none" w:sz="0" w:space="0" w:color="auto"/>
        <w:left w:val="none" w:sz="0" w:space="0" w:color="auto"/>
        <w:bottom w:val="none" w:sz="0" w:space="0" w:color="auto"/>
        <w:right w:val="none" w:sz="0" w:space="0" w:color="auto"/>
      </w:divBdr>
      <w:divsChild>
        <w:div w:id="77606195">
          <w:marLeft w:val="0"/>
          <w:marRight w:val="0"/>
          <w:marTop w:val="0"/>
          <w:marBottom w:val="0"/>
          <w:divBdr>
            <w:top w:val="none" w:sz="0" w:space="0" w:color="auto"/>
            <w:left w:val="none" w:sz="0" w:space="0" w:color="auto"/>
            <w:bottom w:val="none" w:sz="0" w:space="0" w:color="auto"/>
            <w:right w:val="none" w:sz="0" w:space="0" w:color="auto"/>
          </w:divBdr>
        </w:div>
        <w:div w:id="94831295">
          <w:marLeft w:val="0"/>
          <w:marRight w:val="0"/>
          <w:marTop w:val="0"/>
          <w:marBottom w:val="0"/>
          <w:divBdr>
            <w:top w:val="none" w:sz="0" w:space="0" w:color="auto"/>
            <w:left w:val="none" w:sz="0" w:space="0" w:color="auto"/>
            <w:bottom w:val="none" w:sz="0" w:space="0" w:color="auto"/>
            <w:right w:val="none" w:sz="0" w:space="0" w:color="auto"/>
          </w:divBdr>
        </w:div>
        <w:div w:id="257300635">
          <w:marLeft w:val="0"/>
          <w:marRight w:val="0"/>
          <w:marTop w:val="0"/>
          <w:marBottom w:val="0"/>
          <w:divBdr>
            <w:top w:val="none" w:sz="0" w:space="0" w:color="auto"/>
            <w:left w:val="none" w:sz="0" w:space="0" w:color="auto"/>
            <w:bottom w:val="none" w:sz="0" w:space="0" w:color="auto"/>
            <w:right w:val="none" w:sz="0" w:space="0" w:color="auto"/>
          </w:divBdr>
        </w:div>
        <w:div w:id="278998007">
          <w:marLeft w:val="0"/>
          <w:marRight w:val="0"/>
          <w:marTop w:val="0"/>
          <w:marBottom w:val="0"/>
          <w:divBdr>
            <w:top w:val="none" w:sz="0" w:space="0" w:color="auto"/>
            <w:left w:val="none" w:sz="0" w:space="0" w:color="auto"/>
            <w:bottom w:val="none" w:sz="0" w:space="0" w:color="auto"/>
            <w:right w:val="none" w:sz="0" w:space="0" w:color="auto"/>
          </w:divBdr>
        </w:div>
        <w:div w:id="582229015">
          <w:marLeft w:val="0"/>
          <w:marRight w:val="0"/>
          <w:marTop w:val="0"/>
          <w:marBottom w:val="0"/>
          <w:divBdr>
            <w:top w:val="none" w:sz="0" w:space="0" w:color="auto"/>
            <w:left w:val="none" w:sz="0" w:space="0" w:color="auto"/>
            <w:bottom w:val="none" w:sz="0" w:space="0" w:color="auto"/>
            <w:right w:val="none" w:sz="0" w:space="0" w:color="auto"/>
          </w:divBdr>
        </w:div>
        <w:div w:id="724446738">
          <w:marLeft w:val="0"/>
          <w:marRight w:val="0"/>
          <w:marTop w:val="0"/>
          <w:marBottom w:val="0"/>
          <w:divBdr>
            <w:top w:val="none" w:sz="0" w:space="0" w:color="auto"/>
            <w:left w:val="none" w:sz="0" w:space="0" w:color="auto"/>
            <w:bottom w:val="none" w:sz="0" w:space="0" w:color="auto"/>
            <w:right w:val="none" w:sz="0" w:space="0" w:color="auto"/>
          </w:divBdr>
        </w:div>
        <w:div w:id="1124882154">
          <w:marLeft w:val="0"/>
          <w:marRight w:val="0"/>
          <w:marTop w:val="0"/>
          <w:marBottom w:val="0"/>
          <w:divBdr>
            <w:top w:val="none" w:sz="0" w:space="0" w:color="auto"/>
            <w:left w:val="none" w:sz="0" w:space="0" w:color="auto"/>
            <w:bottom w:val="none" w:sz="0" w:space="0" w:color="auto"/>
            <w:right w:val="none" w:sz="0" w:space="0" w:color="auto"/>
          </w:divBdr>
        </w:div>
        <w:div w:id="1310135477">
          <w:marLeft w:val="0"/>
          <w:marRight w:val="0"/>
          <w:marTop w:val="0"/>
          <w:marBottom w:val="0"/>
          <w:divBdr>
            <w:top w:val="none" w:sz="0" w:space="0" w:color="auto"/>
            <w:left w:val="none" w:sz="0" w:space="0" w:color="auto"/>
            <w:bottom w:val="none" w:sz="0" w:space="0" w:color="auto"/>
            <w:right w:val="none" w:sz="0" w:space="0" w:color="auto"/>
          </w:divBdr>
        </w:div>
        <w:div w:id="1316950376">
          <w:marLeft w:val="0"/>
          <w:marRight w:val="0"/>
          <w:marTop w:val="0"/>
          <w:marBottom w:val="0"/>
          <w:divBdr>
            <w:top w:val="none" w:sz="0" w:space="0" w:color="auto"/>
            <w:left w:val="none" w:sz="0" w:space="0" w:color="auto"/>
            <w:bottom w:val="none" w:sz="0" w:space="0" w:color="auto"/>
            <w:right w:val="none" w:sz="0" w:space="0" w:color="auto"/>
          </w:divBdr>
        </w:div>
        <w:div w:id="1490511565">
          <w:marLeft w:val="0"/>
          <w:marRight w:val="0"/>
          <w:marTop w:val="0"/>
          <w:marBottom w:val="0"/>
          <w:divBdr>
            <w:top w:val="none" w:sz="0" w:space="0" w:color="auto"/>
            <w:left w:val="none" w:sz="0" w:space="0" w:color="auto"/>
            <w:bottom w:val="none" w:sz="0" w:space="0" w:color="auto"/>
            <w:right w:val="none" w:sz="0" w:space="0" w:color="auto"/>
          </w:divBdr>
        </w:div>
        <w:div w:id="1574075006">
          <w:marLeft w:val="0"/>
          <w:marRight w:val="0"/>
          <w:marTop w:val="0"/>
          <w:marBottom w:val="0"/>
          <w:divBdr>
            <w:top w:val="none" w:sz="0" w:space="0" w:color="auto"/>
            <w:left w:val="none" w:sz="0" w:space="0" w:color="auto"/>
            <w:bottom w:val="none" w:sz="0" w:space="0" w:color="auto"/>
            <w:right w:val="none" w:sz="0" w:space="0" w:color="auto"/>
          </w:divBdr>
        </w:div>
        <w:div w:id="1584993387">
          <w:marLeft w:val="0"/>
          <w:marRight w:val="0"/>
          <w:marTop w:val="0"/>
          <w:marBottom w:val="0"/>
          <w:divBdr>
            <w:top w:val="none" w:sz="0" w:space="0" w:color="auto"/>
            <w:left w:val="none" w:sz="0" w:space="0" w:color="auto"/>
            <w:bottom w:val="none" w:sz="0" w:space="0" w:color="auto"/>
            <w:right w:val="none" w:sz="0" w:space="0" w:color="auto"/>
          </w:divBdr>
        </w:div>
        <w:div w:id="1610089340">
          <w:marLeft w:val="0"/>
          <w:marRight w:val="0"/>
          <w:marTop w:val="0"/>
          <w:marBottom w:val="0"/>
          <w:divBdr>
            <w:top w:val="none" w:sz="0" w:space="0" w:color="auto"/>
            <w:left w:val="none" w:sz="0" w:space="0" w:color="auto"/>
            <w:bottom w:val="none" w:sz="0" w:space="0" w:color="auto"/>
            <w:right w:val="none" w:sz="0" w:space="0" w:color="auto"/>
          </w:divBdr>
        </w:div>
        <w:div w:id="1705397840">
          <w:marLeft w:val="0"/>
          <w:marRight w:val="0"/>
          <w:marTop w:val="0"/>
          <w:marBottom w:val="0"/>
          <w:divBdr>
            <w:top w:val="none" w:sz="0" w:space="0" w:color="auto"/>
            <w:left w:val="none" w:sz="0" w:space="0" w:color="auto"/>
            <w:bottom w:val="none" w:sz="0" w:space="0" w:color="auto"/>
            <w:right w:val="none" w:sz="0" w:space="0" w:color="auto"/>
          </w:divBdr>
        </w:div>
        <w:div w:id="1763522838">
          <w:marLeft w:val="0"/>
          <w:marRight w:val="0"/>
          <w:marTop w:val="0"/>
          <w:marBottom w:val="0"/>
          <w:divBdr>
            <w:top w:val="none" w:sz="0" w:space="0" w:color="auto"/>
            <w:left w:val="none" w:sz="0" w:space="0" w:color="auto"/>
            <w:bottom w:val="none" w:sz="0" w:space="0" w:color="auto"/>
            <w:right w:val="none" w:sz="0" w:space="0" w:color="auto"/>
          </w:divBdr>
        </w:div>
        <w:div w:id="1777404477">
          <w:marLeft w:val="0"/>
          <w:marRight w:val="0"/>
          <w:marTop w:val="0"/>
          <w:marBottom w:val="0"/>
          <w:divBdr>
            <w:top w:val="none" w:sz="0" w:space="0" w:color="auto"/>
            <w:left w:val="none" w:sz="0" w:space="0" w:color="auto"/>
            <w:bottom w:val="none" w:sz="0" w:space="0" w:color="auto"/>
            <w:right w:val="none" w:sz="0" w:space="0" w:color="auto"/>
          </w:divBdr>
        </w:div>
        <w:div w:id="1813718355">
          <w:marLeft w:val="0"/>
          <w:marRight w:val="0"/>
          <w:marTop w:val="0"/>
          <w:marBottom w:val="0"/>
          <w:divBdr>
            <w:top w:val="none" w:sz="0" w:space="0" w:color="auto"/>
            <w:left w:val="none" w:sz="0" w:space="0" w:color="auto"/>
            <w:bottom w:val="none" w:sz="0" w:space="0" w:color="auto"/>
            <w:right w:val="none" w:sz="0" w:space="0" w:color="auto"/>
          </w:divBdr>
        </w:div>
        <w:div w:id="1936133100">
          <w:marLeft w:val="0"/>
          <w:marRight w:val="0"/>
          <w:marTop w:val="0"/>
          <w:marBottom w:val="0"/>
          <w:divBdr>
            <w:top w:val="none" w:sz="0" w:space="0" w:color="auto"/>
            <w:left w:val="none" w:sz="0" w:space="0" w:color="auto"/>
            <w:bottom w:val="none" w:sz="0" w:space="0" w:color="auto"/>
            <w:right w:val="none" w:sz="0" w:space="0" w:color="auto"/>
          </w:divBdr>
        </w:div>
        <w:div w:id="2100632565">
          <w:marLeft w:val="0"/>
          <w:marRight w:val="0"/>
          <w:marTop w:val="0"/>
          <w:marBottom w:val="0"/>
          <w:divBdr>
            <w:top w:val="none" w:sz="0" w:space="0" w:color="auto"/>
            <w:left w:val="none" w:sz="0" w:space="0" w:color="auto"/>
            <w:bottom w:val="none" w:sz="0" w:space="0" w:color="auto"/>
            <w:right w:val="none" w:sz="0" w:space="0" w:color="auto"/>
          </w:divBdr>
        </w:div>
        <w:div w:id="2119253993">
          <w:marLeft w:val="0"/>
          <w:marRight w:val="0"/>
          <w:marTop w:val="0"/>
          <w:marBottom w:val="0"/>
          <w:divBdr>
            <w:top w:val="none" w:sz="0" w:space="0" w:color="auto"/>
            <w:left w:val="none" w:sz="0" w:space="0" w:color="auto"/>
            <w:bottom w:val="none" w:sz="0" w:space="0" w:color="auto"/>
            <w:right w:val="none" w:sz="0" w:space="0" w:color="auto"/>
          </w:divBdr>
        </w:div>
      </w:divsChild>
    </w:div>
    <w:div w:id="815146753">
      <w:bodyDiv w:val="1"/>
      <w:marLeft w:val="0"/>
      <w:marRight w:val="0"/>
      <w:marTop w:val="0"/>
      <w:marBottom w:val="0"/>
      <w:divBdr>
        <w:top w:val="none" w:sz="0" w:space="0" w:color="auto"/>
        <w:left w:val="none" w:sz="0" w:space="0" w:color="auto"/>
        <w:bottom w:val="none" w:sz="0" w:space="0" w:color="auto"/>
        <w:right w:val="none" w:sz="0" w:space="0" w:color="auto"/>
      </w:divBdr>
    </w:div>
    <w:div w:id="816722861">
      <w:bodyDiv w:val="1"/>
      <w:marLeft w:val="0"/>
      <w:marRight w:val="0"/>
      <w:marTop w:val="0"/>
      <w:marBottom w:val="0"/>
      <w:divBdr>
        <w:top w:val="none" w:sz="0" w:space="0" w:color="auto"/>
        <w:left w:val="none" w:sz="0" w:space="0" w:color="auto"/>
        <w:bottom w:val="none" w:sz="0" w:space="0" w:color="auto"/>
        <w:right w:val="none" w:sz="0" w:space="0" w:color="auto"/>
      </w:divBdr>
    </w:div>
    <w:div w:id="820345950">
      <w:bodyDiv w:val="1"/>
      <w:marLeft w:val="0"/>
      <w:marRight w:val="0"/>
      <w:marTop w:val="0"/>
      <w:marBottom w:val="0"/>
      <w:divBdr>
        <w:top w:val="none" w:sz="0" w:space="0" w:color="auto"/>
        <w:left w:val="none" w:sz="0" w:space="0" w:color="auto"/>
        <w:bottom w:val="none" w:sz="0" w:space="0" w:color="auto"/>
        <w:right w:val="none" w:sz="0" w:space="0" w:color="auto"/>
      </w:divBdr>
    </w:div>
    <w:div w:id="834077518">
      <w:bodyDiv w:val="1"/>
      <w:marLeft w:val="0"/>
      <w:marRight w:val="0"/>
      <w:marTop w:val="0"/>
      <w:marBottom w:val="0"/>
      <w:divBdr>
        <w:top w:val="none" w:sz="0" w:space="0" w:color="auto"/>
        <w:left w:val="none" w:sz="0" w:space="0" w:color="auto"/>
        <w:bottom w:val="none" w:sz="0" w:space="0" w:color="auto"/>
        <w:right w:val="none" w:sz="0" w:space="0" w:color="auto"/>
      </w:divBdr>
    </w:div>
    <w:div w:id="867370433">
      <w:bodyDiv w:val="1"/>
      <w:marLeft w:val="0"/>
      <w:marRight w:val="0"/>
      <w:marTop w:val="0"/>
      <w:marBottom w:val="0"/>
      <w:divBdr>
        <w:top w:val="none" w:sz="0" w:space="0" w:color="auto"/>
        <w:left w:val="none" w:sz="0" w:space="0" w:color="auto"/>
        <w:bottom w:val="none" w:sz="0" w:space="0" w:color="auto"/>
        <w:right w:val="none" w:sz="0" w:space="0" w:color="auto"/>
      </w:divBdr>
    </w:div>
    <w:div w:id="904337560">
      <w:bodyDiv w:val="1"/>
      <w:marLeft w:val="0"/>
      <w:marRight w:val="0"/>
      <w:marTop w:val="0"/>
      <w:marBottom w:val="0"/>
      <w:divBdr>
        <w:top w:val="none" w:sz="0" w:space="0" w:color="auto"/>
        <w:left w:val="none" w:sz="0" w:space="0" w:color="auto"/>
        <w:bottom w:val="none" w:sz="0" w:space="0" w:color="auto"/>
        <w:right w:val="none" w:sz="0" w:space="0" w:color="auto"/>
      </w:divBdr>
    </w:div>
    <w:div w:id="925266338">
      <w:bodyDiv w:val="1"/>
      <w:marLeft w:val="0"/>
      <w:marRight w:val="0"/>
      <w:marTop w:val="0"/>
      <w:marBottom w:val="0"/>
      <w:divBdr>
        <w:top w:val="none" w:sz="0" w:space="0" w:color="auto"/>
        <w:left w:val="none" w:sz="0" w:space="0" w:color="auto"/>
        <w:bottom w:val="none" w:sz="0" w:space="0" w:color="auto"/>
        <w:right w:val="none" w:sz="0" w:space="0" w:color="auto"/>
      </w:divBdr>
    </w:div>
    <w:div w:id="988098352">
      <w:bodyDiv w:val="1"/>
      <w:marLeft w:val="0"/>
      <w:marRight w:val="0"/>
      <w:marTop w:val="0"/>
      <w:marBottom w:val="0"/>
      <w:divBdr>
        <w:top w:val="none" w:sz="0" w:space="0" w:color="auto"/>
        <w:left w:val="none" w:sz="0" w:space="0" w:color="auto"/>
        <w:bottom w:val="none" w:sz="0" w:space="0" w:color="auto"/>
        <w:right w:val="none" w:sz="0" w:space="0" w:color="auto"/>
      </w:divBdr>
      <w:divsChild>
        <w:div w:id="293944296">
          <w:marLeft w:val="1699"/>
          <w:marRight w:val="0"/>
          <w:marTop w:val="77"/>
          <w:marBottom w:val="0"/>
          <w:divBdr>
            <w:top w:val="none" w:sz="0" w:space="0" w:color="auto"/>
            <w:left w:val="none" w:sz="0" w:space="0" w:color="auto"/>
            <w:bottom w:val="none" w:sz="0" w:space="0" w:color="auto"/>
            <w:right w:val="none" w:sz="0" w:space="0" w:color="auto"/>
          </w:divBdr>
        </w:div>
      </w:divsChild>
    </w:div>
    <w:div w:id="1009942383">
      <w:bodyDiv w:val="1"/>
      <w:marLeft w:val="0"/>
      <w:marRight w:val="0"/>
      <w:marTop w:val="0"/>
      <w:marBottom w:val="0"/>
      <w:divBdr>
        <w:top w:val="none" w:sz="0" w:space="0" w:color="auto"/>
        <w:left w:val="none" w:sz="0" w:space="0" w:color="auto"/>
        <w:bottom w:val="none" w:sz="0" w:space="0" w:color="auto"/>
        <w:right w:val="none" w:sz="0" w:space="0" w:color="auto"/>
      </w:divBdr>
    </w:div>
    <w:div w:id="1071586065">
      <w:bodyDiv w:val="1"/>
      <w:marLeft w:val="0"/>
      <w:marRight w:val="0"/>
      <w:marTop w:val="0"/>
      <w:marBottom w:val="0"/>
      <w:divBdr>
        <w:top w:val="none" w:sz="0" w:space="0" w:color="auto"/>
        <w:left w:val="none" w:sz="0" w:space="0" w:color="auto"/>
        <w:bottom w:val="none" w:sz="0" w:space="0" w:color="auto"/>
        <w:right w:val="none" w:sz="0" w:space="0" w:color="auto"/>
      </w:divBdr>
      <w:divsChild>
        <w:div w:id="1033730422">
          <w:marLeft w:val="0"/>
          <w:marRight w:val="0"/>
          <w:marTop w:val="0"/>
          <w:marBottom w:val="120"/>
          <w:divBdr>
            <w:top w:val="none" w:sz="0" w:space="0" w:color="auto"/>
            <w:left w:val="none" w:sz="0" w:space="0" w:color="auto"/>
            <w:bottom w:val="none" w:sz="0" w:space="0" w:color="auto"/>
            <w:right w:val="none" w:sz="0" w:space="0" w:color="auto"/>
          </w:divBdr>
        </w:div>
        <w:div w:id="1217014762">
          <w:marLeft w:val="0"/>
          <w:marRight w:val="0"/>
          <w:marTop w:val="0"/>
          <w:marBottom w:val="120"/>
          <w:divBdr>
            <w:top w:val="none" w:sz="0" w:space="0" w:color="auto"/>
            <w:left w:val="none" w:sz="0" w:space="0" w:color="auto"/>
            <w:bottom w:val="none" w:sz="0" w:space="0" w:color="auto"/>
            <w:right w:val="none" w:sz="0" w:space="0" w:color="auto"/>
          </w:divBdr>
        </w:div>
      </w:divsChild>
    </w:div>
    <w:div w:id="1089040705">
      <w:bodyDiv w:val="1"/>
      <w:marLeft w:val="0"/>
      <w:marRight w:val="0"/>
      <w:marTop w:val="0"/>
      <w:marBottom w:val="0"/>
      <w:divBdr>
        <w:top w:val="none" w:sz="0" w:space="0" w:color="auto"/>
        <w:left w:val="none" w:sz="0" w:space="0" w:color="auto"/>
        <w:bottom w:val="none" w:sz="0" w:space="0" w:color="auto"/>
        <w:right w:val="none" w:sz="0" w:space="0" w:color="auto"/>
      </w:divBdr>
    </w:div>
    <w:div w:id="1119179653">
      <w:bodyDiv w:val="1"/>
      <w:marLeft w:val="0"/>
      <w:marRight w:val="0"/>
      <w:marTop w:val="0"/>
      <w:marBottom w:val="0"/>
      <w:divBdr>
        <w:top w:val="none" w:sz="0" w:space="0" w:color="auto"/>
        <w:left w:val="none" w:sz="0" w:space="0" w:color="auto"/>
        <w:bottom w:val="none" w:sz="0" w:space="0" w:color="auto"/>
        <w:right w:val="none" w:sz="0" w:space="0" w:color="auto"/>
      </w:divBdr>
      <w:divsChild>
        <w:div w:id="479003491">
          <w:marLeft w:val="0"/>
          <w:marRight w:val="0"/>
          <w:marTop w:val="0"/>
          <w:marBottom w:val="0"/>
          <w:divBdr>
            <w:top w:val="none" w:sz="0" w:space="0" w:color="auto"/>
            <w:left w:val="none" w:sz="0" w:space="0" w:color="auto"/>
            <w:bottom w:val="none" w:sz="0" w:space="0" w:color="auto"/>
            <w:right w:val="none" w:sz="0" w:space="0" w:color="auto"/>
          </w:divBdr>
        </w:div>
        <w:div w:id="500970278">
          <w:marLeft w:val="0"/>
          <w:marRight w:val="0"/>
          <w:marTop w:val="0"/>
          <w:marBottom w:val="0"/>
          <w:divBdr>
            <w:top w:val="none" w:sz="0" w:space="0" w:color="auto"/>
            <w:left w:val="none" w:sz="0" w:space="0" w:color="auto"/>
            <w:bottom w:val="none" w:sz="0" w:space="0" w:color="auto"/>
            <w:right w:val="none" w:sz="0" w:space="0" w:color="auto"/>
          </w:divBdr>
        </w:div>
        <w:div w:id="1140801668">
          <w:marLeft w:val="0"/>
          <w:marRight w:val="0"/>
          <w:marTop w:val="0"/>
          <w:marBottom w:val="0"/>
          <w:divBdr>
            <w:top w:val="none" w:sz="0" w:space="0" w:color="auto"/>
            <w:left w:val="none" w:sz="0" w:space="0" w:color="auto"/>
            <w:bottom w:val="none" w:sz="0" w:space="0" w:color="auto"/>
            <w:right w:val="none" w:sz="0" w:space="0" w:color="auto"/>
          </w:divBdr>
        </w:div>
        <w:div w:id="1791120088">
          <w:marLeft w:val="0"/>
          <w:marRight w:val="0"/>
          <w:marTop w:val="0"/>
          <w:marBottom w:val="0"/>
          <w:divBdr>
            <w:top w:val="none" w:sz="0" w:space="0" w:color="auto"/>
            <w:left w:val="none" w:sz="0" w:space="0" w:color="auto"/>
            <w:bottom w:val="none" w:sz="0" w:space="0" w:color="auto"/>
            <w:right w:val="none" w:sz="0" w:space="0" w:color="auto"/>
          </w:divBdr>
        </w:div>
      </w:divsChild>
    </w:div>
    <w:div w:id="1168861611">
      <w:bodyDiv w:val="1"/>
      <w:marLeft w:val="0"/>
      <w:marRight w:val="0"/>
      <w:marTop w:val="0"/>
      <w:marBottom w:val="0"/>
      <w:divBdr>
        <w:top w:val="none" w:sz="0" w:space="0" w:color="auto"/>
        <w:left w:val="none" w:sz="0" w:space="0" w:color="auto"/>
        <w:bottom w:val="none" w:sz="0" w:space="0" w:color="auto"/>
        <w:right w:val="none" w:sz="0" w:space="0" w:color="auto"/>
      </w:divBdr>
    </w:div>
    <w:div w:id="1172256306">
      <w:bodyDiv w:val="1"/>
      <w:marLeft w:val="0"/>
      <w:marRight w:val="0"/>
      <w:marTop w:val="0"/>
      <w:marBottom w:val="0"/>
      <w:divBdr>
        <w:top w:val="none" w:sz="0" w:space="0" w:color="auto"/>
        <w:left w:val="none" w:sz="0" w:space="0" w:color="auto"/>
        <w:bottom w:val="none" w:sz="0" w:space="0" w:color="auto"/>
        <w:right w:val="none" w:sz="0" w:space="0" w:color="auto"/>
      </w:divBdr>
    </w:div>
    <w:div w:id="1243222992">
      <w:bodyDiv w:val="1"/>
      <w:marLeft w:val="0"/>
      <w:marRight w:val="0"/>
      <w:marTop w:val="0"/>
      <w:marBottom w:val="0"/>
      <w:divBdr>
        <w:top w:val="none" w:sz="0" w:space="0" w:color="auto"/>
        <w:left w:val="none" w:sz="0" w:space="0" w:color="auto"/>
        <w:bottom w:val="none" w:sz="0" w:space="0" w:color="auto"/>
        <w:right w:val="none" w:sz="0" w:space="0" w:color="auto"/>
      </w:divBdr>
    </w:div>
    <w:div w:id="1251084364">
      <w:bodyDiv w:val="1"/>
      <w:marLeft w:val="0"/>
      <w:marRight w:val="0"/>
      <w:marTop w:val="0"/>
      <w:marBottom w:val="0"/>
      <w:divBdr>
        <w:top w:val="none" w:sz="0" w:space="0" w:color="auto"/>
        <w:left w:val="none" w:sz="0" w:space="0" w:color="auto"/>
        <w:bottom w:val="none" w:sz="0" w:space="0" w:color="auto"/>
        <w:right w:val="none" w:sz="0" w:space="0" w:color="auto"/>
      </w:divBdr>
    </w:div>
    <w:div w:id="1313364499">
      <w:bodyDiv w:val="1"/>
      <w:marLeft w:val="0"/>
      <w:marRight w:val="0"/>
      <w:marTop w:val="0"/>
      <w:marBottom w:val="0"/>
      <w:divBdr>
        <w:top w:val="none" w:sz="0" w:space="0" w:color="auto"/>
        <w:left w:val="none" w:sz="0" w:space="0" w:color="auto"/>
        <w:bottom w:val="none" w:sz="0" w:space="0" w:color="auto"/>
        <w:right w:val="none" w:sz="0" w:space="0" w:color="auto"/>
      </w:divBdr>
    </w:div>
    <w:div w:id="1323239998">
      <w:bodyDiv w:val="1"/>
      <w:marLeft w:val="0"/>
      <w:marRight w:val="0"/>
      <w:marTop w:val="0"/>
      <w:marBottom w:val="0"/>
      <w:divBdr>
        <w:top w:val="none" w:sz="0" w:space="0" w:color="auto"/>
        <w:left w:val="none" w:sz="0" w:space="0" w:color="auto"/>
        <w:bottom w:val="none" w:sz="0" w:space="0" w:color="auto"/>
        <w:right w:val="none" w:sz="0" w:space="0" w:color="auto"/>
      </w:divBdr>
    </w:div>
    <w:div w:id="1379622789">
      <w:bodyDiv w:val="1"/>
      <w:marLeft w:val="0"/>
      <w:marRight w:val="0"/>
      <w:marTop w:val="0"/>
      <w:marBottom w:val="0"/>
      <w:divBdr>
        <w:top w:val="none" w:sz="0" w:space="0" w:color="auto"/>
        <w:left w:val="none" w:sz="0" w:space="0" w:color="auto"/>
        <w:bottom w:val="none" w:sz="0" w:space="0" w:color="auto"/>
        <w:right w:val="none" w:sz="0" w:space="0" w:color="auto"/>
      </w:divBdr>
      <w:divsChild>
        <w:div w:id="5911620">
          <w:marLeft w:val="0"/>
          <w:marRight w:val="0"/>
          <w:marTop w:val="0"/>
          <w:marBottom w:val="0"/>
          <w:divBdr>
            <w:top w:val="none" w:sz="0" w:space="0" w:color="auto"/>
            <w:left w:val="none" w:sz="0" w:space="0" w:color="auto"/>
            <w:bottom w:val="none" w:sz="0" w:space="0" w:color="auto"/>
            <w:right w:val="none" w:sz="0" w:space="0" w:color="auto"/>
          </w:divBdr>
        </w:div>
        <w:div w:id="53743856">
          <w:marLeft w:val="0"/>
          <w:marRight w:val="0"/>
          <w:marTop w:val="0"/>
          <w:marBottom w:val="0"/>
          <w:divBdr>
            <w:top w:val="none" w:sz="0" w:space="0" w:color="auto"/>
            <w:left w:val="none" w:sz="0" w:space="0" w:color="auto"/>
            <w:bottom w:val="none" w:sz="0" w:space="0" w:color="auto"/>
            <w:right w:val="none" w:sz="0" w:space="0" w:color="auto"/>
          </w:divBdr>
        </w:div>
        <w:div w:id="66928197">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200362013">
          <w:marLeft w:val="0"/>
          <w:marRight w:val="0"/>
          <w:marTop w:val="0"/>
          <w:marBottom w:val="0"/>
          <w:divBdr>
            <w:top w:val="none" w:sz="0" w:space="0" w:color="auto"/>
            <w:left w:val="none" w:sz="0" w:space="0" w:color="auto"/>
            <w:bottom w:val="none" w:sz="0" w:space="0" w:color="auto"/>
            <w:right w:val="none" w:sz="0" w:space="0" w:color="auto"/>
          </w:divBdr>
        </w:div>
        <w:div w:id="234098420">
          <w:marLeft w:val="0"/>
          <w:marRight w:val="0"/>
          <w:marTop w:val="0"/>
          <w:marBottom w:val="0"/>
          <w:divBdr>
            <w:top w:val="none" w:sz="0" w:space="0" w:color="auto"/>
            <w:left w:val="none" w:sz="0" w:space="0" w:color="auto"/>
            <w:bottom w:val="none" w:sz="0" w:space="0" w:color="auto"/>
            <w:right w:val="none" w:sz="0" w:space="0" w:color="auto"/>
          </w:divBdr>
        </w:div>
        <w:div w:id="401828781">
          <w:marLeft w:val="0"/>
          <w:marRight w:val="0"/>
          <w:marTop w:val="0"/>
          <w:marBottom w:val="0"/>
          <w:divBdr>
            <w:top w:val="none" w:sz="0" w:space="0" w:color="auto"/>
            <w:left w:val="none" w:sz="0" w:space="0" w:color="auto"/>
            <w:bottom w:val="none" w:sz="0" w:space="0" w:color="auto"/>
            <w:right w:val="none" w:sz="0" w:space="0" w:color="auto"/>
          </w:divBdr>
        </w:div>
        <w:div w:id="413433247">
          <w:marLeft w:val="0"/>
          <w:marRight w:val="0"/>
          <w:marTop w:val="0"/>
          <w:marBottom w:val="0"/>
          <w:divBdr>
            <w:top w:val="none" w:sz="0" w:space="0" w:color="auto"/>
            <w:left w:val="none" w:sz="0" w:space="0" w:color="auto"/>
            <w:bottom w:val="none" w:sz="0" w:space="0" w:color="auto"/>
            <w:right w:val="none" w:sz="0" w:space="0" w:color="auto"/>
          </w:divBdr>
        </w:div>
        <w:div w:id="433327199">
          <w:marLeft w:val="0"/>
          <w:marRight w:val="0"/>
          <w:marTop w:val="0"/>
          <w:marBottom w:val="0"/>
          <w:divBdr>
            <w:top w:val="none" w:sz="0" w:space="0" w:color="auto"/>
            <w:left w:val="none" w:sz="0" w:space="0" w:color="auto"/>
            <w:bottom w:val="none" w:sz="0" w:space="0" w:color="auto"/>
            <w:right w:val="none" w:sz="0" w:space="0" w:color="auto"/>
          </w:divBdr>
        </w:div>
        <w:div w:id="438061020">
          <w:marLeft w:val="0"/>
          <w:marRight w:val="0"/>
          <w:marTop w:val="0"/>
          <w:marBottom w:val="0"/>
          <w:divBdr>
            <w:top w:val="none" w:sz="0" w:space="0" w:color="auto"/>
            <w:left w:val="none" w:sz="0" w:space="0" w:color="auto"/>
            <w:bottom w:val="none" w:sz="0" w:space="0" w:color="auto"/>
            <w:right w:val="none" w:sz="0" w:space="0" w:color="auto"/>
          </w:divBdr>
        </w:div>
        <w:div w:id="438839518">
          <w:marLeft w:val="0"/>
          <w:marRight w:val="0"/>
          <w:marTop w:val="0"/>
          <w:marBottom w:val="0"/>
          <w:divBdr>
            <w:top w:val="none" w:sz="0" w:space="0" w:color="auto"/>
            <w:left w:val="none" w:sz="0" w:space="0" w:color="auto"/>
            <w:bottom w:val="none" w:sz="0" w:space="0" w:color="auto"/>
            <w:right w:val="none" w:sz="0" w:space="0" w:color="auto"/>
          </w:divBdr>
        </w:div>
        <w:div w:id="453794241">
          <w:marLeft w:val="0"/>
          <w:marRight w:val="0"/>
          <w:marTop w:val="0"/>
          <w:marBottom w:val="0"/>
          <w:divBdr>
            <w:top w:val="none" w:sz="0" w:space="0" w:color="auto"/>
            <w:left w:val="none" w:sz="0" w:space="0" w:color="auto"/>
            <w:bottom w:val="none" w:sz="0" w:space="0" w:color="auto"/>
            <w:right w:val="none" w:sz="0" w:space="0" w:color="auto"/>
          </w:divBdr>
        </w:div>
        <w:div w:id="465050616">
          <w:marLeft w:val="0"/>
          <w:marRight w:val="0"/>
          <w:marTop w:val="0"/>
          <w:marBottom w:val="0"/>
          <w:divBdr>
            <w:top w:val="none" w:sz="0" w:space="0" w:color="auto"/>
            <w:left w:val="none" w:sz="0" w:space="0" w:color="auto"/>
            <w:bottom w:val="none" w:sz="0" w:space="0" w:color="auto"/>
            <w:right w:val="none" w:sz="0" w:space="0" w:color="auto"/>
          </w:divBdr>
        </w:div>
        <w:div w:id="490216857">
          <w:marLeft w:val="0"/>
          <w:marRight w:val="0"/>
          <w:marTop w:val="0"/>
          <w:marBottom w:val="0"/>
          <w:divBdr>
            <w:top w:val="none" w:sz="0" w:space="0" w:color="auto"/>
            <w:left w:val="none" w:sz="0" w:space="0" w:color="auto"/>
            <w:bottom w:val="none" w:sz="0" w:space="0" w:color="auto"/>
            <w:right w:val="none" w:sz="0" w:space="0" w:color="auto"/>
          </w:divBdr>
        </w:div>
        <w:div w:id="509218239">
          <w:marLeft w:val="0"/>
          <w:marRight w:val="0"/>
          <w:marTop w:val="0"/>
          <w:marBottom w:val="0"/>
          <w:divBdr>
            <w:top w:val="none" w:sz="0" w:space="0" w:color="auto"/>
            <w:left w:val="none" w:sz="0" w:space="0" w:color="auto"/>
            <w:bottom w:val="none" w:sz="0" w:space="0" w:color="auto"/>
            <w:right w:val="none" w:sz="0" w:space="0" w:color="auto"/>
          </w:divBdr>
        </w:div>
        <w:div w:id="526257546">
          <w:marLeft w:val="0"/>
          <w:marRight w:val="0"/>
          <w:marTop w:val="0"/>
          <w:marBottom w:val="0"/>
          <w:divBdr>
            <w:top w:val="none" w:sz="0" w:space="0" w:color="auto"/>
            <w:left w:val="none" w:sz="0" w:space="0" w:color="auto"/>
            <w:bottom w:val="none" w:sz="0" w:space="0" w:color="auto"/>
            <w:right w:val="none" w:sz="0" w:space="0" w:color="auto"/>
          </w:divBdr>
        </w:div>
        <w:div w:id="555165656">
          <w:marLeft w:val="0"/>
          <w:marRight w:val="0"/>
          <w:marTop w:val="0"/>
          <w:marBottom w:val="0"/>
          <w:divBdr>
            <w:top w:val="none" w:sz="0" w:space="0" w:color="auto"/>
            <w:left w:val="none" w:sz="0" w:space="0" w:color="auto"/>
            <w:bottom w:val="none" w:sz="0" w:space="0" w:color="auto"/>
            <w:right w:val="none" w:sz="0" w:space="0" w:color="auto"/>
          </w:divBdr>
        </w:div>
        <w:div w:id="567153173">
          <w:marLeft w:val="0"/>
          <w:marRight w:val="0"/>
          <w:marTop w:val="0"/>
          <w:marBottom w:val="0"/>
          <w:divBdr>
            <w:top w:val="none" w:sz="0" w:space="0" w:color="auto"/>
            <w:left w:val="none" w:sz="0" w:space="0" w:color="auto"/>
            <w:bottom w:val="none" w:sz="0" w:space="0" w:color="auto"/>
            <w:right w:val="none" w:sz="0" w:space="0" w:color="auto"/>
          </w:divBdr>
        </w:div>
        <w:div w:id="591473175">
          <w:marLeft w:val="0"/>
          <w:marRight w:val="0"/>
          <w:marTop w:val="0"/>
          <w:marBottom w:val="0"/>
          <w:divBdr>
            <w:top w:val="none" w:sz="0" w:space="0" w:color="auto"/>
            <w:left w:val="none" w:sz="0" w:space="0" w:color="auto"/>
            <w:bottom w:val="none" w:sz="0" w:space="0" w:color="auto"/>
            <w:right w:val="none" w:sz="0" w:space="0" w:color="auto"/>
          </w:divBdr>
        </w:div>
        <w:div w:id="616106161">
          <w:marLeft w:val="0"/>
          <w:marRight w:val="0"/>
          <w:marTop w:val="0"/>
          <w:marBottom w:val="0"/>
          <w:divBdr>
            <w:top w:val="none" w:sz="0" w:space="0" w:color="auto"/>
            <w:left w:val="none" w:sz="0" w:space="0" w:color="auto"/>
            <w:bottom w:val="none" w:sz="0" w:space="0" w:color="auto"/>
            <w:right w:val="none" w:sz="0" w:space="0" w:color="auto"/>
          </w:divBdr>
        </w:div>
        <w:div w:id="616837030">
          <w:marLeft w:val="0"/>
          <w:marRight w:val="0"/>
          <w:marTop w:val="0"/>
          <w:marBottom w:val="0"/>
          <w:divBdr>
            <w:top w:val="none" w:sz="0" w:space="0" w:color="auto"/>
            <w:left w:val="none" w:sz="0" w:space="0" w:color="auto"/>
            <w:bottom w:val="none" w:sz="0" w:space="0" w:color="auto"/>
            <w:right w:val="none" w:sz="0" w:space="0" w:color="auto"/>
          </w:divBdr>
        </w:div>
        <w:div w:id="667944031">
          <w:marLeft w:val="0"/>
          <w:marRight w:val="0"/>
          <w:marTop w:val="0"/>
          <w:marBottom w:val="0"/>
          <w:divBdr>
            <w:top w:val="none" w:sz="0" w:space="0" w:color="auto"/>
            <w:left w:val="none" w:sz="0" w:space="0" w:color="auto"/>
            <w:bottom w:val="none" w:sz="0" w:space="0" w:color="auto"/>
            <w:right w:val="none" w:sz="0" w:space="0" w:color="auto"/>
          </w:divBdr>
        </w:div>
        <w:div w:id="681712569">
          <w:marLeft w:val="0"/>
          <w:marRight w:val="0"/>
          <w:marTop w:val="0"/>
          <w:marBottom w:val="0"/>
          <w:divBdr>
            <w:top w:val="none" w:sz="0" w:space="0" w:color="auto"/>
            <w:left w:val="none" w:sz="0" w:space="0" w:color="auto"/>
            <w:bottom w:val="none" w:sz="0" w:space="0" w:color="auto"/>
            <w:right w:val="none" w:sz="0" w:space="0" w:color="auto"/>
          </w:divBdr>
        </w:div>
        <w:div w:id="708844140">
          <w:marLeft w:val="0"/>
          <w:marRight w:val="0"/>
          <w:marTop w:val="0"/>
          <w:marBottom w:val="0"/>
          <w:divBdr>
            <w:top w:val="none" w:sz="0" w:space="0" w:color="auto"/>
            <w:left w:val="none" w:sz="0" w:space="0" w:color="auto"/>
            <w:bottom w:val="none" w:sz="0" w:space="0" w:color="auto"/>
            <w:right w:val="none" w:sz="0" w:space="0" w:color="auto"/>
          </w:divBdr>
        </w:div>
        <w:div w:id="719011402">
          <w:marLeft w:val="0"/>
          <w:marRight w:val="0"/>
          <w:marTop w:val="0"/>
          <w:marBottom w:val="0"/>
          <w:divBdr>
            <w:top w:val="none" w:sz="0" w:space="0" w:color="auto"/>
            <w:left w:val="none" w:sz="0" w:space="0" w:color="auto"/>
            <w:bottom w:val="none" w:sz="0" w:space="0" w:color="auto"/>
            <w:right w:val="none" w:sz="0" w:space="0" w:color="auto"/>
          </w:divBdr>
        </w:div>
        <w:div w:id="727151675">
          <w:marLeft w:val="0"/>
          <w:marRight w:val="0"/>
          <w:marTop w:val="0"/>
          <w:marBottom w:val="0"/>
          <w:divBdr>
            <w:top w:val="none" w:sz="0" w:space="0" w:color="auto"/>
            <w:left w:val="none" w:sz="0" w:space="0" w:color="auto"/>
            <w:bottom w:val="none" w:sz="0" w:space="0" w:color="auto"/>
            <w:right w:val="none" w:sz="0" w:space="0" w:color="auto"/>
          </w:divBdr>
        </w:div>
        <w:div w:id="787352955">
          <w:marLeft w:val="0"/>
          <w:marRight w:val="0"/>
          <w:marTop w:val="0"/>
          <w:marBottom w:val="0"/>
          <w:divBdr>
            <w:top w:val="none" w:sz="0" w:space="0" w:color="auto"/>
            <w:left w:val="none" w:sz="0" w:space="0" w:color="auto"/>
            <w:bottom w:val="none" w:sz="0" w:space="0" w:color="auto"/>
            <w:right w:val="none" w:sz="0" w:space="0" w:color="auto"/>
          </w:divBdr>
        </w:div>
        <w:div w:id="853692536">
          <w:marLeft w:val="0"/>
          <w:marRight w:val="0"/>
          <w:marTop w:val="0"/>
          <w:marBottom w:val="0"/>
          <w:divBdr>
            <w:top w:val="none" w:sz="0" w:space="0" w:color="auto"/>
            <w:left w:val="none" w:sz="0" w:space="0" w:color="auto"/>
            <w:bottom w:val="none" w:sz="0" w:space="0" w:color="auto"/>
            <w:right w:val="none" w:sz="0" w:space="0" w:color="auto"/>
          </w:divBdr>
        </w:div>
        <w:div w:id="889153910">
          <w:marLeft w:val="0"/>
          <w:marRight w:val="0"/>
          <w:marTop w:val="0"/>
          <w:marBottom w:val="0"/>
          <w:divBdr>
            <w:top w:val="none" w:sz="0" w:space="0" w:color="auto"/>
            <w:left w:val="none" w:sz="0" w:space="0" w:color="auto"/>
            <w:bottom w:val="none" w:sz="0" w:space="0" w:color="auto"/>
            <w:right w:val="none" w:sz="0" w:space="0" w:color="auto"/>
          </w:divBdr>
        </w:div>
        <w:div w:id="940911349">
          <w:marLeft w:val="0"/>
          <w:marRight w:val="0"/>
          <w:marTop w:val="0"/>
          <w:marBottom w:val="0"/>
          <w:divBdr>
            <w:top w:val="none" w:sz="0" w:space="0" w:color="auto"/>
            <w:left w:val="none" w:sz="0" w:space="0" w:color="auto"/>
            <w:bottom w:val="none" w:sz="0" w:space="0" w:color="auto"/>
            <w:right w:val="none" w:sz="0" w:space="0" w:color="auto"/>
          </w:divBdr>
        </w:div>
        <w:div w:id="1022365874">
          <w:marLeft w:val="0"/>
          <w:marRight w:val="0"/>
          <w:marTop w:val="0"/>
          <w:marBottom w:val="0"/>
          <w:divBdr>
            <w:top w:val="none" w:sz="0" w:space="0" w:color="auto"/>
            <w:left w:val="none" w:sz="0" w:space="0" w:color="auto"/>
            <w:bottom w:val="none" w:sz="0" w:space="0" w:color="auto"/>
            <w:right w:val="none" w:sz="0" w:space="0" w:color="auto"/>
          </w:divBdr>
        </w:div>
        <w:div w:id="1103458943">
          <w:marLeft w:val="0"/>
          <w:marRight w:val="0"/>
          <w:marTop w:val="0"/>
          <w:marBottom w:val="0"/>
          <w:divBdr>
            <w:top w:val="none" w:sz="0" w:space="0" w:color="auto"/>
            <w:left w:val="none" w:sz="0" w:space="0" w:color="auto"/>
            <w:bottom w:val="none" w:sz="0" w:space="0" w:color="auto"/>
            <w:right w:val="none" w:sz="0" w:space="0" w:color="auto"/>
          </w:divBdr>
        </w:div>
        <w:div w:id="1134523457">
          <w:marLeft w:val="0"/>
          <w:marRight w:val="0"/>
          <w:marTop w:val="0"/>
          <w:marBottom w:val="0"/>
          <w:divBdr>
            <w:top w:val="none" w:sz="0" w:space="0" w:color="auto"/>
            <w:left w:val="none" w:sz="0" w:space="0" w:color="auto"/>
            <w:bottom w:val="none" w:sz="0" w:space="0" w:color="auto"/>
            <w:right w:val="none" w:sz="0" w:space="0" w:color="auto"/>
          </w:divBdr>
        </w:div>
        <w:div w:id="1137651785">
          <w:marLeft w:val="0"/>
          <w:marRight w:val="0"/>
          <w:marTop w:val="0"/>
          <w:marBottom w:val="0"/>
          <w:divBdr>
            <w:top w:val="none" w:sz="0" w:space="0" w:color="auto"/>
            <w:left w:val="none" w:sz="0" w:space="0" w:color="auto"/>
            <w:bottom w:val="none" w:sz="0" w:space="0" w:color="auto"/>
            <w:right w:val="none" w:sz="0" w:space="0" w:color="auto"/>
          </w:divBdr>
        </w:div>
        <w:div w:id="1179660597">
          <w:marLeft w:val="0"/>
          <w:marRight w:val="0"/>
          <w:marTop w:val="0"/>
          <w:marBottom w:val="0"/>
          <w:divBdr>
            <w:top w:val="none" w:sz="0" w:space="0" w:color="auto"/>
            <w:left w:val="none" w:sz="0" w:space="0" w:color="auto"/>
            <w:bottom w:val="none" w:sz="0" w:space="0" w:color="auto"/>
            <w:right w:val="none" w:sz="0" w:space="0" w:color="auto"/>
          </w:divBdr>
        </w:div>
        <w:div w:id="1200512220">
          <w:marLeft w:val="0"/>
          <w:marRight w:val="0"/>
          <w:marTop w:val="0"/>
          <w:marBottom w:val="0"/>
          <w:divBdr>
            <w:top w:val="none" w:sz="0" w:space="0" w:color="auto"/>
            <w:left w:val="none" w:sz="0" w:space="0" w:color="auto"/>
            <w:bottom w:val="none" w:sz="0" w:space="0" w:color="auto"/>
            <w:right w:val="none" w:sz="0" w:space="0" w:color="auto"/>
          </w:divBdr>
        </w:div>
        <w:div w:id="1226842744">
          <w:marLeft w:val="0"/>
          <w:marRight w:val="0"/>
          <w:marTop w:val="0"/>
          <w:marBottom w:val="0"/>
          <w:divBdr>
            <w:top w:val="none" w:sz="0" w:space="0" w:color="auto"/>
            <w:left w:val="none" w:sz="0" w:space="0" w:color="auto"/>
            <w:bottom w:val="none" w:sz="0" w:space="0" w:color="auto"/>
            <w:right w:val="none" w:sz="0" w:space="0" w:color="auto"/>
          </w:divBdr>
        </w:div>
        <w:div w:id="1242522818">
          <w:marLeft w:val="0"/>
          <w:marRight w:val="0"/>
          <w:marTop w:val="0"/>
          <w:marBottom w:val="0"/>
          <w:divBdr>
            <w:top w:val="none" w:sz="0" w:space="0" w:color="auto"/>
            <w:left w:val="none" w:sz="0" w:space="0" w:color="auto"/>
            <w:bottom w:val="none" w:sz="0" w:space="0" w:color="auto"/>
            <w:right w:val="none" w:sz="0" w:space="0" w:color="auto"/>
          </w:divBdr>
        </w:div>
        <w:div w:id="1248617397">
          <w:marLeft w:val="0"/>
          <w:marRight w:val="0"/>
          <w:marTop w:val="0"/>
          <w:marBottom w:val="0"/>
          <w:divBdr>
            <w:top w:val="none" w:sz="0" w:space="0" w:color="auto"/>
            <w:left w:val="none" w:sz="0" w:space="0" w:color="auto"/>
            <w:bottom w:val="none" w:sz="0" w:space="0" w:color="auto"/>
            <w:right w:val="none" w:sz="0" w:space="0" w:color="auto"/>
          </w:divBdr>
        </w:div>
        <w:div w:id="1270819172">
          <w:marLeft w:val="0"/>
          <w:marRight w:val="0"/>
          <w:marTop w:val="0"/>
          <w:marBottom w:val="0"/>
          <w:divBdr>
            <w:top w:val="none" w:sz="0" w:space="0" w:color="auto"/>
            <w:left w:val="none" w:sz="0" w:space="0" w:color="auto"/>
            <w:bottom w:val="none" w:sz="0" w:space="0" w:color="auto"/>
            <w:right w:val="none" w:sz="0" w:space="0" w:color="auto"/>
          </w:divBdr>
        </w:div>
        <w:div w:id="1282877372">
          <w:marLeft w:val="0"/>
          <w:marRight w:val="0"/>
          <w:marTop w:val="0"/>
          <w:marBottom w:val="0"/>
          <w:divBdr>
            <w:top w:val="none" w:sz="0" w:space="0" w:color="auto"/>
            <w:left w:val="none" w:sz="0" w:space="0" w:color="auto"/>
            <w:bottom w:val="none" w:sz="0" w:space="0" w:color="auto"/>
            <w:right w:val="none" w:sz="0" w:space="0" w:color="auto"/>
          </w:divBdr>
        </w:div>
        <w:div w:id="1405760007">
          <w:marLeft w:val="0"/>
          <w:marRight w:val="0"/>
          <w:marTop w:val="0"/>
          <w:marBottom w:val="0"/>
          <w:divBdr>
            <w:top w:val="none" w:sz="0" w:space="0" w:color="auto"/>
            <w:left w:val="none" w:sz="0" w:space="0" w:color="auto"/>
            <w:bottom w:val="none" w:sz="0" w:space="0" w:color="auto"/>
            <w:right w:val="none" w:sz="0" w:space="0" w:color="auto"/>
          </w:divBdr>
        </w:div>
        <w:div w:id="1411124512">
          <w:marLeft w:val="0"/>
          <w:marRight w:val="0"/>
          <w:marTop w:val="0"/>
          <w:marBottom w:val="0"/>
          <w:divBdr>
            <w:top w:val="none" w:sz="0" w:space="0" w:color="auto"/>
            <w:left w:val="none" w:sz="0" w:space="0" w:color="auto"/>
            <w:bottom w:val="none" w:sz="0" w:space="0" w:color="auto"/>
            <w:right w:val="none" w:sz="0" w:space="0" w:color="auto"/>
          </w:divBdr>
        </w:div>
        <w:div w:id="1424377922">
          <w:marLeft w:val="0"/>
          <w:marRight w:val="0"/>
          <w:marTop w:val="0"/>
          <w:marBottom w:val="0"/>
          <w:divBdr>
            <w:top w:val="none" w:sz="0" w:space="0" w:color="auto"/>
            <w:left w:val="none" w:sz="0" w:space="0" w:color="auto"/>
            <w:bottom w:val="none" w:sz="0" w:space="0" w:color="auto"/>
            <w:right w:val="none" w:sz="0" w:space="0" w:color="auto"/>
          </w:divBdr>
        </w:div>
        <w:div w:id="1438795656">
          <w:marLeft w:val="0"/>
          <w:marRight w:val="0"/>
          <w:marTop w:val="0"/>
          <w:marBottom w:val="0"/>
          <w:divBdr>
            <w:top w:val="none" w:sz="0" w:space="0" w:color="auto"/>
            <w:left w:val="none" w:sz="0" w:space="0" w:color="auto"/>
            <w:bottom w:val="none" w:sz="0" w:space="0" w:color="auto"/>
            <w:right w:val="none" w:sz="0" w:space="0" w:color="auto"/>
          </w:divBdr>
        </w:div>
        <w:div w:id="1467548056">
          <w:marLeft w:val="0"/>
          <w:marRight w:val="0"/>
          <w:marTop w:val="0"/>
          <w:marBottom w:val="0"/>
          <w:divBdr>
            <w:top w:val="none" w:sz="0" w:space="0" w:color="auto"/>
            <w:left w:val="none" w:sz="0" w:space="0" w:color="auto"/>
            <w:bottom w:val="none" w:sz="0" w:space="0" w:color="auto"/>
            <w:right w:val="none" w:sz="0" w:space="0" w:color="auto"/>
          </w:divBdr>
        </w:div>
        <w:div w:id="1495947927">
          <w:marLeft w:val="0"/>
          <w:marRight w:val="0"/>
          <w:marTop w:val="0"/>
          <w:marBottom w:val="0"/>
          <w:divBdr>
            <w:top w:val="none" w:sz="0" w:space="0" w:color="auto"/>
            <w:left w:val="none" w:sz="0" w:space="0" w:color="auto"/>
            <w:bottom w:val="none" w:sz="0" w:space="0" w:color="auto"/>
            <w:right w:val="none" w:sz="0" w:space="0" w:color="auto"/>
          </w:divBdr>
        </w:div>
        <w:div w:id="1499422836">
          <w:marLeft w:val="0"/>
          <w:marRight w:val="0"/>
          <w:marTop w:val="0"/>
          <w:marBottom w:val="0"/>
          <w:divBdr>
            <w:top w:val="none" w:sz="0" w:space="0" w:color="auto"/>
            <w:left w:val="none" w:sz="0" w:space="0" w:color="auto"/>
            <w:bottom w:val="none" w:sz="0" w:space="0" w:color="auto"/>
            <w:right w:val="none" w:sz="0" w:space="0" w:color="auto"/>
          </w:divBdr>
        </w:div>
        <w:div w:id="1507474616">
          <w:marLeft w:val="0"/>
          <w:marRight w:val="0"/>
          <w:marTop w:val="0"/>
          <w:marBottom w:val="0"/>
          <w:divBdr>
            <w:top w:val="none" w:sz="0" w:space="0" w:color="auto"/>
            <w:left w:val="none" w:sz="0" w:space="0" w:color="auto"/>
            <w:bottom w:val="none" w:sz="0" w:space="0" w:color="auto"/>
            <w:right w:val="none" w:sz="0" w:space="0" w:color="auto"/>
          </w:divBdr>
        </w:div>
        <w:div w:id="1521354760">
          <w:marLeft w:val="0"/>
          <w:marRight w:val="0"/>
          <w:marTop w:val="0"/>
          <w:marBottom w:val="0"/>
          <w:divBdr>
            <w:top w:val="none" w:sz="0" w:space="0" w:color="auto"/>
            <w:left w:val="none" w:sz="0" w:space="0" w:color="auto"/>
            <w:bottom w:val="none" w:sz="0" w:space="0" w:color="auto"/>
            <w:right w:val="none" w:sz="0" w:space="0" w:color="auto"/>
          </w:divBdr>
        </w:div>
        <w:div w:id="1531183620">
          <w:marLeft w:val="0"/>
          <w:marRight w:val="0"/>
          <w:marTop w:val="0"/>
          <w:marBottom w:val="0"/>
          <w:divBdr>
            <w:top w:val="none" w:sz="0" w:space="0" w:color="auto"/>
            <w:left w:val="none" w:sz="0" w:space="0" w:color="auto"/>
            <w:bottom w:val="none" w:sz="0" w:space="0" w:color="auto"/>
            <w:right w:val="none" w:sz="0" w:space="0" w:color="auto"/>
          </w:divBdr>
        </w:div>
        <w:div w:id="1586838845">
          <w:marLeft w:val="0"/>
          <w:marRight w:val="0"/>
          <w:marTop w:val="0"/>
          <w:marBottom w:val="0"/>
          <w:divBdr>
            <w:top w:val="none" w:sz="0" w:space="0" w:color="auto"/>
            <w:left w:val="none" w:sz="0" w:space="0" w:color="auto"/>
            <w:bottom w:val="none" w:sz="0" w:space="0" w:color="auto"/>
            <w:right w:val="none" w:sz="0" w:space="0" w:color="auto"/>
          </w:divBdr>
        </w:div>
        <w:div w:id="1657876480">
          <w:marLeft w:val="0"/>
          <w:marRight w:val="0"/>
          <w:marTop w:val="0"/>
          <w:marBottom w:val="0"/>
          <w:divBdr>
            <w:top w:val="none" w:sz="0" w:space="0" w:color="auto"/>
            <w:left w:val="none" w:sz="0" w:space="0" w:color="auto"/>
            <w:bottom w:val="none" w:sz="0" w:space="0" w:color="auto"/>
            <w:right w:val="none" w:sz="0" w:space="0" w:color="auto"/>
          </w:divBdr>
        </w:div>
        <w:div w:id="1677725213">
          <w:marLeft w:val="0"/>
          <w:marRight w:val="0"/>
          <w:marTop w:val="0"/>
          <w:marBottom w:val="0"/>
          <w:divBdr>
            <w:top w:val="none" w:sz="0" w:space="0" w:color="auto"/>
            <w:left w:val="none" w:sz="0" w:space="0" w:color="auto"/>
            <w:bottom w:val="none" w:sz="0" w:space="0" w:color="auto"/>
            <w:right w:val="none" w:sz="0" w:space="0" w:color="auto"/>
          </w:divBdr>
        </w:div>
        <w:div w:id="1753701712">
          <w:marLeft w:val="0"/>
          <w:marRight w:val="0"/>
          <w:marTop w:val="0"/>
          <w:marBottom w:val="0"/>
          <w:divBdr>
            <w:top w:val="none" w:sz="0" w:space="0" w:color="auto"/>
            <w:left w:val="none" w:sz="0" w:space="0" w:color="auto"/>
            <w:bottom w:val="none" w:sz="0" w:space="0" w:color="auto"/>
            <w:right w:val="none" w:sz="0" w:space="0" w:color="auto"/>
          </w:divBdr>
        </w:div>
        <w:div w:id="1755736307">
          <w:marLeft w:val="0"/>
          <w:marRight w:val="0"/>
          <w:marTop w:val="0"/>
          <w:marBottom w:val="0"/>
          <w:divBdr>
            <w:top w:val="none" w:sz="0" w:space="0" w:color="auto"/>
            <w:left w:val="none" w:sz="0" w:space="0" w:color="auto"/>
            <w:bottom w:val="none" w:sz="0" w:space="0" w:color="auto"/>
            <w:right w:val="none" w:sz="0" w:space="0" w:color="auto"/>
          </w:divBdr>
        </w:div>
        <w:div w:id="1801340387">
          <w:marLeft w:val="0"/>
          <w:marRight w:val="0"/>
          <w:marTop w:val="0"/>
          <w:marBottom w:val="0"/>
          <w:divBdr>
            <w:top w:val="none" w:sz="0" w:space="0" w:color="auto"/>
            <w:left w:val="none" w:sz="0" w:space="0" w:color="auto"/>
            <w:bottom w:val="none" w:sz="0" w:space="0" w:color="auto"/>
            <w:right w:val="none" w:sz="0" w:space="0" w:color="auto"/>
          </w:divBdr>
        </w:div>
        <w:div w:id="1808666004">
          <w:marLeft w:val="0"/>
          <w:marRight w:val="0"/>
          <w:marTop w:val="0"/>
          <w:marBottom w:val="0"/>
          <w:divBdr>
            <w:top w:val="none" w:sz="0" w:space="0" w:color="auto"/>
            <w:left w:val="none" w:sz="0" w:space="0" w:color="auto"/>
            <w:bottom w:val="none" w:sz="0" w:space="0" w:color="auto"/>
            <w:right w:val="none" w:sz="0" w:space="0" w:color="auto"/>
          </w:divBdr>
        </w:div>
        <w:div w:id="1809129248">
          <w:marLeft w:val="0"/>
          <w:marRight w:val="0"/>
          <w:marTop w:val="0"/>
          <w:marBottom w:val="0"/>
          <w:divBdr>
            <w:top w:val="none" w:sz="0" w:space="0" w:color="auto"/>
            <w:left w:val="none" w:sz="0" w:space="0" w:color="auto"/>
            <w:bottom w:val="none" w:sz="0" w:space="0" w:color="auto"/>
            <w:right w:val="none" w:sz="0" w:space="0" w:color="auto"/>
          </w:divBdr>
        </w:div>
        <w:div w:id="1828013340">
          <w:marLeft w:val="0"/>
          <w:marRight w:val="0"/>
          <w:marTop w:val="0"/>
          <w:marBottom w:val="0"/>
          <w:divBdr>
            <w:top w:val="none" w:sz="0" w:space="0" w:color="auto"/>
            <w:left w:val="none" w:sz="0" w:space="0" w:color="auto"/>
            <w:bottom w:val="none" w:sz="0" w:space="0" w:color="auto"/>
            <w:right w:val="none" w:sz="0" w:space="0" w:color="auto"/>
          </w:divBdr>
        </w:div>
        <w:div w:id="1841578571">
          <w:marLeft w:val="0"/>
          <w:marRight w:val="0"/>
          <w:marTop w:val="0"/>
          <w:marBottom w:val="0"/>
          <w:divBdr>
            <w:top w:val="none" w:sz="0" w:space="0" w:color="auto"/>
            <w:left w:val="none" w:sz="0" w:space="0" w:color="auto"/>
            <w:bottom w:val="none" w:sz="0" w:space="0" w:color="auto"/>
            <w:right w:val="none" w:sz="0" w:space="0" w:color="auto"/>
          </w:divBdr>
        </w:div>
        <w:div w:id="1897550097">
          <w:marLeft w:val="0"/>
          <w:marRight w:val="0"/>
          <w:marTop w:val="0"/>
          <w:marBottom w:val="0"/>
          <w:divBdr>
            <w:top w:val="none" w:sz="0" w:space="0" w:color="auto"/>
            <w:left w:val="none" w:sz="0" w:space="0" w:color="auto"/>
            <w:bottom w:val="none" w:sz="0" w:space="0" w:color="auto"/>
            <w:right w:val="none" w:sz="0" w:space="0" w:color="auto"/>
          </w:divBdr>
        </w:div>
        <w:div w:id="1899969475">
          <w:marLeft w:val="0"/>
          <w:marRight w:val="0"/>
          <w:marTop w:val="0"/>
          <w:marBottom w:val="0"/>
          <w:divBdr>
            <w:top w:val="none" w:sz="0" w:space="0" w:color="auto"/>
            <w:left w:val="none" w:sz="0" w:space="0" w:color="auto"/>
            <w:bottom w:val="none" w:sz="0" w:space="0" w:color="auto"/>
            <w:right w:val="none" w:sz="0" w:space="0" w:color="auto"/>
          </w:divBdr>
        </w:div>
        <w:div w:id="1966351126">
          <w:marLeft w:val="0"/>
          <w:marRight w:val="0"/>
          <w:marTop w:val="0"/>
          <w:marBottom w:val="0"/>
          <w:divBdr>
            <w:top w:val="none" w:sz="0" w:space="0" w:color="auto"/>
            <w:left w:val="none" w:sz="0" w:space="0" w:color="auto"/>
            <w:bottom w:val="none" w:sz="0" w:space="0" w:color="auto"/>
            <w:right w:val="none" w:sz="0" w:space="0" w:color="auto"/>
          </w:divBdr>
        </w:div>
        <w:div w:id="1985086671">
          <w:marLeft w:val="0"/>
          <w:marRight w:val="0"/>
          <w:marTop w:val="0"/>
          <w:marBottom w:val="0"/>
          <w:divBdr>
            <w:top w:val="none" w:sz="0" w:space="0" w:color="auto"/>
            <w:left w:val="none" w:sz="0" w:space="0" w:color="auto"/>
            <w:bottom w:val="none" w:sz="0" w:space="0" w:color="auto"/>
            <w:right w:val="none" w:sz="0" w:space="0" w:color="auto"/>
          </w:divBdr>
        </w:div>
        <w:div w:id="1986859779">
          <w:marLeft w:val="0"/>
          <w:marRight w:val="0"/>
          <w:marTop w:val="0"/>
          <w:marBottom w:val="0"/>
          <w:divBdr>
            <w:top w:val="none" w:sz="0" w:space="0" w:color="auto"/>
            <w:left w:val="none" w:sz="0" w:space="0" w:color="auto"/>
            <w:bottom w:val="none" w:sz="0" w:space="0" w:color="auto"/>
            <w:right w:val="none" w:sz="0" w:space="0" w:color="auto"/>
          </w:divBdr>
        </w:div>
        <w:div w:id="2022200161">
          <w:marLeft w:val="0"/>
          <w:marRight w:val="0"/>
          <w:marTop w:val="0"/>
          <w:marBottom w:val="0"/>
          <w:divBdr>
            <w:top w:val="none" w:sz="0" w:space="0" w:color="auto"/>
            <w:left w:val="none" w:sz="0" w:space="0" w:color="auto"/>
            <w:bottom w:val="none" w:sz="0" w:space="0" w:color="auto"/>
            <w:right w:val="none" w:sz="0" w:space="0" w:color="auto"/>
          </w:divBdr>
        </w:div>
        <w:div w:id="2033216281">
          <w:marLeft w:val="0"/>
          <w:marRight w:val="0"/>
          <w:marTop w:val="0"/>
          <w:marBottom w:val="0"/>
          <w:divBdr>
            <w:top w:val="none" w:sz="0" w:space="0" w:color="auto"/>
            <w:left w:val="none" w:sz="0" w:space="0" w:color="auto"/>
            <w:bottom w:val="none" w:sz="0" w:space="0" w:color="auto"/>
            <w:right w:val="none" w:sz="0" w:space="0" w:color="auto"/>
          </w:divBdr>
        </w:div>
        <w:div w:id="2046324205">
          <w:marLeft w:val="0"/>
          <w:marRight w:val="0"/>
          <w:marTop w:val="0"/>
          <w:marBottom w:val="0"/>
          <w:divBdr>
            <w:top w:val="none" w:sz="0" w:space="0" w:color="auto"/>
            <w:left w:val="none" w:sz="0" w:space="0" w:color="auto"/>
            <w:bottom w:val="none" w:sz="0" w:space="0" w:color="auto"/>
            <w:right w:val="none" w:sz="0" w:space="0" w:color="auto"/>
          </w:divBdr>
        </w:div>
        <w:div w:id="2059888872">
          <w:marLeft w:val="0"/>
          <w:marRight w:val="0"/>
          <w:marTop w:val="0"/>
          <w:marBottom w:val="0"/>
          <w:divBdr>
            <w:top w:val="none" w:sz="0" w:space="0" w:color="auto"/>
            <w:left w:val="none" w:sz="0" w:space="0" w:color="auto"/>
            <w:bottom w:val="none" w:sz="0" w:space="0" w:color="auto"/>
            <w:right w:val="none" w:sz="0" w:space="0" w:color="auto"/>
          </w:divBdr>
        </w:div>
        <w:div w:id="2079744501">
          <w:marLeft w:val="0"/>
          <w:marRight w:val="0"/>
          <w:marTop w:val="0"/>
          <w:marBottom w:val="0"/>
          <w:divBdr>
            <w:top w:val="none" w:sz="0" w:space="0" w:color="auto"/>
            <w:left w:val="none" w:sz="0" w:space="0" w:color="auto"/>
            <w:bottom w:val="none" w:sz="0" w:space="0" w:color="auto"/>
            <w:right w:val="none" w:sz="0" w:space="0" w:color="auto"/>
          </w:divBdr>
        </w:div>
        <w:div w:id="2084863691">
          <w:marLeft w:val="0"/>
          <w:marRight w:val="0"/>
          <w:marTop w:val="0"/>
          <w:marBottom w:val="0"/>
          <w:divBdr>
            <w:top w:val="none" w:sz="0" w:space="0" w:color="auto"/>
            <w:left w:val="none" w:sz="0" w:space="0" w:color="auto"/>
            <w:bottom w:val="none" w:sz="0" w:space="0" w:color="auto"/>
            <w:right w:val="none" w:sz="0" w:space="0" w:color="auto"/>
          </w:divBdr>
        </w:div>
      </w:divsChild>
    </w:div>
    <w:div w:id="1389912644">
      <w:bodyDiv w:val="1"/>
      <w:marLeft w:val="0"/>
      <w:marRight w:val="0"/>
      <w:marTop w:val="0"/>
      <w:marBottom w:val="0"/>
      <w:divBdr>
        <w:top w:val="none" w:sz="0" w:space="0" w:color="auto"/>
        <w:left w:val="none" w:sz="0" w:space="0" w:color="auto"/>
        <w:bottom w:val="none" w:sz="0" w:space="0" w:color="auto"/>
        <w:right w:val="none" w:sz="0" w:space="0" w:color="auto"/>
      </w:divBdr>
    </w:div>
    <w:div w:id="1402603343">
      <w:bodyDiv w:val="1"/>
      <w:marLeft w:val="0"/>
      <w:marRight w:val="0"/>
      <w:marTop w:val="0"/>
      <w:marBottom w:val="0"/>
      <w:divBdr>
        <w:top w:val="none" w:sz="0" w:space="0" w:color="auto"/>
        <w:left w:val="none" w:sz="0" w:space="0" w:color="auto"/>
        <w:bottom w:val="none" w:sz="0" w:space="0" w:color="auto"/>
        <w:right w:val="none" w:sz="0" w:space="0" w:color="auto"/>
      </w:divBdr>
    </w:div>
    <w:div w:id="1413157957">
      <w:bodyDiv w:val="1"/>
      <w:marLeft w:val="0"/>
      <w:marRight w:val="0"/>
      <w:marTop w:val="0"/>
      <w:marBottom w:val="0"/>
      <w:divBdr>
        <w:top w:val="none" w:sz="0" w:space="0" w:color="auto"/>
        <w:left w:val="none" w:sz="0" w:space="0" w:color="auto"/>
        <w:bottom w:val="none" w:sz="0" w:space="0" w:color="auto"/>
        <w:right w:val="none" w:sz="0" w:space="0" w:color="auto"/>
      </w:divBdr>
      <w:divsChild>
        <w:div w:id="752821756">
          <w:marLeft w:val="0"/>
          <w:marRight w:val="0"/>
          <w:marTop w:val="0"/>
          <w:marBottom w:val="0"/>
          <w:divBdr>
            <w:top w:val="none" w:sz="0" w:space="0" w:color="auto"/>
            <w:left w:val="none" w:sz="0" w:space="0" w:color="auto"/>
            <w:bottom w:val="none" w:sz="0" w:space="0" w:color="auto"/>
            <w:right w:val="none" w:sz="0" w:space="0" w:color="auto"/>
          </w:divBdr>
          <w:divsChild>
            <w:div w:id="935749867">
              <w:marLeft w:val="0"/>
              <w:marRight w:val="0"/>
              <w:marTop w:val="495"/>
              <w:marBottom w:val="495"/>
              <w:divBdr>
                <w:top w:val="none" w:sz="0" w:space="0" w:color="auto"/>
                <w:left w:val="none" w:sz="0" w:space="0" w:color="auto"/>
                <w:bottom w:val="none" w:sz="0" w:space="0" w:color="auto"/>
                <w:right w:val="none" w:sz="0" w:space="0" w:color="auto"/>
              </w:divBdr>
              <w:divsChild>
                <w:div w:id="775636481">
                  <w:marLeft w:val="0"/>
                  <w:marRight w:val="0"/>
                  <w:marTop w:val="0"/>
                  <w:marBottom w:val="0"/>
                  <w:divBdr>
                    <w:top w:val="none" w:sz="0" w:space="0" w:color="auto"/>
                    <w:left w:val="none" w:sz="0" w:space="0" w:color="auto"/>
                    <w:bottom w:val="none" w:sz="0" w:space="0" w:color="auto"/>
                    <w:right w:val="none" w:sz="0" w:space="0" w:color="auto"/>
                  </w:divBdr>
                  <w:divsChild>
                    <w:div w:id="1731806524">
                      <w:marLeft w:val="0"/>
                      <w:marRight w:val="0"/>
                      <w:marTop w:val="480"/>
                      <w:marBottom w:val="480"/>
                      <w:divBdr>
                        <w:top w:val="none" w:sz="0" w:space="0" w:color="auto"/>
                        <w:left w:val="none" w:sz="0" w:space="0" w:color="auto"/>
                        <w:bottom w:val="none" w:sz="0" w:space="0" w:color="auto"/>
                        <w:right w:val="none" w:sz="0" w:space="0" w:color="auto"/>
                      </w:divBdr>
                      <w:divsChild>
                        <w:div w:id="1554459687">
                          <w:marLeft w:val="0"/>
                          <w:marRight w:val="0"/>
                          <w:marTop w:val="0"/>
                          <w:marBottom w:val="0"/>
                          <w:divBdr>
                            <w:top w:val="none" w:sz="0" w:space="0" w:color="auto"/>
                            <w:left w:val="none" w:sz="0" w:space="0" w:color="auto"/>
                            <w:bottom w:val="none" w:sz="0" w:space="0" w:color="auto"/>
                            <w:right w:val="none" w:sz="0" w:space="0" w:color="auto"/>
                          </w:divBdr>
                          <w:divsChild>
                            <w:div w:id="119511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7573696">
      <w:bodyDiv w:val="1"/>
      <w:marLeft w:val="0"/>
      <w:marRight w:val="0"/>
      <w:marTop w:val="0"/>
      <w:marBottom w:val="0"/>
      <w:divBdr>
        <w:top w:val="none" w:sz="0" w:space="0" w:color="auto"/>
        <w:left w:val="none" w:sz="0" w:space="0" w:color="auto"/>
        <w:bottom w:val="none" w:sz="0" w:space="0" w:color="auto"/>
        <w:right w:val="none" w:sz="0" w:space="0" w:color="auto"/>
      </w:divBdr>
      <w:divsChild>
        <w:div w:id="696734521">
          <w:marLeft w:val="446"/>
          <w:marRight w:val="0"/>
          <w:marTop w:val="0"/>
          <w:marBottom w:val="0"/>
          <w:divBdr>
            <w:top w:val="none" w:sz="0" w:space="0" w:color="auto"/>
            <w:left w:val="none" w:sz="0" w:space="0" w:color="auto"/>
            <w:bottom w:val="none" w:sz="0" w:space="0" w:color="auto"/>
            <w:right w:val="none" w:sz="0" w:space="0" w:color="auto"/>
          </w:divBdr>
        </w:div>
      </w:divsChild>
    </w:div>
    <w:div w:id="1482232545">
      <w:bodyDiv w:val="1"/>
      <w:marLeft w:val="0"/>
      <w:marRight w:val="0"/>
      <w:marTop w:val="0"/>
      <w:marBottom w:val="0"/>
      <w:divBdr>
        <w:top w:val="none" w:sz="0" w:space="0" w:color="auto"/>
        <w:left w:val="none" w:sz="0" w:space="0" w:color="auto"/>
        <w:bottom w:val="none" w:sz="0" w:space="0" w:color="auto"/>
        <w:right w:val="none" w:sz="0" w:space="0" w:color="auto"/>
      </w:divBdr>
    </w:div>
    <w:div w:id="1484587037">
      <w:bodyDiv w:val="1"/>
      <w:marLeft w:val="0"/>
      <w:marRight w:val="0"/>
      <w:marTop w:val="0"/>
      <w:marBottom w:val="0"/>
      <w:divBdr>
        <w:top w:val="none" w:sz="0" w:space="0" w:color="auto"/>
        <w:left w:val="none" w:sz="0" w:space="0" w:color="auto"/>
        <w:bottom w:val="none" w:sz="0" w:space="0" w:color="auto"/>
        <w:right w:val="none" w:sz="0" w:space="0" w:color="auto"/>
      </w:divBdr>
    </w:div>
    <w:div w:id="1490249439">
      <w:bodyDiv w:val="1"/>
      <w:marLeft w:val="0"/>
      <w:marRight w:val="0"/>
      <w:marTop w:val="0"/>
      <w:marBottom w:val="0"/>
      <w:divBdr>
        <w:top w:val="none" w:sz="0" w:space="0" w:color="auto"/>
        <w:left w:val="none" w:sz="0" w:space="0" w:color="auto"/>
        <w:bottom w:val="none" w:sz="0" w:space="0" w:color="auto"/>
        <w:right w:val="none" w:sz="0" w:space="0" w:color="auto"/>
      </w:divBdr>
    </w:div>
    <w:div w:id="1511338042">
      <w:bodyDiv w:val="1"/>
      <w:marLeft w:val="0"/>
      <w:marRight w:val="0"/>
      <w:marTop w:val="0"/>
      <w:marBottom w:val="0"/>
      <w:divBdr>
        <w:top w:val="none" w:sz="0" w:space="0" w:color="auto"/>
        <w:left w:val="none" w:sz="0" w:space="0" w:color="auto"/>
        <w:bottom w:val="none" w:sz="0" w:space="0" w:color="auto"/>
        <w:right w:val="none" w:sz="0" w:space="0" w:color="auto"/>
      </w:divBdr>
    </w:div>
    <w:div w:id="1518959041">
      <w:bodyDiv w:val="1"/>
      <w:marLeft w:val="0"/>
      <w:marRight w:val="0"/>
      <w:marTop w:val="0"/>
      <w:marBottom w:val="0"/>
      <w:divBdr>
        <w:top w:val="none" w:sz="0" w:space="0" w:color="auto"/>
        <w:left w:val="none" w:sz="0" w:space="0" w:color="auto"/>
        <w:bottom w:val="none" w:sz="0" w:space="0" w:color="auto"/>
        <w:right w:val="none" w:sz="0" w:space="0" w:color="auto"/>
      </w:divBdr>
    </w:div>
    <w:div w:id="1562985510">
      <w:bodyDiv w:val="1"/>
      <w:marLeft w:val="0"/>
      <w:marRight w:val="0"/>
      <w:marTop w:val="0"/>
      <w:marBottom w:val="0"/>
      <w:divBdr>
        <w:top w:val="none" w:sz="0" w:space="0" w:color="auto"/>
        <w:left w:val="none" w:sz="0" w:space="0" w:color="auto"/>
        <w:bottom w:val="none" w:sz="0" w:space="0" w:color="auto"/>
        <w:right w:val="none" w:sz="0" w:space="0" w:color="auto"/>
      </w:divBdr>
    </w:div>
    <w:div w:id="1595744197">
      <w:bodyDiv w:val="1"/>
      <w:marLeft w:val="0"/>
      <w:marRight w:val="0"/>
      <w:marTop w:val="0"/>
      <w:marBottom w:val="0"/>
      <w:divBdr>
        <w:top w:val="none" w:sz="0" w:space="0" w:color="auto"/>
        <w:left w:val="none" w:sz="0" w:space="0" w:color="auto"/>
        <w:bottom w:val="none" w:sz="0" w:space="0" w:color="auto"/>
        <w:right w:val="none" w:sz="0" w:space="0" w:color="auto"/>
      </w:divBdr>
    </w:div>
    <w:div w:id="1603031489">
      <w:bodyDiv w:val="1"/>
      <w:marLeft w:val="0"/>
      <w:marRight w:val="0"/>
      <w:marTop w:val="0"/>
      <w:marBottom w:val="0"/>
      <w:divBdr>
        <w:top w:val="none" w:sz="0" w:space="0" w:color="auto"/>
        <w:left w:val="none" w:sz="0" w:space="0" w:color="auto"/>
        <w:bottom w:val="none" w:sz="0" w:space="0" w:color="auto"/>
        <w:right w:val="none" w:sz="0" w:space="0" w:color="auto"/>
      </w:divBdr>
    </w:div>
    <w:div w:id="1660572180">
      <w:bodyDiv w:val="1"/>
      <w:marLeft w:val="0"/>
      <w:marRight w:val="0"/>
      <w:marTop w:val="0"/>
      <w:marBottom w:val="0"/>
      <w:divBdr>
        <w:top w:val="none" w:sz="0" w:space="0" w:color="auto"/>
        <w:left w:val="none" w:sz="0" w:space="0" w:color="auto"/>
        <w:bottom w:val="none" w:sz="0" w:space="0" w:color="auto"/>
        <w:right w:val="none" w:sz="0" w:space="0" w:color="auto"/>
      </w:divBdr>
    </w:div>
    <w:div w:id="1664355066">
      <w:bodyDiv w:val="1"/>
      <w:marLeft w:val="0"/>
      <w:marRight w:val="0"/>
      <w:marTop w:val="0"/>
      <w:marBottom w:val="0"/>
      <w:divBdr>
        <w:top w:val="none" w:sz="0" w:space="0" w:color="auto"/>
        <w:left w:val="none" w:sz="0" w:space="0" w:color="auto"/>
        <w:bottom w:val="none" w:sz="0" w:space="0" w:color="auto"/>
        <w:right w:val="none" w:sz="0" w:space="0" w:color="auto"/>
      </w:divBdr>
    </w:div>
    <w:div w:id="1714422165">
      <w:bodyDiv w:val="1"/>
      <w:marLeft w:val="0"/>
      <w:marRight w:val="0"/>
      <w:marTop w:val="0"/>
      <w:marBottom w:val="0"/>
      <w:divBdr>
        <w:top w:val="none" w:sz="0" w:space="0" w:color="auto"/>
        <w:left w:val="none" w:sz="0" w:space="0" w:color="auto"/>
        <w:bottom w:val="none" w:sz="0" w:space="0" w:color="auto"/>
        <w:right w:val="none" w:sz="0" w:space="0" w:color="auto"/>
      </w:divBdr>
    </w:div>
    <w:div w:id="1781147508">
      <w:bodyDiv w:val="1"/>
      <w:marLeft w:val="0"/>
      <w:marRight w:val="0"/>
      <w:marTop w:val="0"/>
      <w:marBottom w:val="0"/>
      <w:divBdr>
        <w:top w:val="none" w:sz="0" w:space="0" w:color="auto"/>
        <w:left w:val="none" w:sz="0" w:space="0" w:color="auto"/>
        <w:bottom w:val="none" w:sz="0" w:space="0" w:color="auto"/>
        <w:right w:val="none" w:sz="0" w:space="0" w:color="auto"/>
      </w:divBdr>
    </w:div>
    <w:div w:id="1785885475">
      <w:bodyDiv w:val="1"/>
      <w:marLeft w:val="0"/>
      <w:marRight w:val="0"/>
      <w:marTop w:val="0"/>
      <w:marBottom w:val="0"/>
      <w:divBdr>
        <w:top w:val="none" w:sz="0" w:space="0" w:color="auto"/>
        <w:left w:val="none" w:sz="0" w:space="0" w:color="auto"/>
        <w:bottom w:val="none" w:sz="0" w:space="0" w:color="auto"/>
        <w:right w:val="none" w:sz="0" w:space="0" w:color="auto"/>
      </w:divBdr>
    </w:div>
    <w:div w:id="1812869271">
      <w:bodyDiv w:val="1"/>
      <w:marLeft w:val="0"/>
      <w:marRight w:val="0"/>
      <w:marTop w:val="0"/>
      <w:marBottom w:val="0"/>
      <w:divBdr>
        <w:top w:val="none" w:sz="0" w:space="0" w:color="auto"/>
        <w:left w:val="none" w:sz="0" w:space="0" w:color="auto"/>
        <w:bottom w:val="none" w:sz="0" w:space="0" w:color="auto"/>
        <w:right w:val="none" w:sz="0" w:space="0" w:color="auto"/>
      </w:divBdr>
      <w:divsChild>
        <w:div w:id="62146821">
          <w:marLeft w:val="0"/>
          <w:marRight w:val="0"/>
          <w:marTop w:val="0"/>
          <w:marBottom w:val="0"/>
          <w:divBdr>
            <w:top w:val="none" w:sz="0" w:space="0" w:color="auto"/>
            <w:left w:val="none" w:sz="0" w:space="0" w:color="auto"/>
            <w:bottom w:val="none" w:sz="0" w:space="0" w:color="auto"/>
            <w:right w:val="none" w:sz="0" w:space="0" w:color="auto"/>
          </w:divBdr>
        </w:div>
        <w:div w:id="1844125681">
          <w:marLeft w:val="0"/>
          <w:marRight w:val="0"/>
          <w:marTop w:val="0"/>
          <w:marBottom w:val="0"/>
          <w:divBdr>
            <w:top w:val="none" w:sz="0" w:space="0" w:color="auto"/>
            <w:left w:val="none" w:sz="0" w:space="0" w:color="auto"/>
            <w:bottom w:val="none" w:sz="0" w:space="0" w:color="auto"/>
            <w:right w:val="none" w:sz="0" w:space="0" w:color="auto"/>
          </w:divBdr>
        </w:div>
      </w:divsChild>
    </w:div>
    <w:div w:id="1813669087">
      <w:bodyDiv w:val="1"/>
      <w:marLeft w:val="0"/>
      <w:marRight w:val="0"/>
      <w:marTop w:val="0"/>
      <w:marBottom w:val="0"/>
      <w:divBdr>
        <w:top w:val="none" w:sz="0" w:space="0" w:color="auto"/>
        <w:left w:val="none" w:sz="0" w:space="0" w:color="auto"/>
        <w:bottom w:val="none" w:sz="0" w:space="0" w:color="auto"/>
        <w:right w:val="none" w:sz="0" w:space="0" w:color="auto"/>
      </w:divBdr>
      <w:divsChild>
        <w:div w:id="901670328">
          <w:marLeft w:val="0"/>
          <w:marRight w:val="0"/>
          <w:marTop w:val="0"/>
          <w:marBottom w:val="120"/>
          <w:divBdr>
            <w:top w:val="none" w:sz="0" w:space="0" w:color="auto"/>
            <w:left w:val="none" w:sz="0" w:space="0" w:color="auto"/>
            <w:bottom w:val="none" w:sz="0" w:space="0" w:color="auto"/>
            <w:right w:val="none" w:sz="0" w:space="0" w:color="auto"/>
          </w:divBdr>
        </w:div>
      </w:divsChild>
    </w:div>
    <w:div w:id="1835147229">
      <w:bodyDiv w:val="1"/>
      <w:marLeft w:val="0"/>
      <w:marRight w:val="0"/>
      <w:marTop w:val="0"/>
      <w:marBottom w:val="0"/>
      <w:divBdr>
        <w:top w:val="none" w:sz="0" w:space="0" w:color="auto"/>
        <w:left w:val="none" w:sz="0" w:space="0" w:color="auto"/>
        <w:bottom w:val="none" w:sz="0" w:space="0" w:color="auto"/>
        <w:right w:val="none" w:sz="0" w:space="0" w:color="auto"/>
      </w:divBdr>
    </w:div>
    <w:div w:id="1908758182">
      <w:bodyDiv w:val="1"/>
      <w:marLeft w:val="0"/>
      <w:marRight w:val="0"/>
      <w:marTop w:val="0"/>
      <w:marBottom w:val="0"/>
      <w:divBdr>
        <w:top w:val="none" w:sz="0" w:space="0" w:color="auto"/>
        <w:left w:val="none" w:sz="0" w:space="0" w:color="auto"/>
        <w:bottom w:val="none" w:sz="0" w:space="0" w:color="auto"/>
        <w:right w:val="none" w:sz="0" w:space="0" w:color="auto"/>
      </w:divBdr>
    </w:div>
    <w:div w:id="2011566299">
      <w:bodyDiv w:val="1"/>
      <w:marLeft w:val="0"/>
      <w:marRight w:val="0"/>
      <w:marTop w:val="0"/>
      <w:marBottom w:val="0"/>
      <w:divBdr>
        <w:top w:val="none" w:sz="0" w:space="0" w:color="auto"/>
        <w:left w:val="none" w:sz="0" w:space="0" w:color="auto"/>
        <w:bottom w:val="none" w:sz="0" w:space="0" w:color="auto"/>
        <w:right w:val="none" w:sz="0" w:space="0" w:color="auto"/>
      </w:divBdr>
    </w:div>
    <w:div w:id="2035374556">
      <w:bodyDiv w:val="1"/>
      <w:marLeft w:val="0"/>
      <w:marRight w:val="0"/>
      <w:marTop w:val="0"/>
      <w:marBottom w:val="0"/>
      <w:divBdr>
        <w:top w:val="none" w:sz="0" w:space="0" w:color="auto"/>
        <w:left w:val="none" w:sz="0" w:space="0" w:color="auto"/>
        <w:bottom w:val="none" w:sz="0" w:space="0" w:color="auto"/>
        <w:right w:val="none" w:sz="0" w:space="0" w:color="auto"/>
      </w:divBdr>
      <w:divsChild>
        <w:div w:id="433675519">
          <w:marLeft w:val="0"/>
          <w:marRight w:val="0"/>
          <w:marTop w:val="0"/>
          <w:marBottom w:val="0"/>
          <w:divBdr>
            <w:top w:val="none" w:sz="0" w:space="0" w:color="auto"/>
            <w:left w:val="none" w:sz="0" w:space="0" w:color="auto"/>
            <w:bottom w:val="none" w:sz="0" w:space="0" w:color="auto"/>
            <w:right w:val="none" w:sz="0" w:space="0" w:color="auto"/>
          </w:divBdr>
        </w:div>
        <w:div w:id="679084702">
          <w:marLeft w:val="0"/>
          <w:marRight w:val="0"/>
          <w:marTop w:val="0"/>
          <w:marBottom w:val="0"/>
          <w:divBdr>
            <w:top w:val="none" w:sz="0" w:space="0" w:color="auto"/>
            <w:left w:val="none" w:sz="0" w:space="0" w:color="auto"/>
            <w:bottom w:val="none" w:sz="0" w:space="0" w:color="auto"/>
            <w:right w:val="none" w:sz="0" w:space="0" w:color="auto"/>
          </w:divBdr>
        </w:div>
        <w:div w:id="680936434">
          <w:marLeft w:val="0"/>
          <w:marRight w:val="0"/>
          <w:marTop w:val="0"/>
          <w:marBottom w:val="0"/>
          <w:divBdr>
            <w:top w:val="none" w:sz="0" w:space="0" w:color="auto"/>
            <w:left w:val="none" w:sz="0" w:space="0" w:color="auto"/>
            <w:bottom w:val="none" w:sz="0" w:space="0" w:color="auto"/>
            <w:right w:val="none" w:sz="0" w:space="0" w:color="auto"/>
          </w:divBdr>
        </w:div>
        <w:div w:id="724447367">
          <w:marLeft w:val="0"/>
          <w:marRight w:val="0"/>
          <w:marTop w:val="0"/>
          <w:marBottom w:val="0"/>
          <w:divBdr>
            <w:top w:val="none" w:sz="0" w:space="0" w:color="auto"/>
            <w:left w:val="none" w:sz="0" w:space="0" w:color="auto"/>
            <w:bottom w:val="none" w:sz="0" w:space="0" w:color="auto"/>
            <w:right w:val="none" w:sz="0" w:space="0" w:color="auto"/>
          </w:divBdr>
        </w:div>
        <w:div w:id="881791659">
          <w:marLeft w:val="0"/>
          <w:marRight w:val="0"/>
          <w:marTop w:val="0"/>
          <w:marBottom w:val="0"/>
          <w:divBdr>
            <w:top w:val="none" w:sz="0" w:space="0" w:color="auto"/>
            <w:left w:val="none" w:sz="0" w:space="0" w:color="auto"/>
            <w:bottom w:val="none" w:sz="0" w:space="0" w:color="auto"/>
            <w:right w:val="none" w:sz="0" w:space="0" w:color="auto"/>
          </w:divBdr>
        </w:div>
        <w:div w:id="1199511631">
          <w:marLeft w:val="0"/>
          <w:marRight w:val="0"/>
          <w:marTop w:val="0"/>
          <w:marBottom w:val="0"/>
          <w:divBdr>
            <w:top w:val="none" w:sz="0" w:space="0" w:color="auto"/>
            <w:left w:val="none" w:sz="0" w:space="0" w:color="auto"/>
            <w:bottom w:val="none" w:sz="0" w:space="0" w:color="auto"/>
            <w:right w:val="none" w:sz="0" w:space="0" w:color="auto"/>
          </w:divBdr>
        </w:div>
        <w:div w:id="1411389940">
          <w:marLeft w:val="0"/>
          <w:marRight w:val="0"/>
          <w:marTop w:val="0"/>
          <w:marBottom w:val="0"/>
          <w:divBdr>
            <w:top w:val="none" w:sz="0" w:space="0" w:color="auto"/>
            <w:left w:val="none" w:sz="0" w:space="0" w:color="auto"/>
            <w:bottom w:val="none" w:sz="0" w:space="0" w:color="auto"/>
            <w:right w:val="none" w:sz="0" w:space="0" w:color="auto"/>
          </w:divBdr>
        </w:div>
      </w:divsChild>
    </w:div>
    <w:div w:id="2045475032">
      <w:bodyDiv w:val="1"/>
      <w:marLeft w:val="0"/>
      <w:marRight w:val="0"/>
      <w:marTop w:val="0"/>
      <w:marBottom w:val="0"/>
      <w:divBdr>
        <w:top w:val="none" w:sz="0" w:space="0" w:color="auto"/>
        <w:left w:val="none" w:sz="0" w:space="0" w:color="auto"/>
        <w:bottom w:val="none" w:sz="0" w:space="0" w:color="auto"/>
        <w:right w:val="none" w:sz="0" w:space="0" w:color="auto"/>
      </w:divBdr>
      <w:divsChild>
        <w:div w:id="740910940">
          <w:marLeft w:val="706"/>
          <w:marRight w:val="0"/>
          <w:marTop w:val="120"/>
          <w:marBottom w:val="0"/>
          <w:divBdr>
            <w:top w:val="none" w:sz="0" w:space="0" w:color="auto"/>
            <w:left w:val="none" w:sz="0" w:space="0" w:color="auto"/>
            <w:bottom w:val="none" w:sz="0" w:space="0" w:color="auto"/>
            <w:right w:val="none" w:sz="0" w:space="0" w:color="auto"/>
          </w:divBdr>
        </w:div>
        <w:div w:id="811747853">
          <w:marLeft w:val="706"/>
          <w:marRight w:val="0"/>
          <w:marTop w:val="120"/>
          <w:marBottom w:val="0"/>
          <w:divBdr>
            <w:top w:val="none" w:sz="0" w:space="0" w:color="auto"/>
            <w:left w:val="none" w:sz="0" w:space="0" w:color="auto"/>
            <w:bottom w:val="none" w:sz="0" w:space="0" w:color="auto"/>
            <w:right w:val="none" w:sz="0" w:space="0" w:color="auto"/>
          </w:divBdr>
        </w:div>
        <w:div w:id="1278485862">
          <w:marLeft w:val="706"/>
          <w:marRight w:val="0"/>
          <w:marTop w:val="120"/>
          <w:marBottom w:val="0"/>
          <w:divBdr>
            <w:top w:val="none" w:sz="0" w:space="0" w:color="auto"/>
            <w:left w:val="none" w:sz="0" w:space="0" w:color="auto"/>
            <w:bottom w:val="none" w:sz="0" w:space="0" w:color="auto"/>
            <w:right w:val="none" w:sz="0" w:space="0" w:color="auto"/>
          </w:divBdr>
        </w:div>
        <w:div w:id="680593634">
          <w:marLeft w:val="706"/>
          <w:marRight w:val="0"/>
          <w:marTop w:val="120"/>
          <w:marBottom w:val="0"/>
          <w:divBdr>
            <w:top w:val="none" w:sz="0" w:space="0" w:color="auto"/>
            <w:left w:val="none" w:sz="0" w:space="0" w:color="auto"/>
            <w:bottom w:val="none" w:sz="0" w:space="0" w:color="auto"/>
            <w:right w:val="none" w:sz="0" w:space="0" w:color="auto"/>
          </w:divBdr>
        </w:div>
        <w:div w:id="1970667678">
          <w:marLeft w:val="706"/>
          <w:marRight w:val="0"/>
          <w:marTop w:val="120"/>
          <w:marBottom w:val="0"/>
          <w:divBdr>
            <w:top w:val="none" w:sz="0" w:space="0" w:color="auto"/>
            <w:left w:val="none" w:sz="0" w:space="0" w:color="auto"/>
            <w:bottom w:val="none" w:sz="0" w:space="0" w:color="auto"/>
            <w:right w:val="none" w:sz="0" w:space="0" w:color="auto"/>
          </w:divBdr>
        </w:div>
        <w:div w:id="864516518">
          <w:marLeft w:val="706"/>
          <w:marRight w:val="0"/>
          <w:marTop w:val="120"/>
          <w:marBottom w:val="0"/>
          <w:divBdr>
            <w:top w:val="none" w:sz="0" w:space="0" w:color="auto"/>
            <w:left w:val="none" w:sz="0" w:space="0" w:color="auto"/>
            <w:bottom w:val="none" w:sz="0" w:space="0" w:color="auto"/>
            <w:right w:val="none" w:sz="0" w:space="0" w:color="auto"/>
          </w:divBdr>
        </w:div>
        <w:div w:id="1414930784">
          <w:marLeft w:val="706"/>
          <w:marRight w:val="0"/>
          <w:marTop w:val="120"/>
          <w:marBottom w:val="0"/>
          <w:divBdr>
            <w:top w:val="none" w:sz="0" w:space="0" w:color="auto"/>
            <w:left w:val="none" w:sz="0" w:space="0" w:color="auto"/>
            <w:bottom w:val="none" w:sz="0" w:space="0" w:color="auto"/>
            <w:right w:val="none" w:sz="0" w:space="0" w:color="auto"/>
          </w:divBdr>
        </w:div>
      </w:divsChild>
    </w:div>
    <w:div w:id="2053268130">
      <w:bodyDiv w:val="1"/>
      <w:marLeft w:val="0"/>
      <w:marRight w:val="0"/>
      <w:marTop w:val="0"/>
      <w:marBottom w:val="0"/>
      <w:divBdr>
        <w:top w:val="none" w:sz="0" w:space="0" w:color="auto"/>
        <w:left w:val="none" w:sz="0" w:space="0" w:color="auto"/>
        <w:bottom w:val="none" w:sz="0" w:space="0" w:color="auto"/>
        <w:right w:val="none" w:sz="0" w:space="0" w:color="auto"/>
      </w:divBdr>
      <w:divsChild>
        <w:div w:id="257493579">
          <w:marLeft w:val="0"/>
          <w:marRight w:val="0"/>
          <w:marTop w:val="0"/>
          <w:marBottom w:val="120"/>
          <w:divBdr>
            <w:top w:val="none" w:sz="0" w:space="0" w:color="auto"/>
            <w:left w:val="none" w:sz="0" w:space="0" w:color="auto"/>
            <w:bottom w:val="none" w:sz="0" w:space="0" w:color="auto"/>
            <w:right w:val="none" w:sz="0" w:space="0" w:color="auto"/>
          </w:divBdr>
        </w:div>
      </w:divsChild>
    </w:div>
    <w:div w:id="2054575659">
      <w:bodyDiv w:val="1"/>
      <w:marLeft w:val="0"/>
      <w:marRight w:val="0"/>
      <w:marTop w:val="0"/>
      <w:marBottom w:val="0"/>
      <w:divBdr>
        <w:top w:val="none" w:sz="0" w:space="0" w:color="auto"/>
        <w:left w:val="none" w:sz="0" w:space="0" w:color="auto"/>
        <w:bottom w:val="none" w:sz="0" w:space="0" w:color="auto"/>
        <w:right w:val="none" w:sz="0" w:space="0" w:color="auto"/>
      </w:divBdr>
    </w:div>
    <w:div w:id="2112166337">
      <w:bodyDiv w:val="1"/>
      <w:marLeft w:val="0"/>
      <w:marRight w:val="0"/>
      <w:marTop w:val="0"/>
      <w:marBottom w:val="0"/>
      <w:divBdr>
        <w:top w:val="none" w:sz="0" w:space="0" w:color="auto"/>
        <w:left w:val="none" w:sz="0" w:space="0" w:color="auto"/>
        <w:bottom w:val="none" w:sz="0" w:space="0" w:color="auto"/>
        <w:right w:val="none" w:sz="0" w:space="0" w:color="auto"/>
      </w:divBdr>
      <w:divsChild>
        <w:div w:id="437217984">
          <w:marLeft w:val="0"/>
          <w:marRight w:val="0"/>
          <w:marTop w:val="0"/>
          <w:marBottom w:val="120"/>
          <w:divBdr>
            <w:top w:val="none" w:sz="0" w:space="0" w:color="auto"/>
            <w:left w:val="none" w:sz="0" w:space="0" w:color="auto"/>
            <w:bottom w:val="none" w:sz="0" w:space="0" w:color="auto"/>
            <w:right w:val="none" w:sz="0" w:space="0" w:color="auto"/>
          </w:divBdr>
        </w:div>
        <w:div w:id="846363989">
          <w:marLeft w:val="0"/>
          <w:marRight w:val="0"/>
          <w:marTop w:val="0"/>
          <w:marBottom w:val="120"/>
          <w:divBdr>
            <w:top w:val="none" w:sz="0" w:space="0" w:color="auto"/>
            <w:left w:val="none" w:sz="0" w:space="0" w:color="auto"/>
            <w:bottom w:val="none" w:sz="0" w:space="0" w:color="auto"/>
            <w:right w:val="none" w:sz="0" w:space="0" w:color="auto"/>
          </w:divBdr>
        </w:div>
        <w:div w:id="848060944">
          <w:marLeft w:val="0"/>
          <w:marRight w:val="0"/>
          <w:marTop w:val="0"/>
          <w:marBottom w:val="120"/>
          <w:divBdr>
            <w:top w:val="none" w:sz="0" w:space="0" w:color="auto"/>
            <w:left w:val="none" w:sz="0" w:space="0" w:color="auto"/>
            <w:bottom w:val="none" w:sz="0" w:space="0" w:color="auto"/>
            <w:right w:val="none" w:sz="0" w:space="0" w:color="auto"/>
          </w:divBdr>
        </w:div>
        <w:div w:id="113464424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eader" Target="header4.xml"/><Relationship Id="rId39" Type="http://schemas.openxmlformats.org/officeDocument/2006/relationships/footer" Target="footer6.xml"/><Relationship Id="rId21" Type="http://schemas.openxmlformats.org/officeDocument/2006/relationships/chart" Target="charts/chart4.xml"/><Relationship Id="rId34" Type="http://schemas.openxmlformats.org/officeDocument/2006/relationships/hyperlink" Target="mailto:christiane.breznik@wien.gv.at" TargetMode="External"/><Relationship Id="rId42" Type="http://schemas.openxmlformats.org/officeDocument/2006/relationships/header" Target="header11.xml"/><Relationship Id="rId47" Type="http://schemas.openxmlformats.org/officeDocument/2006/relationships/header" Target="header14.xml"/><Relationship Id="rId50" Type="http://schemas.openxmlformats.org/officeDocument/2006/relationships/header" Target="header15.xml"/><Relationship Id="rId55" Type="http://schemas.openxmlformats.org/officeDocument/2006/relationships/footer" Target="footer13.xml"/><Relationship Id="rId63" Type="http://schemas.openxmlformats.org/officeDocument/2006/relationships/footer" Target="footer17.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3.xml"/><Relationship Id="rId29" Type="http://schemas.openxmlformats.org/officeDocument/2006/relationships/header" Target="header6.xml"/><Relationship Id="rId41" Type="http://schemas.openxmlformats.org/officeDocument/2006/relationships/header" Target="header10.xml"/><Relationship Id="rId54" Type="http://schemas.openxmlformats.org/officeDocument/2006/relationships/footer" Target="footer12.xml"/><Relationship Id="rId62" Type="http://schemas.openxmlformats.org/officeDocument/2006/relationships/header" Target="header2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hyperlink" Target="http://www.interreg-central.eu/CE21-27" TargetMode="External"/><Relationship Id="rId37" Type="http://schemas.openxmlformats.org/officeDocument/2006/relationships/header" Target="header7.xml"/><Relationship Id="rId40" Type="http://schemas.openxmlformats.org/officeDocument/2006/relationships/header" Target="header9.xml"/><Relationship Id="rId45" Type="http://schemas.openxmlformats.org/officeDocument/2006/relationships/header" Target="header12.xml"/><Relationship Id="rId53" Type="http://schemas.openxmlformats.org/officeDocument/2006/relationships/header" Target="header17.xml"/><Relationship Id="rId58" Type="http://schemas.openxmlformats.org/officeDocument/2006/relationships/header" Target="header19.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footer" Target="footer4.xml"/><Relationship Id="rId36" Type="http://schemas.openxmlformats.org/officeDocument/2006/relationships/hyperlink" Target="mailto:petra.wallner@wien.gv.at" TargetMode="External"/><Relationship Id="rId49" Type="http://schemas.openxmlformats.org/officeDocument/2006/relationships/footer" Target="footer10.xml"/><Relationship Id="rId57" Type="http://schemas.openxmlformats.org/officeDocument/2006/relationships/footer" Target="footer14.xml"/><Relationship Id="rId61" Type="http://schemas.openxmlformats.org/officeDocument/2006/relationships/footer" Target="footer16.xml"/><Relationship Id="rId10" Type="http://schemas.openxmlformats.org/officeDocument/2006/relationships/header" Target="header2.xml"/><Relationship Id="rId19" Type="http://schemas.openxmlformats.org/officeDocument/2006/relationships/chart" Target="charts/chart2.xml"/><Relationship Id="rId31" Type="http://schemas.openxmlformats.org/officeDocument/2006/relationships/hyperlink" Target="http://www.interreg-central.eu/CE21-27" TargetMode="External"/><Relationship Id="rId44" Type="http://schemas.openxmlformats.org/officeDocument/2006/relationships/footer" Target="footer8.xml"/><Relationship Id="rId52" Type="http://schemas.openxmlformats.org/officeDocument/2006/relationships/header" Target="header16.xml"/><Relationship Id="rId60" Type="http://schemas.openxmlformats.org/officeDocument/2006/relationships/footer" Target="footer15.xm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hyperlink" Target="mailto:Sonja.schneeweiss@bmlrt.gv.at" TargetMode="External"/><Relationship Id="rId43" Type="http://schemas.openxmlformats.org/officeDocument/2006/relationships/footer" Target="footer7.xml"/><Relationship Id="rId48" Type="http://schemas.openxmlformats.org/officeDocument/2006/relationships/footer" Target="footer9.xml"/><Relationship Id="rId56" Type="http://schemas.openxmlformats.org/officeDocument/2006/relationships/header" Target="header18.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footer" Target="footer1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chart" Target="charts/chart5.xml"/><Relationship Id="rId33" Type="http://schemas.openxmlformats.org/officeDocument/2006/relationships/hyperlink" Target="http://www.interreg-central.eu/CE21-27" TargetMode="External"/><Relationship Id="rId38" Type="http://schemas.openxmlformats.org/officeDocument/2006/relationships/header" Target="header8.xml"/><Relationship Id="rId46" Type="http://schemas.openxmlformats.org/officeDocument/2006/relationships/header" Target="header13.xml"/><Relationship Id="rId59" Type="http://schemas.openxmlformats.org/officeDocument/2006/relationships/header" Target="header20.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2012</c:v>
                </c:pt>
              </c:strCache>
            </c:strRef>
          </c:tx>
          <c:spPr>
            <a:solidFill>
              <a:schemeClr val="accent1"/>
            </a:solidFill>
            <a:ln>
              <a:noFill/>
            </a:ln>
            <a:effectLst/>
          </c:spPr>
          <c:invertIfNegative val="0"/>
          <c:cat>
            <c:strRef>
              <c:f>Sheet1!$A$2:$A$30</c:f>
              <c:strCache>
                <c:ptCount val="29"/>
                <c:pt idx="0">
                  <c:v>MT</c:v>
                </c:pt>
                <c:pt idx="1">
                  <c:v>RO</c:v>
                </c:pt>
                <c:pt idx="2">
                  <c:v>CY</c:v>
                </c:pt>
                <c:pt idx="3">
                  <c:v>EL</c:v>
                </c:pt>
                <c:pt idx="4">
                  <c:v>LV</c:v>
                </c:pt>
                <c:pt idx="5">
                  <c:v>HR</c:v>
                </c:pt>
                <c:pt idx="6">
                  <c:v>EE</c:v>
                </c:pt>
                <c:pt idx="7">
                  <c:v>PT</c:v>
                </c:pt>
                <c:pt idx="8">
                  <c:v>BG</c:v>
                </c:pt>
                <c:pt idx="9">
                  <c:v>PL</c:v>
                </c:pt>
                <c:pt idx="10">
                  <c:v>CZ</c:v>
                </c:pt>
                <c:pt idx="11">
                  <c:v>ES</c:v>
                </c:pt>
                <c:pt idx="12">
                  <c:v>SK</c:v>
                </c:pt>
                <c:pt idx="13">
                  <c:v>HU</c:v>
                </c:pt>
                <c:pt idx="14">
                  <c:v>IE</c:v>
                </c:pt>
                <c:pt idx="15">
                  <c:v>FI</c:v>
                </c:pt>
                <c:pt idx="16">
                  <c:v>FR</c:v>
                </c:pt>
                <c:pt idx="17">
                  <c:v>UK</c:v>
                </c:pt>
                <c:pt idx="18">
                  <c:v>SE</c:v>
                </c:pt>
                <c:pt idx="19">
                  <c:v>EU - 27</c:v>
                </c:pt>
                <c:pt idx="20">
                  <c:v>IT</c:v>
                </c:pt>
                <c:pt idx="21">
                  <c:v>DK</c:v>
                </c:pt>
                <c:pt idx="22">
                  <c:v>LU</c:v>
                </c:pt>
                <c:pt idx="23">
                  <c:v>LT</c:v>
                </c:pt>
                <c:pt idx="24">
                  <c:v>BE</c:v>
                </c:pt>
                <c:pt idx="25">
                  <c:v>NL</c:v>
                </c:pt>
                <c:pt idx="26">
                  <c:v>AT</c:v>
                </c:pt>
                <c:pt idx="27">
                  <c:v>SI</c:v>
                </c:pt>
                <c:pt idx="28">
                  <c:v>DE</c:v>
                </c:pt>
              </c:strCache>
            </c:strRef>
          </c:cat>
          <c:val>
            <c:numRef>
              <c:f>Sheet1!$B$2:$B$30</c:f>
              <c:numCache>
                <c:formatCode>General</c:formatCode>
                <c:ptCount val="29"/>
                <c:pt idx="0">
                  <c:v>9.6999999999999993</c:v>
                </c:pt>
                <c:pt idx="1">
                  <c:v>14.8</c:v>
                </c:pt>
                <c:pt idx="2">
                  <c:v>13.6</c:v>
                </c:pt>
                <c:pt idx="3">
                  <c:v>17</c:v>
                </c:pt>
                <c:pt idx="4">
                  <c:v>14.7</c:v>
                </c:pt>
                <c:pt idx="5">
                  <c:v>14.7</c:v>
                </c:pt>
                <c:pt idx="6">
                  <c:v>19.100000000000001</c:v>
                </c:pt>
                <c:pt idx="7">
                  <c:v>26.1</c:v>
                </c:pt>
                <c:pt idx="8">
                  <c:v>25</c:v>
                </c:pt>
                <c:pt idx="9">
                  <c:v>12</c:v>
                </c:pt>
                <c:pt idx="10">
                  <c:v>23.2</c:v>
                </c:pt>
                <c:pt idx="11">
                  <c:v>29.8</c:v>
                </c:pt>
                <c:pt idx="12">
                  <c:v>13.4</c:v>
                </c:pt>
                <c:pt idx="13">
                  <c:v>25.5</c:v>
                </c:pt>
                <c:pt idx="14">
                  <c:v>36.6</c:v>
                </c:pt>
                <c:pt idx="15">
                  <c:v>33.299999999999997</c:v>
                </c:pt>
                <c:pt idx="16">
                  <c:v>37.700000000000003</c:v>
                </c:pt>
                <c:pt idx="17">
                  <c:v>42.6</c:v>
                </c:pt>
                <c:pt idx="18">
                  <c:v>46.9</c:v>
                </c:pt>
                <c:pt idx="19">
                  <c:v>40.9</c:v>
                </c:pt>
                <c:pt idx="20">
                  <c:v>38.4</c:v>
                </c:pt>
                <c:pt idx="21">
                  <c:v>42.5</c:v>
                </c:pt>
                <c:pt idx="22">
                  <c:v>47.4</c:v>
                </c:pt>
                <c:pt idx="23">
                  <c:v>23.5</c:v>
                </c:pt>
                <c:pt idx="24">
                  <c:v>53.4</c:v>
                </c:pt>
                <c:pt idx="25">
                  <c:v>49.4</c:v>
                </c:pt>
                <c:pt idx="26">
                  <c:v>57.7</c:v>
                </c:pt>
                <c:pt idx="27">
                  <c:v>41.9</c:v>
                </c:pt>
                <c:pt idx="28">
                  <c:v>65.2</c:v>
                </c:pt>
              </c:numCache>
            </c:numRef>
          </c:val>
          <c:extLst xmlns:c16r2="http://schemas.microsoft.com/office/drawing/2015/06/chart">
            <c:ext xmlns:c16="http://schemas.microsoft.com/office/drawing/2014/chart" uri="{C3380CC4-5D6E-409C-BE32-E72D297353CC}">
              <c16:uniqueId val="{00000000-96D4-4E44-8512-52880DCABA78}"/>
            </c:ext>
          </c:extLst>
        </c:ser>
        <c:ser>
          <c:idx val="1"/>
          <c:order val="1"/>
          <c:tx>
            <c:strRef>
              <c:f>Sheet1!$C$1</c:f>
              <c:strCache>
                <c:ptCount val="1"/>
                <c:pt idx="0">
                  <c:v>2018</c:v>
                </c:pt>
              </c:strCache>
            </c:strRef>
          </c:tx>
          <c:spPr>
            <a:solidFill>
              <a:schemeClr val="accent2"/>
            </a:solidFill>
            <a:ln>
              <a:noFill/>
            </a:ln>
            <a:effectLst/>
          </c:spPr>
          <c:invertIfNegative val="0"/>
          <c:cat>
            <c:strRef>
              <c:f>Sheet1!$A$2:$A$30</c:f>
              <c:strCache>
                <c:ptCount val="29"/>
                <c:pt idx="0">
                  <c:v>MT</c:v>
                </c:pt>
                <c:pt idx="1">
                  <c:v>RO</c:v>
                </c:pt>
                <c:pt idx="2">
                  <c:v>CY</c:v>
                </c:pt>
                <c:pt idx="3">
                  <c:v>EL</c:v>
                </c:pt>
                <c:pt idx="4">
                  <c:v>LV</c:v>
                </c:pt>
                <c:pt idx="5">
                  <c:v>HR</c:v>
                </c:pt>
                <c:pt idx="6">
                  <c:v>EE</c:v>
                </c:pt>
                <c:pt idx="7">
                  <c:v>PT</c:v>
                </c:pt>
                <c:pt idx="8">
                  <c:v>BG</c:v>
                </c:pt>
                <c:pt idx="9">
                  <c:v>PL</c:v>
                </c:pt>
                <c:pt idx="10">
                  <c:v>CZ</c:v>
                </c:pt>
                <c:pt idx="11">
                  <c:v>ES</c:v>
                </c:pt>
                <c:pt idx="12">
                  <c:v>SK</c:v>
                </c:pt>
                <c:pt idx="13">
                  <c:v>HU</c:v>
                </c:pt>
                <c:pt idx="14">
                  <c:v>IE</c:v>
                </c:pt>
                <c:pt idx="15">
                  <c:v>FI</c:v>
                </c:pt>
                <c:pt idx="16">
                  <c:v>FR</c:v>
                </c:pt>
                <c:pt idx="17">
                  <c:v>UK</c:v>
                </c:pt>
                <c:pt idx="18">
                  <c:v>SE</c:v>
                </c:pt>
                <c:pt idx="19">
                  <c:v>EU - 27</c:v>
                </c:pt>
                <c:pt idx="20">
                  <c:v>IT</c:v>
                </c:pt>
                <c:pt idx="21">
                  <c:v>DK</c:v>
                </c:pt>
                <c:pt idx="22">
                  <c:v>LU</c:v>
                </c:pt>
                <c:pt idx="23">
                  <c:v>LT</c:v>
                </c:pt>
                <c:pt idx="24">
                  <c:v>BE</c:v>
                </c:pt>
                <c:pt idx="25">
                  <c:v>NL</c:v>
                </c:pt>
                <c:pt idx="26">
                  <c:v>AT</c:v>
                </c:pt>
                <c:pt idx="27">
                  <c:v>SI</c:v>
                </c:pt>
                <c:pt idx="28">
                  <c:v>DE</c:v>
                </c:pt>
              </c:strCache>
            </c:strRef>
          </c:cat>
          <c:val>
            <c:numRef>
              <c:f>Sheet1!$C$2:$C$30</c:f>
              <c:numCache>
                <c:formatCode>General</c:formatCode>
                <c:ptCount val="29"/>
                <c:pt idx="0">
                  <c:v>6.5</c:v>
                </c:pt>
                <c:pt idx="1">
                  <c:v>11.1</c:v>
                </c:pt>
                <c:pt idx="2">
                  <c:v>16.100000000000001</c:v>
                </c:pt>
                <c:pt idx="3">
                  <c:v>18.899999999999999</c:v>
                </c:pt>
                <c:pt idx="4">
                  <c:v>25.2</c:v>
                </c:pt>
                <c:pt idx="5">
                  <c:v>25.3</c:v>
                </c:pt>
                <c:pt idx="6">
                  <c:v>28</c:v>
                </c:pt>
                <c:pt idx="7">
                  <c:v>28.9</c:v>
                </c:pt>
                <c:pt idx="8">
                  <c:v>31.5</c:v>
                </c:pt>
                <c:pt idx="9">
                  <c:v>34.299999999999997</c:v>
                </c:pt>
                <c:pt idx="10">
                  <c:v>34.5</c:v>
                </c:pt>
                <c:pt idx="11">
                  <c:v>36</c:v>
                </c:pt>
                <c:pt idx="12">
                  <c:v>36.299999999999997</c:v>
                </c:pt>
                <c:pt idx="13">
                  <c:v>37.4</c:v>
                </c:pt>
                <c:pt idx="14">
                  <c:v>40.4</c:v>
                </c:pt>
                <c:pt idx="15">
                  <c:v>42.3</c:v>
                </c:pt>
                <c:pt idx="16">
                  <c:v>44</c:v>
                </c:pt>
                <c:pt idx="17">
                  <c:v>44.1</c:v>
                </c:pt>
                <c:pt idx="18">
                  <c:v>45.8</c:v>
                </c:pt>
                <c:pt idx="19">
                  <c:v>47.4</c:v>
                </c:pt>
                <c:pt idx="20">
                  <c:v>49.8</c:v>
                </c:pt>
                <c:pt idx="21">
                  <c:v>49.9</c:v>
                </c:pt>
                <c:pt idx="22">
                  <c:v>50.1</c:v>
                </c:pt>
                <c:pt idx="23">
                  <c:v>52.5</c:v>
                </c:pt>
                <c:pt idx="24">
                  <c:v>54.6</c:v>
                </c:pt>
                <c:pt idx="25">
                  <c:v>55.9</c:v>
                </c:pt>
                <c:pt idx="26">
                  <c:v>57.7</c:v>
                </c:pt>
                <c:pt idx="27">
                  <c:v>58.9</c:v>
                </c:pt>
                <c:pt idx="28">
                  <c:v>67.3</c:v>
                </c:pt>
              </c:numCache>
            </c:numRef>
          </c:val>
          <c:extLst xmlns:c16r2="http://schemas.microsoft.com/office/drawing/2015/06/chart">
            <c:ext xmlns:c16="http://schemas.microsoft.com/office/drawing/2014/chart" uri="{C3380CC4-5D6E-409C-BE32-E72D297353CC}">
              <c16:uniqueId val="{00000001-96D4-4E44-8512-52880DCABA78}"/>
            </c:ext>
          </c:extLst>
        </c:ser>
        <c:dLbls>
          <c:showLegendKey val="0"/>
          <c:showVal val="0"/>
          <c:showCatName val="0"/>
          <c:showSerName val="0"/>
          <c:showPercent val="0"/>
          <c:showBubbleSize val="0"/>
        </c:dLbls>
        <c:gapWidth val="182"/>
        <c:axId val="324783104"/>
        <c:axId val="324788992"/>
      </c:barChart>
      <c:catAx>
        <c:axId val="3247831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rebuchet MS" panose="020B0603020202020204" pitchFamily="34" charset="0"/>
                <a:ea typeface="+mn-ea"/>
                <a:cs typeface="+mn-cs"/>
              </a:defRPr>
            </a:pPr>
            <a:endParaRPr lang="pl-PL"/>
          </a:p>
        </c:txPr>
        <c:crossAx val="324788992"/>
        <c:crosses val="autoZero"/>
        <c:auto val="1"/>
        <c:lblAlgn val="ctr"/>
        <c:lblOffset val="100"/>
        <c:noMultiLvlLbl val="0"/>
      </c:catAx>
      <c:valAx>
        <c:axId val="3247889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4783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rebuchet MS" panose="020B0603020202020204" pitchFamily="34" charset="0"/>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2005</c:v>
                </c:pt>
              </c:strCache>
            </c:strRef>
          </c:tx>
          <c:spPr>
            <a:solidFill>
              <a:schemeClr val="accent1"/>
            </a:solidFill>
            <a:ln>
              <a:noFill/>
            </a:ln>
            <a:effectLst/>
          </c:spPr>
          <c:invertIfNegative val="0"/>
          <c:cat>
            <c:strRef>
              <c:f>Sheet1!$A$2:$A$11</c:f>
              <c:strCache>
                <c:ptCount val="10"/>
                <c:pt idx="0">
                  <c:v>EU28</c:v>
                </c:pt>
                <c:pt idx="1">
                  <c:v>AT</c:v>
                </c:pt>
                <c:pt idx="2">
                  <c:v>HR</c:v>
                </c:pt>
                <c:pt idx="3">
                  <c:v>CZ</c:v>
                </c:pt>
                <c:pt idx="4">
                  <c:v>DE</c:v>
                </c:pt>
                <c:pt idx="5">
                  <c:v>HU</c:v>
                </c:pt>
                <c:pt idx="6">
                  <c:v>IT</c:v>
                </c:pt>
                <c:pt idx="7">
                  <c:v>PL</c:v>
                </c:pt>
                <c:pt idx="8">
                  <c:v>SK</c:v>
                </c:pt>
                <c:pt idx="9">
                  <c:v>SI</c:v>
                </c:pt>
              </c:strCache>
            </c:strRef>
          </c:cat>
          <c:val>
            <c:numRef>
              <c:f>Sheet1!$B$2:$B$11</c:f>
              <c:numCache>
                <c:formatCode>General</c:formatCode>
                <c:ptCount val="10"/>
                <c:pt idx="0">
                  <c:v>17.933</c:v>
                </c:pt>
                <c:pt idx="1">
                  <c:v>19.388000000000002</c:v>
                </c:pt>
                <c:pt idx="2">
                  <c:v>23.72</c:v>
                </c:pt>
                <c:pt idx="3">
                  <c:v>22.280999999999999</c:v>
                </c:pt>
                <c:pt idx="4">
                  <c:v>20.010999999999999</c:v>
                </c:pt>
                <c:pt idx="5">
                  <c:v>22.207000000000001</c:v>
                </c:pt>
                <c:pt idx="6">
                  <c:v>14.824</c:v>
                </c:pt>
                <c:pt idx="7">
                  <c:v>21.423999999999999</c:v>
                </c:pt>
                <c:pt idx="8">
                  <c:v>17.518999999999998</c:v>
                </c:pt>
                <c:pt idx="9">
                  <c:v>20.074999999999999</c:v>
                </c:pt>
              </c:numCache>
            </c:numRef>
          </c:val>
          <c:extLst xmlns:c16r2="http://schemas.microsoft.com/office/drawing/2015/06/chart">
            <c:ext xmlns:c16="http://schemas.microsoft.com/office/drawing/2014/chart" uri="{C3380CC4-5D6E-409C-BE32-E72D297353CC}">
              <c16:uniqueId val="{00000000-341B-4E88-A548-FA5079A6840E}"/>
            </c:ext>
          </c:extLst>
        </c:ser>
        <c:ser>
          <c:idx val="1"/>
          <c:order val="1"/>
          <c:tx>
            <c:strRef>
              <c:f>Sheet1!$C$1</c:f>
              <c:strCache>
                <c:ptCount val="1"/>
                <c:pt idx="0">
                  <c:v>2018</c:v>
                </c:pt>
              </c:strCache>
            </c:strRef>
          </c:tx>
          <c:spPr>
            <a:solidFill>
              <a:schemeClr val="accent2"/>
            </a:solidFill>
            <a:ln>
              <a:noFill/>
            </a:ln>
            <a:effectLst/>
          </c:spPr>
          <c:invertIfNegative val="0"/>
          <c:cat>
            <c:strRef>
              <c:f>Sheet1!$A$2:$A$11</c:f>
              <c:strCache>
                <c:ptCount val="10"/>
                <c:pt idx="0">
                  <c:v>EU28</c:v>
                </c:pt>
                <c:pt idx="1">
                  <c:v>AT</c:v>
                </c:pt>
                <c:pt idx="2">
                  <c:v>HR</c:v>
                </c:pt>
                <c:pt idx="3">
                  <c:v>CZ</c:v>
                </c:pt>
                <c:pt idx="4">
                  <c:v>DE</c:v>
                </c:pt>
                <c:pt idx="5">
                  <c:v>HU</c:v>
                </c:pt>
                <c:pt idx="6">
                  <c:v>IT</c:v>
                </c:pt>
                <c:pt idx="7">
                  <c:v>PL</c:v>
                </c:pt>
                <c:pt idx="8">
                  <c:v>SK</c:v>
                </c:pt>
                <c:pt idx="9">
                  <c:v>SI</c:v>
                </c:pt>
              </c:strCache>
            </c:strRef>
          </c:cat>
          <c:val>
            <c:numRef>
              <c:f>Sheet1!$C$2:$C$11</c:f>
              <c:numCache>
                <c:formatCode>General</c:formatCode>
                <c:ptCount val="10"/>
                <c:pt idx="0">
                  <c:v>14.468999999999999</c:v>
                </c:pt>
                <c:pt idx="1">
                  <c:v>19.157</c:v>
                </c:pt>
                <c:pt idx="2">
                  <c:v>18.777999999999999</c:v>
                </c:pt>
                <c:pt idx="3">
                  <c:v>21.527999999999999</c:v>
                </c:pt>
                <c:pt idx="4">
                  <c:v>18.027999999999999</c:v>
                </c:pt>
                <c:pt idx="5">
                  <c:v>20.635999999999999</c:v>
                </c:pt>
                <c:pt idx="6">
                  <c:v>15.301</c:v>
                </c:pt>
                <c:pt idx="7">
                  <c:v>20.667999999999999</c:v>
                </c:pt>
                <c:pt idx="8">
                  <c:v>14.83</c:v>
                </c:pt>
                <c:pt idx="9">
                  <c:v>18.334</c:v>
                </c:pt>
              </c:numCache>
            </c:numRef>
          </c:val>
          <c:extLst xmlns:c16r2="http://schemas.microsoft.com/office/drawing/2015/06/chart">
            <c:ext xmlns:c16="http://schemas.microsoft.com/office/drawing/2014/chart" uri="{C3380CC4-5D6E-409C-BE32-E72D297353CC}">
              <c16:uniqueId val="{00000001-341B-4E88-A548-FA5079A6840E}"/>
            </c:ext>
          </c:extLst>
        </c:ser>
        <c:dLbls>
          <c:showLegendKey val="0"/>
          <c:showVal val="0"/>
          <c:showCatName val="0"/>
          <c:showSerName val="0"/>
          <c:showPercent val="0"/>
          <c:showBubbleSize val="0"/>
        </c:dLbls>
        <c:gapWidth val="219"/>
        <c:overlap val="-27"/>
        <c:axId val="324808064"/>
        <c:axId val="324818048"/>
      </c:barChart>
      <c:catAx>
        <c:axId val="32480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4818048"/>
        <c:crosses val="autoZero"/>
        <c:auto val="1"/>
        <c:lblAlgn val="ctr"/>
        <c:lblOffset val="100"/>
        <c:noMultiLvlLbl val="0"/>
      </c:catAx>
      <c:valAx>
        <c:axId val="324818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48080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592782296920712"/>
          <c:y val="0.17726457327914655"/>
          <c:w val="0.71072670256373216"/>
          <c:h val="0.68436229997459996"/>
        </c:manualLayout>
      </c:layout>
      <c:lineChart>
        <c:grouping val="standard"/>
        <c:varyColors val="0"/>
        <c:ser>
          <c:idx val="0"/>
          <c:order val="0"/>
          <c:tx>
            <c:strRef>
              <c:f>Sheet1!$A$2</c:f>
              <c:strCache>
                <c:ptCount val="1"/>
                <c:pt idx="0">
                  <c:v>EU-28: Transport GHG</c:v>
                </c:pt>
              </c:strCache>
            </c:strRef>
          </c:tx>
          <c:spPr>
            <a:ln w="19050" cap="rnd">
              <a:solidFill>
                <a:schemeClr val="accent1"/>
              </a:solidFill>
              <a:round/>
            </a:ln>
            <a:effectLst/>
          </c:spPr>
          <c:marker>
            <c:symbol val="none"/>
          </c:marker>
          <c:cat>
            <c:strRef>
              <c:f>Sheet1!$B$1:$AD$1</c:f>
              <c:strCach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strCache>
            </c:strRef>
          </c:cat>
          <c:val>
            <c:numRef>
              <c:f>Sheet1!$B$2:$AD$2</c:f>
              <c:numCache>
                <c:formatCode>General</c:formatCode>
                <c:ptCount val="29"/>
                <c:pt idx="0">
                  <c:v>974.17081502000008</c:v>
                </c:pt>
                <c:pt idx="1">
                  <c:v>978.82807728</c:v>
                </c:pt>
                <c:pt idx="2">
                  <c:v>1009.4362891000001</c:v>
                </c:pt>
                <c:pt idx="3">
                  <c:v>1018.69513633</c:v>
                </c:pt>
                <c:pt idx="4">
                  <c:v>1028.56446691</c:v>
                </c:pt>
                <c:pt idx="5">
                  <c:v>1045.7142727400001</c:v>
                </c:pt>
                <c:pt idx="6">
                  <c:v>1084.21771887</c:v>
                </c:pt>
                <c:pt idx="7">
                  <c:v>1109.6442957100001</c:v>
                </c:pt>
                <c:pt idx="8">
                  <c:v>1151.0187756099999</c:v>
                </c:pt>
                <c:pt idx="9">
                  <c:v>1172.2244733100001</c:v>
                </c:pt>
                <c:pt idx="10">
                  <c:v>1179.71257311</c:v>
                </c:pt>
                <c:pt idx="11">
                  <c:v>1196.5778544299999</c:v>
                </c:pt>
                <c:pt idx="12">
                  <c:v>1209.8080999199999</c:v>
                </c:pt>
                <c:pt idx="13">
                  <c:v>1225.0303422299999</c:v>
                </c:pt>
                <c:pt idx="14">
                  <c:v>1261.75315604</c:v>
                </c:pt>
                <c:pt idx="15">
                  <c:v>1273.3374373300001</c:v>
                </c:pt>
                <c:pt idx="16">
                  <c:v>1297.9657030000001</c:v>
                </c:pt>
                <c:pt idx="17">
                  <c:v>1319.71137967</c:v>
                </c:pt>
                <c:pt idx="18">
                  <c:v>1297.1259417199999</c:v>
                </c:pt>
                <c:pt idx="19">
                  <c:v>1239.99673237</c:v>
                </c:pt>
                <c:pt idx="20">
                  <c:v>1232.4824630800001</c:v>
                </c:pt>
                <c:pt idx="21">
                  <c:v>1225.56199429</c:v>
                </c:pt>
                <c:pt idx="22">
                  <c:v>1180.3271905399999</c:v>
                </c:pt>
                <c:pt idx="23">
                  <c:v>1167.10881498</c:v>
                </c:pt>
                <c:pt idx="24">
                  <c:v>1173.70422734</c:v>
                </c:pt>
                <c:pt idx="25">
                  <c:v>1193.9773080100001</c:v>
                </c:pt>
                <c:pt idx="26">
                  <c:v>1228.1905864599998</c:v>
                </c:pt>
                <c:pt idx="27">
                  <c:v>1255.6629936100003</c:v>
                </c:pt>
                <c:pt idx="28">
                  <c:v>1265.3266202500001</c:v>
                </c:pt>
              </c:numCache>
            </c:numRef>
          </c:val>
          <c:smooth val="0"/>
          <c:extLst xmlns:c16r2="http://schemas.microsoft.com/office/drawing/2015/06/chart">
            <c:ext xmlns:c16="http://schemas.microsoft.com/office/drawing/2014/chart" uri="{C3380CC4-5D6E-409C-BE32-E72D297353CC}">
              <c16:uniqueId val="{00000000-9CC8-4715-B178-799CC85B90BF}"/>
            </c:ext>
          </c:extLst>
        </c:ser>
        <c:ser>
          <c:idx val="1"/>
          <c:order val="1"/>
          <c:tx>
            <c:strRef>
              <c:f>Sheet1!$A$3</c:f>
              <c:strCache>
                <c:ptCount val="1"/>
                <c:pt idx="0">
                  <c:v>CE: Transport GHG</c:v>
                </c:pt>
              </c:strCache>
            </c:strRef>
          </c:tx>
          <c:spPr>
            <a:ln w="19050" cap="rnd">
              <a:solidFill>
                <a:schemeClr val="accent2"/>
              </a:solidFill>
              <a:round/>
            </a:ln>
            <a:effectLst/>
          </c:spPr>
          <c:marker>
            <c:symbol val="none"/>
          </c:marker>
          <c:cat>
            <c:strRef>
              <c:f>Sheet1!$B$1:$AD$1</c:f>
              <c:strCach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strCache>
            </c:strRef>
          </c:cat>
          <c:val>
            <c:numRef>
              <c:f>Sheet1!$B$3:$AD$3</c:f>
              <c:numCache>
                <c:formatCode>General</c:formatCode>
                <c:ptCount val="29"/>
                <c:pt idx="0">
                  <c:v>367.91146262000007</c:v>
                </c:pt>
                <c:pt idx="1">
                  <c:v>368.99735683999995</c:v>
                </c:pt>
                <c:pt idx="2">
                  <c:v>380.33093338000003</c:v>
                </c:pt>
                <c:pt idx="3">
                  <c:v>388.62739282000001</c:v>
                </c:pt>
                <c:pt idx="4">
                  <c:v>387.65425944999998</c:v>
                </c:pt>
                <c:pt idx="5">
                  <c:v>397.66887652000003</c:v>
                </c:pt>
                <c:pt idx="6">
                  <c:v>405.61810375000005</c:v>
                </c:pt>
                <c:pt idx="7">
                  <c:v>410.89945645</c:v>
                </c:pt>
                <c:pt idx="8">
                  <c:v>425.13743408000005</c:v>
                </c:pt>
                <c:pt idx="9">
                  <c:v>436.90879137999997</c:v>
                </c:pt>
                <c:pt idx="10">
                  <c:v>432.6523072</c:v>
                </c:pt>
                <c:pt idx="11">
                  <c:v>433.81355574000003</c:v>
                </c:pt>
                <c:pt idx="12">
                  <c:v>435.97591864000003</c:v>
                </c:pt>
                <c:pt idx="13">
                  <c:v>439.36594964999995</c:v>
                </c:pt>
                <c:pt idx="14">
                  <c:v>449.40252124</c:v>
                </c:pt>
                <c:pt idx="15">
                  <c:v>450.67471898000002</c:v>
                </c:pt>
                <c:pt idx="16">
                  <c:v>454.6894721700001</c:v>
                </c:pt>
                <c:pt idx="17">
                  <c:v>462.34005904999992</c:v>
                </c:pt>
                <c:pt idx="18">
                  <c:v>457.28230289000004</c:v>
                </c:pt>
                <c:pt idx="19">
                  <c:v>443.62142532999997</c:v>
                </c:pt>
                <c:pt idx="20">
                  <c:v>444.33612529999999</c:v>
                </c:pt>
                <c:pt idx="21">
                  <c:v>443.91475458999997</c:v>
                </c:pt>
                <c:pt idx="22">
                  <c:v>431.50796957000006</c:v>
                </c:pt>
                <c:pt idx="23">
                  <c:v>428.51420626999999</c:v>
                </c:pt>
                <c:pt idx="24">
                  <c:v>434.02360211000007</c:v>
                </c:pt>
                <c:pt idx="25">
                  <c:v>442.54324513</c:v>
                </c:pt>
                <c:pt idx="26">
                  <c:v>459.42628033999995</c:v>
                </c:pt>
                <c:pt idx="27">
                  <c:v>472.51172382999994</c:v>
                </c:pt>
                <c:pt idx="28">
                  <c:v>473.08519947999997</c:v>
                </c:pt>
              </c:numCache>
            </c:numRef>
          </c:val>
          <c:smooth val="0"/>
          <c:extLst xmlns:c16r2="http://schemas.microsoft.com/office/drawing/2015/06/chart">
            <c:ext xmlns:c16="http://schemas.microsoft.com/office/drawing/2014/chart" uri="{C3380CC4-5D6E-409C-BE32-E72D297353CC}">
              <c16:uniqueId val="{00000001-9CC8-4715-B178-799CC85B90BF}"/>
            </c:ext>
          </c:extLst>
        </c:ser>
        <c:dLbls>
          <c:showLegendKey val="0"/>
          <c:showVal val="0"/>
          <c:showCatName val="0"/>
          <c:showSerName val="0"/>
          <c:showPercent val="0"/>
          <c:showBubbleSize val="0"/>
        </c:dLbls>
        <c:marker val="1"/>
        <c:smooth val="0"/>
        <c:axId val="471363584"/>
        <c:axId val="471365120"/>
      </c:lineChart>
      <c:lineChart>
        <c:grouping val="standard"/>
        <c:varyColors val="0"/>
        <c:ser>
          <c:idx val="2"/>
          <c:order val="2"/>
          <c:tx>
            <c:strRef>
              <c:f>Sheet1!$A$4</c:f>
              <c:strCache>
                <c:ptCount val="1"/>
                <c:pt idx="0">
                  <c:v>EU-28: % of total GHG</c:v>
                </c:pt>
              </c:strCache>
            </c:strRef>
          </c:tx>
          <c:spPr>
            <a:ln w="19050" cap="rnd">
              <a:solidFill>
                <a:schemeClr val="bg1">
                  <a:lumMod val="65000"/>
                </a:schemeClr>
              </a:solidFill>
              <a:prstDash val="sysDash"/>
              <a:round/>
            </a:ln>
            <a:effectLst/>
          </c:spPr>
          <c:marker>
            <c:symbol val="none"/>
          </c:marker>
          <c:cat>
            <c:strRef>
              <c:f>Sheet1!$B$1:$AD$1</c:f>
              <c:strCach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strCache>
            </c:strRef>
          </c:cat>
          <c:val>
            <c:numRef>
              <c:f>Sheet1!$B$4:$AD$4</c:f>
              <c:numCache>
                <c:formatCode>General</c:formatCode>
                <c:ptCount val="29"/>
                <c:pt idx="0">
                  <c:v>17.026878610254006</c:v>
                </c:pt>
                <c:pt idx="1">
                  <c:v>17.399989028921574</c:v>
                </c:pt>
                <c:pt idx="2">
                  <c:v>18.493994675024648</c:v>
                </c:pt>
                <c:pt idx="3">
                  <c:v>18.997262822966459</c:v>
                </c:pt>
                <c:pt idx="4">
                  <c:v>19.261747058034022</c:v>
                </c:pt>
                <c:pt idx="5">
                  <c:v>19.384439461089528</c:v>
                </c:pt>
                <c:pt idx="6">
                  <c:v>19.673222412663353</c:v>
                </c:pt>
                <c:pt idx="7">
                  <c:v>20.46787343553919</c:v>
                </c:pt>
                <c:pt idx="8">
                  <c:v>21.364444745682317</c:v>
                </c:pt>
                <c:pt idx="9">
                  <c:v>22.171803962893897</c:v>
                </c:pt>
                <c:pt idx="10">
                  <c:v>22.317727382169053</c:v>
                </c:pt>
                <c:pt idx="11">
                  <c:v>22.435458224811004</c:v>
                </c:pt>
                <c:pt idx="12">
                  <c:v>22.837511695249425</c:v>
                </c:pt>
                <c:pt idx="13">
                  <c:v>22.724782312362475</c:v>
                </c:pt>
                <c:pt idx="14">
                  <c:v>23.361008673098322</c:v>
                </c:pt>
                <c:pt idx="15">
                  <c:v>23.695651415380226</c:v>
                </c:pt>
                <c:pt idx="16">
                  <c:v>24.188662865868853</c:v>
                </c:pt>
                <c:pt idx="17">
                  <c:v>24.797146151639755</c:v>
                </c:pt>
                <c:pt idx="18">
                  <c:v>24.912808298792992</c:v>
                </c:pt>
                <c:pt idx="19">
                  <c:v>25.698260071871253</c:v>
                </c:pt>
                <c:pt idx="20">
                  <c:v>24.996357513027323</c:v>
                </c:pt>
                <c:pt idx="21">
                  <c:v>25.670644994710635</c:v>
                </c:pt>
                <c:pt idx="22">
                  <c:v>25.058538167110044</c:v>
                </c:pt>
                <c:pt idx="23">
                  <c:v>25.29626702431894</c:v>
                </c:pt>
                <c:pt idx="24">
                  <c:v>26.438122710558794</c:v>
                </c:pt>
                <c:pt idx="25">
                  <c:v>26.660490962874405</c:v>
                </c:pt>
                <c:pt idx="26">
                  <c:v>27.548994779824664</c:v>
                </c:pt>
                <c:pt idx="27">
                  <c:v>28.000463055027421</c:v>
                </c:pt>
                <c:pt idx="28">
                  <c:v>28.810847755771711</c:v>
                </c:pt>
              </c:numCache>
            </c:numRef>
          </c:val>
          <c:smooth val="0"/>
          <c:extLst xmlns:c16r2="http://schemas.microsoft.com/office/drawing/2015/06/chart">
            <c:ext xmlns:c16="http://schemas.microsoft.com/office/drawing/2014/chart" uri="{C3380CC4-5D6E-409C-BE32-E72D297353CC}">
              <c16:uniqueId val="{00000002-9CC8-4715-B178-799CC85B90BF}"/>
            </c:ext>
          </c:extLst>
        </c:ser>
        <c:ser>
          <c:idx val="3"/>
          <c:order val="3"/>
          <c:tx>
            <c:strRef>
              <c:f>Sheet1!$A$5</c:f>
              <c:strCache>
                <c:ptCount val="1"/>
                <c:pt idx="0">
                  <c:v>CE: % of total GHG</c:v>
                </c:pt>
              </c:strCache>
            </c:strRef>
          </c:tx>
          <c:spPr>
            <a:ln w="19050" cap="rnd">
              <a:solidFill>
                <a:schemeClr val="accent2">
                  <a:lumMod val="60000"/>
                  <a:lumOff val="40000"/>
                </a:schemeClr>
              </a:solidFill>
              <a:prstDash val="sysDash"/>
              <a:round/>
            </a:ln>
            <a:effectLst/>
          </c:spPr>
          <c:marker>
            <c:symbol val="none"/>
          </c:marker>
          <c:cat>
            <c:strRef>
              <c:f>Sheet1!$B$1:$AD$1</c:f>
              <c:strCache>
                <c:ptCount val="29"/>
                <c:pt idx="0">
                  <c:v>1990</c:v>
                </c:pt>
                <c:pt idx="1">
                  <c:v>1991</c:v>
                </c:pt>
                <c:pt idx="2">
                  <c:v>1992</c:v>
                </c:pt>
                <c:pt idx="3">
                  <c:v>1993</c:v>
                </c:pt>
                <c:pt idx="4">
                  <c:v>1994</c:v>
                </c:pt>
                <c:pt idx="5">
                  <c:v>1995</c:v>
                </c:pt>
                <c:pt idx="6">
                  <c:v>1996</c:v>
                </c:pt>
                <c:pt idx="7">
                  <c:v>1997</c:v>
                </c:pt>
                <c:pt idx="8">
                  <c:v>1998</c:v>
                </c:pt>
                <c:pt idx="9">
                  <c:v>1999</c:v>
                </c:pt>
                <c:pt idx="10">
                  <c:v>2000</c:v>
                </c:pt>
                <c:pt idx="11">
                  <c:v>2001</c:v>
                </c:pt>
                <c:pt idx="12">
                  <c:v>2002</c:v>
                </c:pt>
                <c:pt idx="13">
                  <c:v>2003</c:v>
                </c:pt>
                <c:pt idx="14">
                  <c:v>2004</c:v>
                </c:pt>
                <c:pt idx="15">
                  <c:v>2005</c:v>
                </c:pt>
                <c:pt idx="16">
                  <c:v>2006</c:v>
                </c:pt>
                <c:pt idx="17">
                  <c:v>2007</c:v>
                </c:pt>
                <c:pt idx="18">
                  <c:v>2008</c:v>
                </c:pt>
                <c:pt idx="19">
                  <c:v>2009</c:v>
                </c:pt>
                <c:pt idx="20">
                  <c:v>2010</c:v>
                </c:pt>
                <c:pt idx="21">
                  <c:v>2011</c:v>
                </c:pt>
                <c:pt idx="22">
                  <c:v>2012</c:v>
                </c:pt>
                <c:pt idx="23">
                  <c:v>2013</c:v>
                </c:pt>
                <c:pt idx="24">
                  <c:v>2014</c:v>
                </c:pt>
                <c:pt idx="25">
                  <c:v>2015</c:v>
                </c:pt>
                <c:pt idx="26">
                  <c:v>2016</c:v>
                </c:pt>
                <c:pt idx="27">
                  <c:v>2017</c:v>
                </c:pt>
                <c:pt idx="28">
                  <c:v>2018</c:v>
                </c:pt>
              </c:strCache>
            </c:strRef>
          </c:cat>
          <c:val>
            <c:numRef>
              <c:f>Sheet1!$B$5:$AD$5</c:f>
              <c:numCache>
                <c:formatCode>General</c:formatCode>
                <c:ptCount val="29"/>
                <c:pt idx="0">
                  <c:v>13.35049090894381</c:v>
                </c:pt>
                <c:pt idx="1">
                  <c:v>13.87742705000904</c:v>
                </c:pt>
                <c:pt idx="2">
                  <c:v>14.82474164702634</c:v>
                </c:pt>
                <c:pt idx="3">
                  <c:v>15.295103213961461</c:v>
                </c:pt>
                <c:pt idx="4">
                  <c:v>15.504007330029701</c:v>
                </c:pt>
                <c:pt idx="5">
                  <c:v>15.721656816465474</c:v>
                </c:pt>
                <c:pt idx="6">
                  <c:v>15.805932856543015</c:v>
                </c:pt>
                <c:pt idx="7">
                  <c:v>16.277089402464075</c:v>
                </c:pt>
                <c:pt idx="8">
                  <c:v>17.181203256042235</c:v>
                </c:pt>
                <c:pt idx="9">
                  <c:v>18.017872993396843</c:v>
                </c:pt>
                <c:pt idx="10">
                  <c:v>17.86475146379599</c:v>
                </c:pt>
                <c:pt idx="11">
                  <c:v>17.727597868373696</c:v>
                </c:pt>
                <c:pt idx="12">
                  <c:v>18.037516574249736</c:v>
                </c:pt>
                <c:pt idx="13">
                  <c:v>17.845490037295498</c:v>
                </c:pt>
                <c:pt idx="14">
                  <c:v>18.271914583018141</c:v>
                </c:pt>
                <c:pt idx="15">
                  <c:v>18.473481377431458</c:v>
                </c:pt>
                <c:pt idx="16">
                  <c:v>18.538153746116805</c:v>
                </c:pt>
                <c:pt idx="17">
                  <c:v>19.121343718458483</c:v>
                </c:pt>
                <c:pt idx="18">
                  <c:v>19.09294876303958</c:v>
                </c:pt>
                <c:pt idx="19">
                  <c:v>19.971484814963162</c:v>
                </c:pt>
                <c:pt idx="20">
                  <c:v>19.382057589813691</c:v>
                </c:pt>
                <c:pt idx="21">
                  <c:v>19.738130608672005</c:v>
                </c:pt>
                <c:pt idx="22">
                  <c:v>19.497259833418912</c:v>
                </c:pt>
                <c:pt idx="23">
                  <c:v>19.637351600797594</c:v>
                </c:pt>
                <c:pt idx="24">
                  <c:v>20.673936438645093</c:v>
                </c:pt>
                <c:pt idx="25">
                  <c:v>20.786656186503148</c:v>
                </c:pt>
                <c:pt idx="26">
                  <c:v>21.4199338743237</c:v>
                </c:pt>
                <c:pt idx="27">
                  <c:v>21.980128605116285</c:v>
                </c:pt>
                <c:pt idx="28">
                  <c:v>22.481903828476337</c:v>
                </c:pt>
              </c:numCache>
            </c:numRef>
          </c:val>
          <c:smooth val="0"/>
          <c:extLst xmlns:c16r2="http://schemas.microsoft.com/office/drawing/2015/06/chart">
            <c:ext xmlns:c16="http://schemas.microsoft.com/office/drawing/2014/chart" uri="{C3380CC4-5D6E-409C-BE32-E72D297353CC}">
              <c16:uniqueId val="{00000003-9CC8-4715-B178-799CC85B90BF}"/>
            </c:ext>
          </c:extLst>
        </c:ser>
        <c:dLbls>
          <c:showLegendKey val="0"/>
          <c:showVal val="0"/>
          <c:showCatName val="0"/>
          <c:showSerName val="0"/>
          <c:showPercent val="0"/>
          <c:showBubbleSize val="0"/>
        </c:dLbls>
        <c:marker val="1"/>
        <c:smooth val="0"/>
        <c:axId val="326370816"/>
        <c:axId val="471367040"/>
      </c:lineChart>
      <c:catAx>
        <c:axId val="47136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471365120"/>
        <c:crosses val="autoZero"/>
        <c:auto val="1"/>
        <c:lblAlgn val="ctr"/>
        <c:lblOffset val="100"/>
        <c:tickLblSkip val="2"/>
        <c:noMultiLvlLbl val="0"/>
      </c:catAx>
      <c:valAx>
        <c:axId val="471365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pl-PL" sz="700"/>
                  <a:t>Emisja gazów cieplarnianych przez transport, mln ton ekwiwalentu CO2.</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471363584"/>
        <c:crosses val="autoZero"/>
        <c:crossBetween val="between"/>
      </c:valAx>
      <c:valAx>
        <c:axId val="471367040"/>
        <c:scaling>
          <c:orientation val="minMax"/>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pl-PL" sz="700"/>
                  <a:t>Udział transportu w całkowitej emisji, w %</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326370816"/>
        <c:crosses val="max"/>
        <c:crossBetween val="between"/>
      </c:valAx>
      <c:catAx>
        <c:axId val="326370816"/>
        <c:scaling>
          <c:orientation val="minMax"/>
        </c:scaling>
        <c:delete val="1"/>
        <c:axPos val="b"/>
        <c:numFmt formatCode="General" sourceLinked="1"/>
        <c:majorTickMark val="out"/>
        <c:minorTickMark val="none"/>
        <c:tickLblPos val="nextTo"/>
        <c:crossAx val="471367040"/>
        <c:crosses val="autoZero"/>
        <c:auto val="1"/>
        <c:lblAlgn val="ctr"/>
        <c:lblOffset val="100"/>
        <c:noMultiLvlLbl val="0"/>
      </c:catAx>
      <c:spPr>
        <a:noFill/>
        <a:ln>
          <a:noFill/>
        </a:ln>
        <a:effectLst/>
      </c:spPr>
    </c:plotArea>
    <c:legend>
      <c:legendPos val="t"/>
      <c:layout>
        <c:manualLayout>
          <c:xMode val="edge"/>
          <c:yMode val="edge"/>
          <c:x val="3.1311323129812739E-2"/>
          <c:y val="3.0241935483870969E-2"/>
          <c:w val="0.95501792705900734"/>
          <c:h val="8.0647542545085091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Transport GHG (2010)</c:v>
                </c:pt>
              </c:strCache>
            </c:strRef>
          </c:tx>
          <c:spPr>
            <a:solidFill>
              <a:schemeClr val="accent1"/>
            </a:solidFill>
            <a:ln>
              <a:noFill/>
            </a:ln>
            <a:effectLst/>
          </c:spPr>
          <c:invertIfNegative val="0"/>
          <c:cat>
            <c:strRef>
              <c:f>Sheet1!$B$1:$J$1</c:f>
              <c:strCache>
                <c:ptCount val="9"/>
                <c:pt idx="0">
                  <c:v>CZ</c:v>
                </c:pt>
                <c:pt idx="1">
                  <c:v>DE</c:v>
                </c:pt>
                <c:pt idx="2">
                  <c:v>HR</c:v>
                </c:pt>
                <c:pt idx="3">
                  <c:v>IT</c:v>
                </c:pt>
                <c:pt idx="4">
                  <c:v>HU</c:v>
                </c:pt>
                <c:pt idx="5">
                  <c:v>AT</c:v>
                </c:pt>
                <c:pt idx="6">
                  <c:v>PL</c:v>
                </c:pt>
                <c:pt idx="7">
                  <c:v>SI</c:v>
                </c:pt>
                <c:pt idx="8">
                  <c:v>SK</c:v>
                </c:pt>
              </c:strCache>
            </c:strRef>
          </c:cat>
          <c:val>
            <c:numRef>
              <c:f>Sheet1!$B$2:$J$2</c:f>
              <c:numCache>
                <c:formatCode>General</c:formatCode>
                <c:ptCount val="9"/>
                <c:pt idx="0">
                  <c:v>17.797689999999999</c:v>
                </c:pt>
                <c:pt idx="1">
                  <c:v>187.1926</c:v>
                </c:pt>
                <c:pt idx="2">
                  <c:v>6.2724690000000001</c:v>
                </c:pt>
                <c:pt idx="3">
                  <c:v>131.40469999999999</c:v>
                </c:pt>
                <c:pt idx="4">
                  <c:v>12.39307</c:v>
                </c:pt>
                <c:pt idx="5">
                  <c:v>24.724799999999998</c:v>
                </c:pt>
                <c:pt idx="6">
                  <c:v>51.562660000000001</c:v>
                </c:pt>
                <c:pt idx="7">
                  <c:v>5.3960020000000002</c:v>
                </c:pt>
                <c:pt idx="8">
                  <c:v>7.5920430000000003</c:v>
                </c:pt>
              </c:numCache>
            </c:numRef>
          </c:val>
          <c:extLst xmlns:c16r2="http://schemas.microsoft.com/office/drawing/2015/06/chart">
            <c:ext xmlns:c16="http://schemas.microsoft.com/office/drawing/2014/chart" uri="{C3380CC4-5D6E-409C-BE32-E72D297353CC}">
              <c16:uniqueId val="{00000000-864B-4440-B183-CE5E271CEED7}"/>
            </c:ext>
          </c:extLst>
        </c:ser>
        <c:ser>
          <c:idx val="1"/>
          <c:order val="1"/>
          <c:tx>
            <c:strRef>
              <c:f>Sheet1!$A$3</c:f>
              <c:strCache>
                <c:ptCount val="1"/>
                <c:pt idx="0">
                  <c:v>GHG (2018)</c:v>
                </c:pt>
              </c:strCache>
            </c:strRef>
          </c:tx>
          <c:spPr>
            <a:solidFill>
              <a:schemeClr val="accent2"/>
            </a:solidFill>
            <a:ln>
              <a:noFill/>
            </a:ln>
            <a:effectLst/>
          </c:spPr>
          <c:invertIfNegative val="0"/>
          <c:cat>
            <c:strRef>
              <c:f>Sheet1!$B$1:$J$1</c:f>
              <c:strCache>
                <c:ptCount val="9"/>
                <c:pt idx="0">
                  <c:v>CZ</c:v>
                </c:pt>
                <c:pt idx="1">
                  <c:v>DE</c:v>
                </c:pt>
                <c:pt idx="2">
                  <c:v>HR</c:v>
                </c:pt>
                <c:pt idx="3">
                  <c:v>IT</c:v>
                </c:pt>
                <c:pt idx="4">
                  <c:v>HU</c:v>
                </c:pt>
                <c:pt idx="5">
                  <c:v>AT</c:v>
                </c:pt>
                <c:pt idx="6">
                  <c:v>PL</c:v>
                </c:pt>
                <c:pt idx="7">
                  <c:v>SI</c:v>
                </c:pt>
                <c:pt idx="8">
                  <c:v>SK</c:v>
                </c:pt>
              </c:strCache>
            </c:strRef>
          </c:cat>
          <c:val>
            <c:numRef>
              <c:f>Sheet1!$B$3:$J$3</c:f>
              <c:numCache>
                <c:formatCode>General</c:formatCode>
                <c:ptCount val="9"/>
                <c:pt idx="0">
                  <c:v>20.303609999999999</c:v>
                </c:pt>
                <c:pt idx="1">
                  <c:v>198.30840000000001</c:v>
                </c:pt>
                <c:pt idx="2">
                  <c:v>7.0585329999999997</c:v>
                </c:pt>
                <c:pt idx="3">
                  <c:v>121.9147</c:v>
                </c:pt>
                <c:pt idx="4">
                  <c:v>14.778460000000001</c:v>
                </c:pt>
                <c:pt idx="5">
                  <c:v>27.024450000000002</c:v>
                </c:pt>
                <c:pt idx="6">
                  <c:v>69.16198</c:v>
                </c:pt>
                <c:pt idx="7">
                  <c:v>6.5993810000000002</c:v>
                </c:pt>
                <c:pt idx="8">
                  <c:v>7.9356580000000001</c:v>
                </c:pt>
              </c:numCache>
            </c:numRef>
          </c:val>
          <c:extLst xmlns:c16r2="http://schemas.microsoft.com/office/drawing/2015/06/chart">
            <c:ext xmlns:c16="http://schemas.microsoft.com/office/drawing/2014/chart" uri="{C3380CC4-5D6E-409C-BE32-E72D297353CC}">
              <c16:uniqueId val="{00000001-864B-4440-B183-CE5E271CEED7}"/>
            </c:ext>
          </c:extLst>
        </c:ser>
        <c:dLbls>
          <c:showLegendKey val="0"/>
          <c:showVal val="0"/>
          <c:showCatName val="0"/>
          <c:showSerName val="0"/>
          <c:showPercent val="0"/>
          <c:showBubbleSize val="0"/>
        </c:dLbls>
        <c:gapWidth val="219"/>
        <c:overlap val="-27"/>
        <c:axId val="326763264"/>
        <c:axId val="326765184"/>
      </c:barChart>
      <c:lineChart>
        <c:grouping val="standard"/>
        <c:varyColors val="0"/>
        <c:ser>
          <c:idx val="2"/>
          <c:order val="2"/>
          <c:tx>
            <c:strRef>
              <c:f>Sheet1!$A$4</c:f>
              <c:strCache>
                <c:ptCount val="1"/>
                <c:pt idx="0">
                  <c:v>% of total GHG (2010)</c:v>
                </c:pt>
              </c:strCache>
            </c:strRef>
          </c:tx>
          <c:spPr>
            <a:ln w="28575" cap="rnd">
              <a:noFill/>
              <a:round/>
            </a:ln>
            <a:effectLst/>
          </c:spPr>
          <c:marker>
            <c:symbol val="circle"/>
            <c:size val="5"/>
            <c:spPr>
              <a:solidFill>
                <a:schemeClr val="bg1">
                  <a:lumMod val="50000"/>
                </a:schemeClr>
              </a:solidFill>
              <a:ln w="9525">
                <a:noFill/>
              </a:ln>
              <a:effectLst/>
            </c:spPr>
          </c:marker>
          <c:cat>
            <c:strRef>
              <c:f>Sheet1!$B$1:$J$1</c:f>
              <c:strCache>
                <c:ptCount val="9"/>
                <c:pt idx="0">
                  <c:v>CZ</c:v>
                </c:pt>
                <c:pt idx="1">
                  <c:v>DE</c:v>
                </c:pt>
                <c:pt idx="2">
                  <c:v>HR</c:v>
                </c:pt>
                <c:pt idx="3">
                  <c:v>IT</c:v>
                </c:pt>
                <c:pt idx="4">
                  <c:v>HU</c:v>
                </c:pt>
                <c:pt idx="5">
                  <c:v>AT</c:v>
                </c:pt>
                <c:pt idx="6">
                  <c:v>PL</c:v>
                </c:pt>
                <c:pt idx="7">
                  <c:v>SI</c:v>
                </c:pt>
                <c:pt idx="8">
                  <c:v>SK</c:v>
                </c:pt>
              </c:strCache>
            </c:strRef>
          </c:cat>
          <c:val>
            <c:numRef>
              <c:f>Sheet1!$B$4:$J$4</c:f>
              <c:numCache>
                <c:formatCode>General</c:formatCode>
                <c:ptCount val="9"/>
                <c:pt idx="0">
                  <c:v>12.5474</c:v>
                </c:pt>
                <c:pt idx="1">
                  <c:v>19.360420000000001</c:v>
                </c:pt>
                <c:pt idx="2">
                  <c:v>22.139399999999998</c:v>
                </c:pt>
                <c:pt idx="3">
                  <c:v>25.142099999999999</c:v>
                </c:pt>
                <c:pt idx="4">
                  <c:v>18.89669</c:v>
                </c:pt>
                <c:pt idx="5">
                  <c:v>28.522960000000001</c:v>
                </c:pt>
                <c:pt idx="6">
                  <c:v>12.44359</c:v>
                </c:pt>
                <c:pt idx="7">
                  <c:v>27.49053</c:v>
                </c:pt>
                <c:pt idx="8">
                  <c:v>16.313359999999999</c:v>
                </c:pt>
              </c:numCache>
            </c:numRef>
          </c:val>
          <c:smooth val="0"/>
          <c:extLst xmlns:c16r2="http://schemas.microsoft.com/office/drawing/2015/06/chart">
            <c:ext xmlns:c16="http://schemas.microsoft.com/office/drawing/2014/chart" uri="{C3380CC4-5D6E-409C-BE32-E72D297353CC}">
              <c16:uniqueId val="{00000002-864B-4440-B183-CE5E271CEED7}"/>
            </c:ext>
          </c:extLst>
        </c:ser>
        <c:ser>
          <c:idx val="3"/>
          <c:order val="3"/>
          <c:tx>
            <c:strRef>
              <c:f>Sheet1!$A$5</c:f>
              <c:strCache>
                <c:ptCount val="1"/>
                <c:pt idx="0">
                  <c:v>% of total GHG (2018)</c:v>
                </c:pt>
              </c:strCache>
            </c:strRef>
          </c:tx>
          <c:spPr>
            <a:ln w="28575" cap="rnd">
              <a:noFill/>
              <a:round/>
            </a:ln>
            <a:effectLst/>
          </c:spPr>
          <c:marker>
            <c:symbol val="circle"/>
            <c:size val="5"/>
            <c:spPr>
              <a:solidFill>
                <a:schemeClr val="accent2">
                  <a:lumMod val="60000"/>
                  <a:lumOff val="40000"/>
                </a:schemeClr>
              </a:solidFill>
              <a:ln w="9525">
                <a:noFill/>
              </a:ln>
              <a:effectLst/>
            </c:spPr>
          </c:marker>
          <c:cat>
            <c:strRef>
              <c:f>Sheet1!$B$1:$J$1</c:f>
              <c:strCache>
                <c:ptCount val="9"/>
                <c:pt idx="0">
                  <c:v>CZ</c:v>
                </c:pt>
                <c:pt idx="1">
                  <c:v>DE</c:v>
                </c:pt>
                <c:pt idx="2">
                  <c:v>HR</c:v>
                </c:pt>
                <c:pt idx="3">
                  <c:v>IT</c:v>
                </c:pt>
                <c:pt idx="4">
                  <c:v>HU</c:v>
                </c:pt>
                <c:pt idx="5">
                  <c:v>AT</c:v>
                </c:pt>
                <c:pt idx="6">
                  <c:v>PL</c:v>
                </c:pt>
                <c:pt idx="7">
                  <c:v>SI</c:v>
                </c:pt>
                <c:pt idx="8">
                  <c:v>SK</c:v>
                </c:pt>
              </c:strCache>
            </c:strRef>
          </c:cat>
          <c:val>
            <c:numRef>
              <c:f>Sheet1!$B$5:$J$5</c:f>
              <c:numCache>
                <c:formatCode>General</c:formatCode>
                <c:ptCount val="9"/>
                <c:pt idx="0">
                  <c:v>15.692069999999999</c:v>
                </c:pt>
                <c:pt idx="1">
                  <c:v>22.313970000000001</c:v>
                </c:pt>
                <c:pt idx="2">
                  <c:v>28.979320000000001</c:v>
                </c:pt>
                <c:pt idx="3">
                  <c:v>27.75432</c:v>
                </c:pt>
                <c:pt idx="4">
                  <c:v>23.06701</c:v>
                </c:pt>
                <c:pt idx="5">
                  <c:v>33.158230000000003</c:v>
                </c:pt>
                <c:pt idx="6">
                  <c:v>16.631150000000002</c:v>
                </c:pt>
                <c:pt idx="7">
                  <c:v>37.487119999999997</c:v>
                </c:pt>
                <c:pt idx="8">
                  <c:v>18.228490000000001</c:v>
                </c:pt>
              </c:numCache>
            </c:numRef>
          </c:val>
          <c:smooth val="0"/>
          <c:extLst xmlns:c16r2="http://schemas.microsoft.com/office/drawing/2015/06/chart">
            <c:ext xmlns:c16="http://schemas.microsoft.com/office/drawing/2014/chart" uri="{C3380CC4-5D6E-409C-BE32-E72D297353CC}">
              <c16:uniqueId val="{00000003-864B-4440-B183-CE5E271CEED7}"/>
            </c:ext>
          </c:extLst>
        </c:ser>
        <c:dLbls>
          <c:showLegendKey val="0"/>
          <c:showVal val="0"/>
          <c:showCatName val="0"/>
          <c:showSerName val="0"/>
          <c:showPercent val="0"/>
          <c:showBubbleSize val="0"/>
        </c:dLbls>
        <c:marker val="1"/>
        <c:smooth val="0"/>
        <c:axId val="326773376"/>
        <c:axId val="326771456"/>
      </c:lineChart>
      <c:catAx>
        <c:axId val="326763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326765184"/>
        <c:crosses val="autoZero"/>
        <c:auto val="1"/>
        <c:lblAlgn val="ctr"/>
        <c:lblOffset val="100"/>
        <c:noMultiLvlLbl val="0"/>
      </c:catAx>
      <c:valAx>
        <c:axId val="3267651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pl-PL" sz="700" b="0" i="0" u="none" strike="noStrike">
                    <a:effectLst/>
                  </a:rPr>
                  <a:t>Emisja gazów cieplarnianych przez transport, mln ton ekwiwalentu CO2.</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326763264"/>
        <c:crosses val="autoZero"/>
        <c:crossBetween val="between"/>
      </c:valAx>
      <c:valAx>
        <c:axId val="326771456"/>
        <c:scaling>
          <c:orientation val="minMax"/>
        </c:scaling>
        <c:delete val="0"/>
        <c:axPos val="r"/>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r>
                  <a:rPr lang="pl-PL" sz="700" b="0" i="0">
                    <a:effectLst/>
                  </a:rPr>
                  <a:t>Udział transportu w całkowitej emisji, w %</a:t>
                </a: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crossAx val="326773376"/>
        <c:crosses val="max"/>
        <c:crossBetween val="between"/>
      </c:valAx>
      <c:catAx>
        <c:axId val="326773376"/>
        <c:scaling>
          <c:orientation val="minMax"/>
        </c:scaling>
        <c:delete val="1"/>
        <c:axPos val="b"/>
        <c:numFmt formatCode="General" sourceLinked="1"/>
        <c:majorTickMark val="out"/>
        <c:minorTickMark val="none"/>
        <c:tickLblPos val="nextTo"/>
        <c:crossAx val="326771456"/>
        <c:crosses val="autoZero"/>
        <c:auto val="1"/>
        <c:lblAlgn val="ctr"/>
        <c:lblOffset val="100"/>
        <c:noMultiLvlLbl val="0"/>
      </c:catAx>
      <c:spPr>
        <a:noFill/>
        <a:ln>
          <a:noFill/>
        </a:ln>
        <a:effectLst/>
      </c:spPr>
    </c:plotArea>
    <c:legend>
      <c:legendPos val="t"/>
      <c:layout>
        <c:manualLayout>
          <c:xMode val="edge"/>
          <c:yMode val="edge"/>
          <c:x val="6.8983177242120511E-2"/>
          <c:y val="3.0241935483870969E-2"/>
          <c:w val="0.87596122211743033"/>
          <c:h val="9.2837185674371353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Sheet1!$B$1</c:f>
              <c:strCache>
                <c:ptCount val="1"/>
                <c:pt idx="0">
                  <c:v>Cities</c:v>
                </c:pt>
              </c:strCache>
            </c:strRef>
          </c:tx>
          <c:spPr>
            <a:ln w="19050" cap="rnd">
              <a:noFill/>
              <a:round/>
            </a:ln>
            <a:effectLst/>
          </c:spPr>
          <c:marker>
            <c:symbol val="triangle"/>
            <c:size val="9"/>
            <c:spPr>
              <a:solidFill>
                <a:schemeClr val="accent1"/>
              </a:solidFill>
              <a:ln w="9525">
                <a:solidFill>
                  <a:schemeClr val="accent1"/>
                </a:solidFill>
              </a:ln>
              <a:effectLst/>
            </c:spPr>
          </c:marker>
          <c:cat>
            <c:strRef>
              <c:f>Sheet1!$A$2:$A$11</c:f>
              <c:strCache>
                <c:ptCount val="10"/>
                <c:pt idx="0">
                  <c:v>AT</c:v>
                </c:pt>
                <c:pt idx="1">
                  <c:v>CZ</c:v>
                </c:pt>
                <c:pt idx="2">
                  <c:v>DE</c:v>
                </c:pt>
                <c:pt idx="3">
                  <c:v>EU-27</c:v>
                </c:pt>
                <c:pt idx="4">
                  <c:v>HR</c:v>
                </c:pt>
                <c:pt idx="5">
                  <c:v>HU</c:v>
                </c:pt>
                <c:pt idx="6">
                  <c:v>IT</c:v>
                </c:pt>
                <c:pt idx="7">
                  <c:v>PL</c:v>
                </c:pt>
                <c:pt idx="8">
                  <c:v>SI</c:v>
                </c:pt>
                <c:pt idx="9">
                  <c:v>SK</c:v>
                </c:pt>
              </c:strCache>
            </c:strRef>
          </c:cat>
          <c:val>
            <c:numRef>
              <c:f>Sheet1!$B$2:$B$11</c:f>
              <c:numCache>
                <c:formatCode>General</c:formatCode>
                <c:ptCount val="10"/>
                <c:pt idx="0">
                  <c:v>92</c:v>
                </c:pt>
                <c:pt idx="1">
                  <c:v>90</c:v>
                </c:pt>
                <c:pt idx="2">
                  <c:v>95</c:v>
                </c:pt>
                <c:pt idx="3">
                  <c:v>92</c:v>
                </c:pt>
                <c:pt idx="4">
                  <c:v>86</c:v>
                </c:pt>
                <c:pt idx="5">
                  <c:v>91</c:v>
                </c:pt>
                <c:pt idx="6">
                  <c:v>88</c:v>
                </c:pt>
                <c:pt idx="7">
                  <c:v>90</c:v>
                </c:pt>
                <c:pt idx="8">
                  <c:v>94</c:v>
                </c:pt>
                <c:pt idx="9">
                  <c:v>87</c:v>
                </c:pt>
              </c:numCache>
            </c:numRef>
          </c:val>
          <c:smooth val="0"/>
          <c:extLst xmlns:c16r2="http://schemas.microsoft.com/office/drawing/2015/06/chart">
            <c:ext xmlns:c16="http://schemas.microsoft.com/office/drawing/2014/chart" uri="{C3380CC4-5D6E-409C-BE32-E72D297353CC}">
              <c16:uniqueId val="{00000000-8564-4F7C-AEAB-3815C466D03E}"/>
            </c:ext>
          </c:extLst>
        </c:ser>
        <c:ser>
          <c:idx val="1"/>
          <c:order val="1"/>
          <c:tx>
            <c:strRef>
              <c:f>Sheet1!$C$1</c:f>
              <c:strCache>
                <c:ptCount val="1"/>
                <c:pt idx="0">
                  <c:v>Towns and suburbs</c:v>
                </c:pt>
              </c:strCache>
            </c:strRef>
          </c:tx>
          <c:spPr>
            <a:ln w="19050" cap="rnd">
              <a:noFill/>
              <a:round/>
            </a:ln>
            <a:effectLst/>
          </c:spPr>
          <c:marker>
            <c:symbol val="diamond"/>
            <c:size val="8"/>
            <c:spPr>
              <a:solidFill>
                <a:schemeClr val="accent2"/>
              </a:solidFill>
              <a:ln w="9525">
                <a:solidFill>
                  <a:schemeClr val="accent2"/>
                </a:solidFill>
              </a:ln>
              <a:effectLst/>
            </c:spPr>
          </c:marker>
          <c:cat>
            <c:strRef>
              <c:f>Sheet1!$A$2:$A$11</c:f>
              <c:strCache>
                <c:ptCount val="10"/>
                <c:pt idx="0">
                  <c:v>AT</c:v>
                </c:pt>
                <c:pt idx="1">
                  <c:v>CZ</c:v>
                </c:pt>
                <c:pt idx="2">
                  <c:v>DE</c:v>
                </c:pt>
                <c:pt idx="3">
                  <c:v>EU-27</c:v>
                </c:pt>
                <c:pt idx="4">
                  <c:v>HR</c:v>
                </c:pt>
                <c:pt idx="5">
                  <c:v>HU</c:v>
                </c:pt>
                <c:pt idx="6">
                  <c:v>IT</c:v>
                </c:pt>
                <c:pt idx="7">
                  <c:v>PL</c:v>
                </c:pt>
                <c:pt idx="8">
                  <c:v>SI</c:v>
                </c:pt>
                <c:pt idx="9">
                  <c:v>SK</c:v>
                </c:pt>
              </c:strCache>
            </c:strRef>
          </c:cat>
          <c:val>
            <c:numRef>
              <c:f>Sheet1!$C$2:$C$11</c:f>
              <c:numCache>
                <c:formatCode>General</c:formatCode>
                <c:ptCount val="10"/>
                <c:pt idx="0">
                  <c:v>90</c:v>
                </c:pt>
                <c:pt idx="1">
                  <c:v>87</c:v>
                </c:pt>
                <c:pt idx="2">
                  <c:v>95</c:v>
                </c:pt>
                <c:pt idx="3">
                  <c:v>89</c:v>
                </c:pt>
                <c:pt idx="4">
                  <c:v>83</c:v>
                </c:pt>
                <c:pt idx="5">
                  <c:v>86</c:v>
                </c:pt>
                <c:pt idx="6">
                  <c:v>84</c:v>
                </c:pt>
                <c:pt idx="7">
                  <c:v>86</c:v>
                </c:pt>
                <c:pt idx="8">
                  <c:v>94</c:v>
                </c:pt>
                <c:pt idx="9">
                  <c:v>83</c:v>
                </c:pt>
              </c:numCache>
            </c:numRef>
          </c:val>
          <c:smooth val="0"/>
          <c:extLst xmlns:c16r2="http://schemas.microsoft.com/office/drawing/2015/06/chart">
            <c:ext xmlns:c16="http://schemas.microsoft.com/office/drawing/2014/chart" uri="{C3380CC4-5D6E-409C-BE32-E72D297353CC}">
              <c16:uniqueId val="{00000001-8564-4F7C-AEAB-3815C466D03E}"/>
            </c:ext>
          </c:extLst>
        </c:ser>
        <c:ser>
          <c:idx val="2"/>
          <c:order val="2"/>
          <c:tx>
            <c:strRef>
              <c:f>Sheet1!$D$1</c:f>
              <c:strCache>
                <c:ptCount val="1"/>
                <c:pt idx="0">
                  <c:v>Rural</c:v>
                </c:pt>
              </c:strCache>
            </c:strRef>
          </c:tx>
          <c:spPr>
            <a:ln w="19050" cap="rnd">
              <a:noFill/>
              <a:round/>
            </a:ln>
            <a:effectLst/>
          </c:spPr>
          <c:marker>
            <c:symbol val="circle"/>
            <c:size val="8"/>
            <c:spPr>
              <a:solidFill>
                <a:schemeClr val="accent3"/>
              </a:solidFill>
              <a:ln w="9525">
                <a:solidFill>
                  <a:schemeClr val="accent3"/>
                </a:solidFill>
              </a:ln>
              <a:effectLst/>
            </c:spPr>
          </c:marker>
          <c:cat>
            <c:strRef>
              <c:f>Sheet1!$A$2:$A$11</c:f>
              <c:strCache>
                <c:ptCount val="10"/>
                <c:pt idx="0">
                  <c:v>AT</c:v>
                </c:pt>
                <c:pt idx="1">
                  <c:v>CZ</c:v>
                </c:pt>
                <c:pt idx="2">
                  <c:v>DE</c:v>
                </c:pt>
                <c:pt idx="3">
                  <c:v>EU-27</c:v>
                </c:pt>
                <c:pt idx="4">
                  <c:v>HR</c:v>
                </c:pt>
                <c:pt idx="5">
                  <c:v>HU</c:v>
                </c:pt>
                <c:pt idx="6">
                  <c:v>IT</c:v>
                </c:pt>
                <c:pt idx="7">
                  <c:v>PL</c:v>
                </c:pt>
                <c:pt idx="8">
                  <c:v>SI</c:v>
                </c:pt>
                <c:pt idx="9">
                  <c:v>SK</c:v>
                </c:pt>
              </c:strCache>
            </c:strRef>
          </c:cat>
          <c:val>
            <c:numRef>
              <c:f>Sheet1!$D$2:$D$11</c:f>
              <c:numCache>
                <c:formatCode>General</c:formatCode>
                <c:ptCount val="10"/>
                <c:pt idx="0">
                  <c:v>88</c:v>
                </c:pt>
                <c:pt idx="1">
                  <c:v>84</c:v>
                </c:pt>
                <c:pt idx="2">
                  <c:v>95</c:v>
                </c:pt>
                <c:pt idx="3">
                  <c:v>86</c:v>
                </c:pt>
                <c:pt idx="4">
                  <c:v>75</c:v>
                </c:pt>
                <c:pt idx="5">
                  <c:v>81</c:v>
                </c:pt>
                <c:pt idx="6">
                  <c:v>82</c:v>
                </c:pt>
                <c:pt idx="7">
                  <c:v>83</c:v>
                </c:pt>
                <c:pt idx="8">
                  <c:v>83</c:v>
                </c:pt>
                <c:pt idx="9">
                  <c:v>78</c:v>
                </c:pt>
              </c:numCache>
            </c:numRef>
          </c:val>
          <c:smooth val="0"/>
          <c:extLst xmlns:c16r2="http://schemas.microsoft.com/office/drawing/2015/06/chart">
            <c:ext xmlns:c16="http://schemas.microsoft.com/office/drawing/2014/chart" uri="{C3380CC4-5D6E-409C-BE32-E72D297353CC}">
              <c16:uniqueId val="{00000002-8564-4F7C-AEAB-3815C466D03E}"/>
            </c:ext>
          </c:extLst>
        </c:ser>
        <c:dLbls>
          <c:showLegendKey val="0"/>
          <c:showVal val="0"/>
          <c:showCatName val="0"/>
          <c:showSerName val="0"/>
          <c:showPercent val="0"/>
          <c:showBubbleSize val="0"/>
        </c:dLbls>
        <c:marker val="1"/>
        <c:smooth val="0"/>
        <c:axId val="326399104"/>
        <c:axId val="326401024"/>
      </c:lineChart>
      <c:catAx>
        <c:axId val="326399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6401024"/>
        <c:crosses val="autoZero"/>
        <c:auto val="1"/>
        <c:lblAlgn val="ctr"/>
        <c:lblOffset val="100"/>
        <c:noMultiLvlLbl val="0"/>
      </c:catAx>
      <c:valAx>
        <c:axId val="326401024"/>
        <c:scaling>
          <c:orientation val="minMax"/>
          <c:min val="7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26399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2">
    <c:autoUpdate val="0"/>
  </c:externalData>
</c:chartSpace>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CE-Interreg">
  <a:themeElements>
    <a:clrScheme name="Central Europe">
      <a:dk1>
        <a:srgbClr val="0C0C0C"/>
      </a:dk1>
      <a:lt1>
        <a:sysClr val="window" lastClr="FFFFFF"/>
      </a:lt1>
      <a:dk2>
        <a:srgbClr val="4D4D4E"/>
      </a:dk2>
      <a:lt2>
        <a:srgbClr val="7E93A5"/>
      </a:lt2>
      <a:accent1>
        <a:srgbClr val="7D8B8A"/>
      </a:accent1>
      <a:accent2>
        <a:srgbClr val="90ABB1"/>
      </a:accent2>
      <a:accent3>
        <a:srgbClr val="C8D3D8"/>
      </a:accent3>
      <a:accent4>
        <a:srgbClr val="7B7B7D"/>
      </a:accent4>
      <a:accent5>
        <a:srgbClr val="A6A7A9"/>
      </a:accent5>
      <a:accent6>
        <a:srgbClr val="4D4933"/>
      </a:accent6>
      <a:hlink>
        <a:srgbClr val="7B7B7D"/>
      </a:hlink>
      <a:folHlink>
        <a:srgbClr val="BFBFBF"/>
      </a:folHlink>
    </a:clrScheme>
    <a:fontScheme name="CE-Interreg">
      <a:majorFont>
        <a:latin typeface="Trebuchet MS"/>
        <a:ea typeface=""/>
        <a:cs typeface=""/>
      </a:majorFont>
      <a:minorFont>
        <a:latin typeface="Trebuchet MS"/>
        <a:ea typeface=""/>
        <a:cs typeface=""/>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 xmlns:thm15="http://schemas.microsoft.com/office/thememl/2012/main" name="Ion" id="{B8441ADB-2E43-4AF7-B97A-BD870242C6A8}" vid="{292E63A9-BB86-4E3D-B92A-7223C6510D2E}"/>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wiiw Farbdefinition">
    <a:dk1>
      <a:srgbClr val="000000"/>
    </a:dk1>
    <a:lt1>
      <a:sysClr val="window" lastClr="FFFFFF"/>
    </a:lt1>
    <a:dk2>
      <a:srgbClr val="000000"/>
    </a:dk2>
    <a:lt2>
      <a:srgbClr val="FFFFFF"/>
    </a:lt2>
    <a:accent1>
      <a:srgbClr val="929296"/>
    </a:accent1>
    <a:accent2>
      <a:srgbClr val="D48600"/>
    </a:accent2>
    <a:accent3>
      <a:srgbClr val="004872"/>
    </a:accent3>
    <a:accent4>
      <a:srgbClr val="E9EAEB"/>
    </a:accent4>
    <a:accent5>
      <a:srgbClr val="B7B9BC"/>
    </a:accent5>
    <a:accent6>
      <a:srgbClr val="86868A"/>
    </a:accent6>
    <a:hlink>
      <a:srgbClr val="004872"/>
    </a:hlink>
    <a:folHlink>
      <a:srgbClr val="00000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wiiw Farbdefinition">
    <a:dk1>
      <a:srgbClr val="000000"/>
    </a:dk1>
    <a:lt1>
      <a:sysClr val="window" lastClr="FFFFFF"/>
    </a:lt1>
    <a:dk2>
      <a:srgbClr val="000000"/>
    </a:dk2>
    <a:lt2>
      <a:srgbClr val="FFFFFF"/>
    </a:lt2>
    <a:accent1>
      <a:srgbClr val="929296"/>
    </a:accent1>
    <a:accent2>
      <a:srgbClr val="D48600"/>
    </a:accent2>
    <a:accent3>
      <a:srgbClr val="004872"/>
    </a:accent3>
    <a:accent4>
      <a:srgbClr val="E9EAEB"/>
    </a:accent4>
    <a:accent5>
      <a:srgbClr val="B7B9BC"/>
    </a:accent5>
    <a:accent6>
      <a:srgbClr val="86868A"/>
    </a:accent6>
    <a:hlink>
      <a:srgbClr val="004872"/>
    </a:hlink>
    <a:folHlink>
      <a:srgbClr val="00000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198520-C750-4BF7-9334-994DD1DD1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135</Pages>
  <Words>34954</Words>
  <Characters>209727</Characters>
  <Application>Microsoft Office Word</Application>
  <DocSecurity>0</DocSecurity>
  <Lines>1747</Lines>
  <Paragraphs>488</Paragraphs>
  <ScaleCrop>false</ScaleCrop>
  <HeadingPairs>
    <vt:vector size="6" baseType="variant">
      <vt:variant>
        <vt:lpstr>Tytuł</vt:lpstr>
      </vt:variant>
      <vt:variant>
        <vt:i4>1</vt:i4>
      </vt:variant>
      <vt:variant>
        <vt:lpstr>Titel</vt:lpstr>
      </vt:variant>
      <vt:variant>
        <vt:i4>1</vt:i4>
      </vt:variant>
      <vt:variant>
        <vt:lpstr>Title</vt:lpstr>
      </vt:variant>
      <vt:variant>
        <vt:i4>1</vt:i4>
      </vt:variant>
    </vt:vector>
  </HeadingPairs>
  <TitlesOfParts>
    <vt:vector size="3" baseType="lpstr">
      <vt:lpstr>Interreg CENTRAL EUROPE</vt:lpstr>
      <vt:lpstr>Interreg CENTRAL EUROPE</vt:lpstr>
      <vt:lpstr>Interreg CENTRAL EUROPE</vt:lpstr>
    </vt:vector>
  </TitlesOfParts>
  <Company>Magistrat der Stadt Wien, MA 14 - ADV</Company>
  <LinksUpToDate>false</LinksUpToDate>
  <CharactersWithSpaces>244193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Interreg CENTRAL EUROPE</dc:title>
  <dc:subject>Part A</dc:subject>
  <dc:creator>Frank Schneider</dc:creator>
  <cp:lastModifiedBy>Monika Strojecka-Gevorgyan</cp:lastModifiedBy>
  <cp:revision>2</cp:revision>
  <cp:lastPrinted>2021-02-12T11:56:00Z</cp:lastPrinted>
  <dcterms:created xsi:type="dcterms:W3CDTF">2021-05-11T06:35:00Z</dcterms:created>
  <dcterms:modified xsi:type="dcterms:W3CDTF">2021-05-11T06:35:00Z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