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AE6E7" w14:textId="03CF0672" w:rsidR="00F50542" w:rsidRPr="00643B66" w:rsidRDefault="00561118" w:rsidP="00643B66">
      <w:pPr>
        <w:spacing w:before="240" w:after="240" w:line="240" w:lineRule="auto"/>
        <w:jc w:val="center"/>
        <w:rPr>
          <w:rFonts w:eastAsia="Times New Roman" w:cs="Times New Roman"/>
          <w:b/>
          <w:iCs/>
          <w:noProof/>
          <w:szCs w:val="24"/>
          <w:lang w:eastAsia="en-GB"/>
        </w:rPr>
      </w:pPr>
      <w:r w:rsidRPr="00643B66">
        <w:rPr>
          <w:rFonts w:eastAsia="Times New Roman" w:cs="Times New Roman"/>
          <w:b/>
          <w:iCs/>
          <w:noProof/>
          <w:szCs w:val="24"/>
          <w:lang w:eastAsia="en-GB"/>
        </w:rPr>
        <w:t>Program INTERACT IV 2021-2027 (projekt)</w:t>
      </w:r>
    </w:p>
    <w:p w14:paraId="3837014E" w14:textId="77777777" w:rsidR="00561118" w:rsidRPr="00643B66" w:rsidRDefault="00561118" w:rsidP="00643B66">
      <w:pPr>
        <w:spacing w:before="240" w:after="240" w:line="240" w:lineRule="auto"/>
        <w:jc w:val="center"/>
        <w:rPr>
          <w:rFonts w:eastAsia="Times New Roman" w:cs="Times New Roman"/>
          <w:b/>
          <w:iCs/>
          <w:noProof/>
          <w:szCs w:val="24"/>
          <w:lang w:eastAsia="en-GB"/>
        </w:rPr>
      </w:pPr>
    </w:p>
    <w:p w14:paraId="15A92C6C" w14:textId="0978BA6F" w:rsidR="00F50542" w:rsidRPr="00F50542" w:rsidRDefault="00F50542" w:rsidP="00F50542">
      <w:pPr>
        <w:spacing w:before="240" w:after="240" w:line="240" w:lineRule="auto"/>
        <w:jc w:val="both"/>
        <w:rPr>
          <w:rFonts w:eastAsia="Times New Roman" w:cs="Times New Roman"/>
          <w:b/>
          <w:iCs/>
          <w:noProof/>
          <w:szCs w:val="24"/>
        </w:rPr>
      </w:pPr>
      <w:r>
        <w:rPr>
          <w:b/>
          <w:iCs/>
          <w:szCs w:val="24"/>
        </w:rPr>
        <w:t xml:space="preserve">1. </w:t>
      </w:r>
      <w:r w:rsidR="00ED1379" w:rsidRPr="00ED1379">
        <w:rPr>
          <w:b/>
          <w:iCs/>
          <w:szCs w:val="24"/>
        </w:rPr>
        <w:t>Wspólna strategia programu: główne wyzwania w zakresie rozwoju oraz rozwiązania polityczne</w:t>
      </w:r>
    </w:p>
    <w:p w14:paraId="1619F27E" w14:textId="77777777" w:rsidR="00F50542" w:rsidRPr="00F50542" w:rsidRDefault="00F50542" w:rsidP="00652BBD">
      <w:pPr>
        <w:numPr>
          <w:ilvl w:val="1"/>
          <w:numId w:val="12"/>
        </w:numPr>
        <w:spacing w:before="240" w:after="240" w:line="240" w:lineRule="auto"/>
        <w:jc w:val="both"/>
        <w:rPr>
          <w:rFonts w:eastAsia="Times New Roman" w:cs="Times New Roman"/>
          <w:b/>
          <w:iCs/>
          <w:noProof/>
          <w:szCs w:val="24"/>
        </w:rPr>
      </w:pPr>
      <w:r>
        <w:rPr>
          <w:b/>
          <w:iCs/>
          <w:szCs w:val="24"/>
        </w:rPr>
        <w:t xml:space="preserve">Obszar programu (niewymagany w przypadku programów </w:t>
      </w:r>
      <w:proofErr w:type="spellStart"/>
      <w:r>
        <w:rPr>
          <w:b/>
          <w:iCs/>
          <w:szCs w:val="24"/>
        </w:rPr>
        <w:t>Interreg</w:t>
      </w:r>
      <w:proofErr w:type="spellEnd"/>
      <w:r>
        <w:rPr>
          <w:b/>
          <w:iCs/>
          <w:szCs w:val="24"/>
        </w:rPr>
        <w:t xml:space="preserve"> C)</w:t>
      </w:r>
    </w:p>
    <w:p w14:paraId="7C789BA5" w14:textId="007C8640" w:rsidR="00F50542" w:rsidRDefault="00F50542" w:rsidP="00F50542">
      <w:pPr>
        <w:spacing w:after="200" w:line="276" w:lineRule="auto"/>
        <w:jc w:val="both"/>
        <w:rPr>
          <w:rFonts w:eastAsia="Times New Roman" w:cs="Times New Roman"/>
          <w:i/>
          <w:noProof/>
          <w:color w:val="000000"/>
          <w:szCs w:val="24"/>
        </w:rPr>
      </w:pPr>
      <w:r>
        <w:rPr>
          <w:i/>
          <w:color w:val="000000"/>
          <w:szCs w:val="24"/>
        </w:rPr>
        <w:t>Odniesienie: Art. 17(4)(a), Art. 17(9)(a)</w:t>
      </w:r>
    </w:p>
    <w:p w14:paraId="2EEE0EBB" w14:textId="77777777" w:rsidR="00C1494F" w:rsidRPr="00F45A3E" w:rsidRDefault="00C1494F" w:rsidP="00C1494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Cs w:val="24"/>
        </w:rPr>
      </w:pPr>
      <w:r>
        <w:rPr>
          <w:i/>
          <w:color w:val="000000"/>
          <w:szCs w:val="24"/>
        </w:rPr>
        <w:t xml:space="preserve">Nie dotyczy </w:t>
      </w:r>
      <w:proofErr w:type="spellStart"/>
      <w:r>
        <w:rPr>
          <w:i/>
          <w:color w:val="000000"/>
          <w:szCs w:val="24"/>
        </w:rPr>
        <w:t>Interact</w:t>
      </w:r>
      <w:proofErr w:type="spellEnd"/>
    </w:p>
    <w:p w14:paraId="2BAF5492" w14:textId="33230B2D" w:rsidR="00F50542" w:rsidRPr="00F50542" w:rsidRDefault="00ED1379" w:rsidP="00ED1379">
      <w:pPr>
        <w:numPr>
          <w:ilvl w:val="1"/>
          <w:numId w:val="12"/>
        </w:numPr>
        <w:spacing w:before="240" w:after="240" w:line="240" w:lineRule="auto"/>
        <w:rPr>
          <w:rFonts w:eastAsia="Times New Roman" w:cs="Times New Roman"/>
          <w:b/>
          <w:iCs/>
          <w:noProof/>
          <w:szCs w:val="24"/>
        </w:rPr>
      </w:pPr>
      <w:r w:rsidRPr="00ED1379">
        <w:rPr>
          <w:b/>
          <w:color w:val="000000"/>
          <w:szCs w:val="24"/>
        </w:rPr>
        <w:t>Wspólna strategia programu: Podsumowanie głównych wspólnych wyzwań z uwzględnieniem różnic i nierówności gospodarczych, społecznych i terytorialnych, a także wspólnych potrzeb inwestycyjnych oraz komplementarności i synergii z innymi programami i instrumentami finansowania, wniosków z dotychczasowych doświadczeń oraz strategii makroregionalnych i strategii na rzecz basenu morskiego, w przypadku gdy obszar objęty programem w całości lub w części jest objęty zakresem co najmniej jednej strategii</w:t>
      </w:r>
    </w:p>
    <w:p w14:paraId="004C34B1" w14:textId="77777777" w:rsidR="00F50542" w:rsidRPr="001113F4" w:rsidRDefault="00F50542" w:rsidP="00F50542">
      <w:pPr>
        <w:spacing w:after="200" w:line="276" w:lineRule="auto"/>
        <w:jc w:val="both"/>
        <w:rPr>
          <w:rFonts w:eastAsia="Times New Roman" w:cs="Times New Roman"/>
          <w:i/>
          <w:noProof/>
          <w:color w:val="000000"/>
          <w:szCs w:val="24"/>
        </w:rPr>
      </w:pPr>
      <w:r>
        <w:rPr>
          <w:i/>
          <w:color w:val="000000"/>
          <w:szCs w:val="24"/>
        </w:rPr>
        <w:t>Odniesienie: Art. 17(4)(b), Art. 17(9)(b)</w:t>
      </w:r>
    </w:p>
    <w:p w14:paraId="1594C768" w14:textId="5E680491" w:rsidR="00795900" w:rsidRPr="006C35AE" w:rsidRDefault="00A42F95" w:rsidP="006C35AE">
      <w:pPr>
        <w:pStyle w:val="Normalpararaph"/>
      </w:pPr>
      <w:r>
        <w:t xml:space="preserve">Zgodnie z Art. 3.4 projektu rozporządzenia </w:t>
      </w:r>
      <w:proofErr w:type="spellStart"/>
      <w:r>
        <w:t>Interreg</w:t>
      </w:r>
      <w:proofErr w:type="spellEnd"/>
      <w:r>
        <w:t xml:space="preserve">, celem współpracy międzyregionalnej jest wzmocnienie skuteczności polityki spójności. Programy </w:t>
      </w:r>
      <w:proofErr w:type="spellStart"/>
      <w:r>
        <w:t>Interreg</w:t>
      </w:r>
      <w:proofErr w:type="spellEnd"/>
      <w:r>
        <w:t xml:space="preserve"> to główna grupa docelowa programu </w:t>
      </w:r>
      <w:proofErr w:type="spellStart"/>
      <w:r>
        <w:t>Interact</w:t>
      </w:r>
      <w:proofErr w:type="spellEnd"/>
      <w:r>
        <w:t xml:space="preserve">. Inni interesariusze współpracy również otrzymują wsparcie </w:t>
      </w:r>
      <w:proofErr w:type="spellStart"/>
      <w:r>
        <w:t>Interact</w:t>
      </w:r>
      <w:proofErr w:type="spellEnd"/>
      <w:r>
        <w:t xml:space="preserve"> w kontekście np. strategii makroregionalnych</w:t>
      </w:r>
      <w:r w:rsidR="007D6A5D">
        <w:t>,</w:t>
      </w:r>
      <w:r>
        <w:t xml:space="preserve"> Art</w:t>
      </w:r>
      <w:r w:rsidR="007D6A5D">
        <w:t>ykułu</w:t>
      </w:r>
      <w:r>
        <w:t xml:space="preserve"> 17 lub po prostu w ramach szerszej realizacji polityki</w:t>
      </w:r>
      <w:r w:rsidR="00A73C4C">
        <w:t xml:space="preserve"> spójności</w:t>
      </w:r>
      <w:r>
        <w:t xml:space="preserve">. Z tego powodu niniejsza sekcja, zamiast na czystej analizie terytorialnej, skupia się na „klientach” </w:t>
      </w:r>
      <w:proofErr w:type="spellStart"/>
      <w:r>
        <w:t>Interact</w:t>
      </w:r>
      <w:proofErr w:type="spellEnd"/>
      <w:r>
        <w:t>.</w:t>
      </w:r>
    </w:p>
    <w:p w14:paraId="07B2B0CB" w14:textId="77777777" w:rsidR="00795900" w:rsidRPr="00256044" w:rsidRDefault="00A42F95" w:rsidP="00256044">
      <w:pPr>
        <w:pStyle w:val="Subtitle1"/>
      </w:pPr>
      <w:r>
        <w:t xml:space="preserve">Analiza SWOT </w:t>
      </w:r>
      <w:proofErr w:type="spellStart"/>
      <w:r>
        <w:t>Interreg</w:t>
      </w:r>
      <w:proofErr w:type="spellEnd"/>
    </w:p>
    <w:p w14:paraId="6D351E64" w14:textId="532C5F73" w:rsidR="00795900" w:rsidRDefault="00A42F95" w:rsidP="00E37390">
      <w:pPr>
        <w:pStyle w:val="Normalpararaph"/>
      </w:pPr>
      <w:r>
        <w:t>Istotnym stało się zrozumienie program</w:t>
      </w:r>
      <w:r w:rsidR="00ED1379">
        <w:t>ów</w:t>
      </w:r>
      <w:r>
        <w:t xml:space="preserve"> </w:t>
      </w:r>
      <w:proofErr w:type="spellStart"/>
      <w:r>
        <w:t>Interreg</w:t>
      </w:r>
      <w:proofErr w:type="spellEnd"/>
      <w:r>
        <w:t xml:space="preserve"> jako narzędzia polity</w:t>
      </w:r>
      <w:r w:rsidR="00A73C4C">
        <w:t>ki spójności</w:t>
      </w:r>
      <w:r>
        <w:t xml:space="preserve">, jego mocnych i słabych stron oraz rozważenie szans i zagrożeń na przyszłość, zwłaszcza w kontekście debaty </w:t>
      </w:r>
      <w:r w:rsidR="00A73C4C">
        <w:t>dotyczącej przyszłości</w:t>
      </w:r>
      <w:r>
        <w:t xml:space="preserve">. Taka analiza została przeprowadzona w ramach procesu programowania </w:t>
      </w:r>
      <w:proofErr w:type="spellStart"/>
      <w:r>
        <w:t>Interact</w:t>
      </w:r>
      <w:proofErr w:type="spellEnd"/>
      <w:r>
        <w:t xml:space="preserve"> IV wspólnie z interesariuszami programu. Stanowił</w:t>
      </w:r>
      <w:r w:rsidR="00A73C4C">
        <w:t>a</w:t>
      </w:r>
      <w:r>
        <w:t xml:space="preserve"> </w:t>
      </w:r>
      <w:r w:rsidR="00A73C4C">
        <w:t xml:space="preserve">ona </w:t>
      </w:r>
      <w:r>
        <w:t xml:space="preserve">ważny wkład w przyszłe prace </w:t>
      </w:r>
      <w:proofErr w:type="spellStart"/>
      <w:r>
        <w:t>Interact</w:t>
      </w:r>
      <w:proofErr w:type="spellEnd"/>
      <w:r>
        <w:t>. Ujawnił</w:t>
      </w:r>
      <w:r w:rsidR="00A73C4C">
        <w:t>a</w:t>
      </w:r>
      <w:r>
        <w:t xml:space="preserve"> obszary, w których </w:t>
      </w:r>
      <w:r>
        <w:rPr>
          <w:rFonts w:ascii="'Times New Roman'" w:hAnsi="'Times New Roman'"/>
        </w:rPr>
        <w:t>nasi interesariusze</w:t>
      </w:r>
      <w:r>
        <w:t xml:space="preserve"> mogą potrzebować pomocy </w:t>
      </w:r>
      <w:proofErr w:type="spellStart"/>
      <w:r>
        <w:t>Interact</w:t>
      </w:r>
      <w:proofErr w:type="spellEnd"/>
      <w:r>
        <w:t xml:space="preserve">, </w:t>
      </w:r>
      <w:r w:rsidR="00A73C4C">
        <w:rPr>
          <w:rFonts w:ascii="'Times New Roman'" w:hAnsi="'Times New Roman'"/>
        </w:rPr>
        <w:t>i</w:t>
      </w:r>
      <w:r>
        <w:rPr>
          <w:rFonts w:ascii="'Times New Roman'" w:hAnsi="'Times New Roman'"/>
        </w:rPr>
        <w:t xml:space="preserve"> </w:t>
      </w:r>
      <w:r w:rsidR="00A73C4C">
        <w:rPr>
          <w:rFonts w:ascii="'Times New Roman'" w:hAnsi="'Times New Roman'"/>
        </w:rPr>
        <w:t xml:space="preserve">w których programy </w:t>
      </w:r>
      <w:proofErr w:type="spellStart"/>
      <w:r>
        <w:rPr>
          <w:rFonts w:ascii="'Times New Roman'" w:hAnsi="'Times New Roman'"/>
        </w:rPr>
        <w:t>Interreg</w:t>
      </w:r>
      <w:proofErr w:type="spellEnd"/>
      <w:r>
        <w:t xml:space="preserve"> mo</w:t>
      </w:r>
      <w:r w:rsidR="00A73C4C">
        <w:t>gą</w:t>
      </w:r>
      <w:r>
        <w:t xml:space="preserve"> stać się jeszcze bardziej skutecznym i uznanym narzędziem w ramach polityki spójności a także poza nią.</w:t>
      </w:r>
    </w:p>
    <w:p w14:paraId="29DBE531" w14:textId="68D35887" w:rsidR="00795900" w:rsidRPr="00E37390" w:rsidRDefault="00A42F95" w:rsidP="00E37390">
      <w:pPr>
        <w:pStyle w:val="Normalpararaph"/>
      </w:pPr>
      <w:r>
        <w:t>Ponieważ obecn</w:t>
      </w:r>
      <w:r w:rsidR="00C804A7">
        <w:t>e</w:t>
      </w:r>
      <w:r>
        <w:t xml:space="preserve"> </w:t>
      </w:r>
      <w:r w:rsidR="00D70271">
        <w:t>ramy</w:t>
      </w:r>
      <w:r w:rsidR="00C804A7">
        <w:t xml:space="preserve"> </w:t>
      </w:r>
      <w:r>
        <w:t>prawn</w:t>
      </w:r>
      <w:r w:rsidR="00D70271">
        <w:t xml:space="preserve">e dla polityki spójności </w:t>
      </w:r>
      <w:r>
        <w:t xml:space="preserve"> po 2020 r. nie przewiduj</w:t>
      </w:r>
      <w:r w:rsidR="00D70271">
        <w:t>ą</w:t>
      </w:r>
      <w:r>
        <w:t xml:space="preserve"> oceny ex-</w:t>
      </w:r>
      <w:proofErr w:type="spellStart"/>
      <w:r>
        <w:t>ante</w:t>
      </w:r>
      <w:proofErr w:type="spellEnd"/>
      <w:r>
        <w:t xml:space="preserve">, konieczne było zachowanie </w:t>
      </w:r>
      <w:r w:rsidR="00C804A7">
        <w:t>dyscypliny</w:t>
      </w:r>
      <w:r>
        <w:t xml:space="preserve"> w gromadzeniu i interpretacji danych wprowadzających. W związku z tym </w:t>
      </w:r>
      <w:r w:rsidR="00D70271">
        <w:t xml:space="preserve">program </w:t>
      </w:r>
      <w:proofErr w:type="spellStart"/>
      <w:r w:rsidR="00D70271">
        <w:t>Interact</w:t>
      </w:r>
      <w:proofErr w:type="spellEnd"/>
      <w:r w:rsidR="00D70271">
        <w:t xml:space="preserve"> </w:t>
      </w:r>
      <w:r>
        <w:t>został opracowany w oparciu o przegląd strategicznych dokumentów ramowych i innych źródeł (7.</w:t>
      </w:r>
      <w:r>
        <w:rPr>
          <w:vertAlign w:val="superscript"/>
        </w:rPr>
        <w:t xml:space="preserve"> </w:t>
      </w:r>
      <w:r>
        <w:t xml:space="preserve">sprawozdanie w sprawie spójności, oceny ex post okresu programowania 2007-2014, Pobudzanie wzrostu i spójności w regionach przygranicznych UE, Komunikat w sprawie wzmocnienia innowacji w Regiony </w:t>
      </w:r>
      <w:r>
        <w:lastRenderedPageBreak/>
        <w:t xml:space="preserve">Europy: Strategie na rzecz odpornego, sprzyjającego włączeniu społecznemu i zrównoważonego wzrostu itp.), które dostarczyły solidniejszych dowodów dla poszczególnych punktów analizy SWOT. Były to głównie dokumenty na poziomie UE, </w:t>
      </w:r>
      <w:r w:rsidR="00C804A7">
        <w:t xml:space="preserve">co ma </w:t>
      </w:r>
      <w:r>
        <w:t xml:space="preserve">na celu </w:t>
      </w:r>
      <w:r w:rsidR="00C804A7">
        <w:t>zachowanie</w:t>
      </w:r>
      <w:r>
        <w:t xml:space="preserve"> ogólnej perspektywy </w:t>
      </w:r>
      <w:proofErr w:type="spellStart"/>
      <w:r>
        <w:t>Interreg</w:t>
      </w:r>
      <w:proofErr w:type="spellEnd"/>
      <w:r>
        <w:t xml:space="preserve"> i zasadności argumentów</w:t>
      </w:r>
      <w:r w:rsidR="00C804A7">
        <w:t xml:space="preserve"> na tym poziomie</w:t>
      </w:r>
      <w:r>
        <w:t xml:space="preserve">. Nie oznacza to, że nie ma przykładów potwierdzających </w:t>
      </w:r>
      <w:r w:rsidR="00C804A7">
        <w:t>argumenty</w:t>
      </w:r>
      <w:r>
        <w:t xml:space="preserve"> przeciwn</w:t>
      </w:r>
      <w:r w:rsidR="00C804A7">
        <w:t>e</w:t>
      </w:r>
      <w:r>
        <w:t xml:space="preserve">. Uważamy jednak, że przedstawione tu punkty </w:t>
      </w:r>
      <w:r w:rsidR="008765AE">
        <w:t xml:space="preserve">dają </w:t>
      </w:r>
      <w:r>
        <w:t xml:space="preserve">solidną podstawę dla ogólnych wniosków </w:t>
      </w:r>
      <w:r w:rsidR="008765AE">
        <w:t xml:space="preserve">dotyczących </w:t>
      </w:r>
      <w:proofErr w:type="spellStart"/>
      <w:r>
        <w:t>Interreg</w:t>
      </w:r>
      <w:proofErr w:type="spellEnd"/>
      <w:r>
        <w:t>.</w:t>
      </w:r>
    </w:p>
    <w:p w14:paraId="7FF7D093" w14:textId="77777777" w:rsidR="00795900" w:rsidRDefault="00A42F95" w:rsidP="004B6935">
      <w:pPr>
        <w:pStyle w:val="Subtitle1"/>
      </w:pPr>
      <w:r>
        <w:t>Silne strony</w:t>
      </w:r>
    </w:p>
    <w:p w14:paraId="6109A64A" w14:textId="55FD5652" w:rsidR="00795900" w:rsidRPr="00E35054" w:rsidRDefault="00A42F95" w:rsidP="00E35054">
      <w:pPr>
        <w:pStyle w:val="Normalpararaph"/>
      </w:pPr>
      <w:r>
        <w:t xml:space="preserve">Wydaje się, że większość dokumentów strategicznych przeanalizowanych na potrzeby niniejszego dokumentu uznaje wartość dodaną </w:t>
      </w:r>
      <w:proofErr w:type="spellStart"/>
      <w:r>
        <w:t>Interreg</w:t>
      </w:r>
      <w:proofErr w:type="spellEnd"/>
      <w:r>
        <w:t xml:space="preserve">, zwłaszcza w kontekście europejskim (integracyjnym). Obecny klimat polityczny, w którym kwestionuje się projekt europejski, z pewnością uświadamia interesariuszom strategicznym, jak ważna jest współpraca. Przyczynia się to do zacieśnienia wspólnoty i zrozumienia konceptu UE, jednocześnie zbliżając do siebie zarówno instytucje, jak i ludzi. Dzięki 30-letniemu doświadczeniu programy </w:t>
      </w:r>
      <w:proofErr w:type="spellStart"/>
      <w:r>
        <w:t>Interreg</w:t>
      </w:r>
      <w:proofErr w:type="spellEnd"/>
      <w:r>
        <w:t xml:space="preserve"> zostały ugruntowane w polityce Unii jako stabilne struktury zarządza</w:t>
      </w:r>
      <w:r w:rsidR="0086711D">
        <w:t>jące</w:t>
      </w:r>
      <w:r>
        <w:t xml:space="preserve"> wieloletnim finansowaniem działań w ramach współpracy w danym obszarze. </w:t>
      </w:r>
      <w:r w:rsidR="00E9276B">
        <w:t>Nie bez przyczyny</w:t>
      </w:r>
      <w:r>
        <w:t xml:space="preserve"> strategie makroregionalne, strategie dotyczące basenów morskich i inne strategie terytorialne (wraz z interesariuszami) poszukują wsparcia </w:t>
      </w:r>
      <w:proofErr w:type="spellStart"/>
      <w:r>
        <w:t>Interreg</w:t>
      </w:r>
      <w:proofErr w:type="spellEnd"/>
      <w:r>
        <w:t xml:space="preserve"> nie tylko </w:t>
      </w:r>
      <w:r w:rsidR="00E9276B">
        <w:t>w zakresie</w:t>
      </w:r>
      <w:r>
        <w:t xml:space="preserve"> finansowania, ale także doświadczenia. Jednocześnie</w:t>
      </w:r>
      <w:r w:rsidR="00E9276B">
        <w:t>,</w:t>
      </w:r>
      <w:r>
        <w:t xml:space="preserve"> powiązani</w:t>
      </w:r>
      <w:r w:rsidR="00E9276B">
        <w:t>e z taką strategią</w:t>
      </w:r>
      <w:r>
        <w:t xml:space="preserve"> mo</w:t>
      </w:r>
      <w:r w:rsidR="00E9276B">
        <w:t>że</w:t>
      </w:r>
      <w:r>
        <w:t xml:space="preserve"> nadać programom </w:t>
      </w:r>
      <w:proofErr w:type="spellStart"/>
      <w:r>
        <w:t>Interreg</w:t>
      </w:r>
      <w:proofErr w:type="spellEnd"/>
      <w:r>
        <w:t xml:space="preserve"> dodatkowe znaczenie strategiczne w ramach danej polityki lub terytorium.</w:t>
      </w:r>
    </w:p>
    <w:p w14:paraId="4A3D4DB5" w14:textId="1CD554A6" w:rsidR="00795900" w:rsidRPr="00E35054" w:rsidRDefault="00A42F95" w:rsidP="00E35054">
      <w:pPr>
        <w:pStyle w:val="Normalpararaph"/>
      </w:pPr>
      <w:r>
        <w:t xml:space="preserve">Koncentracja terytorialna znacznie ułatwia programom </w:t>
      </w:r>
      <w:proofErr w:type="spellStart"/>
      <w:r>
        <w:t>Interreg</w:t>
      </w:r>
      <w:proofErr w:type="spellEnd"/>
      <w:r>
        <w:t xml:space="preserve"> unikanie typow</w:t>
      </w:r>
      <w:r w:rsidR="00E9276B">
        <w:t>ego</w:t>
      </w:r>
      <w:r>
        <w:t xml:space="preserve"> </w:t>
      </w:r>
      <w:r w:rsidR="00E9276B">
        <w:t>podziału</w:t>
      </w:r>
      <w:r>
        <w:t xml:space="preserve"> sektorow</w:t>
      </w:r>
      <w:r w:rsidR="00E9276B">
        <w:t>ego</w:t>
      </w:r>
      <w:r>
        <w:t xml:space="preserve"> a zatem jest miejscem, w którym mogą się spotkać różne kompetencje (i interesy), aby w innowacyjny sposób rozwiązywać wspólne wyzwania. Dlatego też programy/projekty </w:t>
      </w:r>
      <w:proofErr w:type="spellStart"/>
      <w:r>
        <w:t>Interreg</w:t>
      </w:r>
      <w:proofErr w:type="spellEnd"/>
      <w:r>
        <w:t xml:space="preserve"> postrzegane są jako inkubatory innowacji i doświadczeń, w których wszyscy interesariusze (na każdym poziomie) uczestniczą w procesie współtworzenia lepszego jutra</w:t>
      </w:r>
      <w:r w:rsidR="00E9276B">
        <w:t>.</w:t>
      </w:r>
      <w:r>
        <w:t xml:space="preserve"> </w:t>
      </w:r>
      <w:r w:rsidR="00E9276B">
        <w:t>W</w:t>
      </w:r>
      <w:r>
        <w:t xml:space="preserve"> ostatecznym rozrachunku daje </w:t>
      </w:r>
      <w:r w:rsidR="00E9276B">
        <w:t xml:space="preserve">to </w:t>
      </w:r>
      <w:r>
        <w:t xml:space="preserve">poprawę zarządzania publicznego i usług dla obywateli. </w:t>
      </w:r>
      <w:r w:rsidR="00A528FE">
        <w:t>Musi to być raczej motywujące środowisko pracy, p</w:t>
      </w:r>
      <w:r>
        <w:t xml:space="preserve">onieważ struktury </w:t>
      </w:r>
      <w:proofErr w:type="spellStart"/>
      <w:r>
        <w:t>Interreg</w:t>
      </w:r>
      <w:proofErr w:type="spellEnd"/>
      <w:r>
        <w:t xml:space="preserve"> są zawsze gotowe do promowania polityk UE wśród obywateli poprzez np. EC Day lub </w:t>
      </w:r>
      <w:proofErr w:type="spellStart"/>
      <w:r>
        <w:t>Regio</w:t>
      </w:r>
      <w:proofErr w:type="spellEnd"/>
      <w:r>
        <w:t xml:space="preserve"> Stars. Niewiele innych instrumentów polityki UE może liczyć na tak aktywne działania ich społeczności.</w:t>
      </w:r>
    </w:p>
    <w:p w14:paraId="2CDAF704" w14:textId="1A38795C" w:rsidR="00795900" w:rsidRDefault="00A42F95" w:rsidP="00E35054">
      <w:pPr>
        <w:pStyle w:val="Normalpararaph"/>
      </w:pPr>
      <w:r>
        <w:t xml:space="preserve">Niezwykle ważnym aspektem polityki </w:t>
      </w:r>
      <w:proofErr w:type="spellStart"/>
      <w:r>
        <w:t>Interreg</w:t>
      </w:r>
      <w:proofErr w:type="spellEnd"/>
      <w:r>
        <w:t xml:space="preserve"> jest kapitał ludzki –</w:t>
      </w:r>
      <w:r w:rsidR="00A528FE">
        <w:t xml:space="preserve"> </w:t>
      </w:r>
      <w:r>
        <w:t xml:space="preserve">czynnik, którego nie można lekceważyć. Od prawie 30 lat jest on motorem rozwojowym tych programów. </w:t>
      </w:r>
      <w:proofErr w:type="spellStart"/>
      <w:r w:rsidR="00A528FE">
        <w:t>Interreg</w:t>
      </w:r>
      <w:proofErr w:type="spellEnd"/>
      <w:r w:rsidR="00A528FE">
        <w:t xml:space="preserve"> może być dumy z l</w:t>
      </w:r>
      <w:r>
        <w:t xml:space="preserve">udzi, którzy wykazali się umiejętnością uczenia i dostosowywania się do zmieniających się zasad i wymogów politycznych w ramach dość skomplikowanej struktury i gąszczu zasad </w:t>
      </w:r>
      <w:proofErr w:type="spellStart"/>
      <w:r>
        <w:t>Interreg</w:t>
      </w:r>
      <w:proofErr w:type="spellEnd"/>
      <w:r>
        <w:t>.</w:t>
      </w:r>
    </w:p>
    <w:p w14:paraId="67431B42" w14:textId="77777777" w:rsidR="00795900" w:rsidRPr="00E35054" w:rsidRDefault="00A42F95" w:rsidP="00E35054">
      <w:pPr>
        <w:pStyle w:val="Subtitle1"/>
      </w:pPr>
      <w:r>
        <w:lastRenderedPageBreak/>
        <w:t>Słabe strony</w:t>
      </w:r>
    </w:p>
    <w:p w14:paraId="1479A5C5" w14:textId="6B206DAE" w:rsidR="00795900" w:rsidRPr="00E35054" w:rsidRDefault="00A42F95" w:rsidP="00E35054">
      <w:pPr>
        <w:pStyle w:val="Normalpararaph"/>
      </w:pPr>
      <w:r>
        <w:t xml:space="preserve">Złożoność poszczególnych czynników (interesów, interesariuszy, pomysłów, struktur, zasad itp.) </w:t>
      </w:r>
      <w:r w:rsidR="00D6018E">
        <w:t xml:space="preserve">w programach </w:t>
      </w:r>
      <w:proofErr w:type="spellStart"/>
      <w:r>
        <w:rPr>
          <w:rFonts w:ascii="'Times New Roman'" w:hAnsi="'Times New Roman'"/>
        </w:rPr>
        <w:t>Interreg</w:t>
      </w:r>
      <w:proofErr w:type="spellEnd"/>
      <w:r>
        <w:t xml:space="preserve"> ma duż</w:t>
      </w:r>
      <w:r w:rsidR="00D6018E">
        <w:t>e</w:t>
      </w:r>
      <w:r>
        <w:t xml:space="preserve"> </w:t>
      </w:r>
      <w:r w:rsidR="00D6018E">
        <w:t xml:space="preserve">znaczenie </w:t>
      </w:r>
      <w:r>
        <w:t>na poziom</w:t>
      </w:r>
      <w:r w:rsidR="00D6018E">
        <w:t>ie</w:t>
      </w:r>
      <w:r>
        <w:t xml:space="preserve"> strategiczny</w:t>
      </w:r>
      <w:r w:rsidR="00D6018E">
        <w:t>m</w:t>
      </w:r>
      <w:r>
        <w:t xml:space="preserve">. Fakt, że programy łączą w sobie tak wielką „różnorodność” stwarza wyzwanie w zakresie odpowiedzialności za strategiczne sterowanie i wdrażanie programów i projektów. Z jednej strony może to prowadzić do konfliktów z powodu różnych wizji (lub po prostu nieścisłości w rozumieniu/interpretacji?), a z drugiej – postawy przejawiającej się istnym leseferyzmem gdzie nikt nie czuje się rzeczywiście odpowiedzialny za przejęcie przywództwa (za wizję, wyniki, procesy itp.). W efekcie wciąż mnożą się przykłady, w których projekty definiują program, a nie odwrotnie. Jest rzeczą oczywistą, że wszystkie programy radzą sobie z tą złożonością, ale w dłuższej perspektywie owe „wyzwania” mogą być trudne do zrozumienia dla interesariuszy polityki UE wysokiego szczebla. Ostatecznie wydawać by się mogło, że braknie wśród nich wspólnej wizji działania i przestaną oni postrzegać </w:t>
      </w:r>
      <w:proofErr w:type="spellStart"/>
      <w:r>
        <w:t>Interreg</w:t>
      </w:r>
      <w:proofErr w:type="spellEnd"/>
      <w:r>
        <w:t>/współpracę jako poważne narzędzie polityczne, mimo że kwestie współdziałania/koordynacji podkreśla się zawsze jako ważną część skutecznego wdrażania polityki. W rezultacie można uznać, że budżet w nowych WRF po 2020 r. został nieproporcjonalnie obcięty.</w:t>
      </w:r>
    </w:p>
    <w:p w14:paraId="19D93489" w14:textId="15AC03A3" w:rsidR="00795900" w:rsidRPr="00E35054" w:rsidRDefault="00A42F95" w:rsidP="00E35054">
      <w:pPr>
        <w:pStyle w:val="Normalpararaph"/>
      </w:pPr>
      <w:r>
        <w:t xml:space="preserve">Liczba programów i </w:t>
      </w:r>
      <w:r w:rsidR="00D82F31">
        <w:t>w konsekwencji</w:t>
      </w:r>
      <w:r>
        <w:t xml:space="preserve"> projektów nie ułatwia tworzenia historii o współpracy na </w:t>
      </w:r>
      <w:r w:rsidR="00D82F31">
        <w:t xml:space="preserve">zagregowanym </w:t>
      </w:r>
      <w:r>
        <w:t>poziomie polityki</w:t>
      </w:r>
      <w:r w:rsidR="00D82F31">
        <w:t xml:space="preserve"> spójności</w:t>
      </w:r>
      <w:r>
        <w:t xml:space="preserve">. Istnieją natomiast tysiące rozproszonych historii sukcesu. Każdy może opowiedzieć swoją lokalną historię, ale </w:t>
      </w:r>
      <w:r w:rsidR="00F6626A">
        <w:t>może być trudno je zagregować, by usatysfakcjonować polityczną logikę odpowiedzialności politycznej na poziomie</w:t>
      </w:r>
      <w:r w:rsidR="00D82F31">
        <w:t xml:space="preserve"> </w:t>
      </w:r>
      <w:r>
        <w:t xml:space="preserve">UE. Wydaje się, że w tym przypadku istnieje konflikt między sukcesem terytorialnym </w:t>
      </w:r>
      <w:proofErr w:type="spellStart"/>
      <w:r>
        <w:t>Interreg</w:t>
      </w:r>
      <w:proofErr w:type="spellEnd"/>
      <w:r>
        <w:t xml:space="preserve"> a logiką polityki sektorowej, </w:t>
      </w:r>
      <w:r w:rsidR="00F6626A">
        <w:t>i</w:t>
      </w:r>
      <w:r>
        <w:t xml:space="preserve"> </w:t>
      </w:r>
      <w:proofErr w:type="spellStart"/>
      <w:r>
        <w:t>Interreg</w:t>
      </w:r>
      <w:proofErr w:type="spellEnd"/>
      <w:r>
        <w:t xml:space="preserve"> może </w:t>
      </w:r>
      <w:r w:rsidR="00F6626A">
        <w:t>utknąć w tym konflikcie</w:t>
      </w:r>
      <w:r>
        <w:t>.</w:t>
      </w:r>
    </w:p>
    <w:p w14:paraId="3CC12790" w14:textId="07CA2D3B" w:rsidR="00795900" w:rsidRDefault="00A42F95" w:rsidP="00E35054">
      <w:pPr>
        <w:pStyle w:val="Normalpararaph"/>
      </w:pPr>
      <w:r>
        <w:t xml:space="preserve">Z drugiej strony brak strategicznej wizji współpracy nie pomaga w opracowaniu uznanego </w:t>
      </w:r>
      <w:r w:rsidR="00F6626A">
        <w:t xml:space="preserve">na poziomie strategicznym </w:t>
      </w:r>
      <w:r>
        <w:t xml:space="preserve">systemu monitorowania polityki (wskaźników), który opowiadałby historię współpracy w sposób znaczący dla tych interesariuszy. Dlatego też </w:t>
      </w:r>
      <w:r w:rsidR="00933771">
        <w:t xml:space="preserve">podejmowane </w:t>
      </w:r>
      <w:r>
        <w:t xml:space="preserve">próby mają charakter oddolny </w:t>
      </w:r>
      <w:r w:rsidR="00933771">
        <w:t xml:space="preserve">i jedynie </w:t>
      </w:r>
      <w:r>
        <w:t xml:space="preserve">odgadują wymagania stawiane na szczeblu politycznym. Fakt, że rezultaty są zwykle długoterminowe, a współpraca (dobra/lepsza) może z czasem stać się wynikiem samym w sobie, nie zawsze odpowiada tym ambicjom politycznym. W efekcie zamiast doceniać współpracę jako taką za to, czym jest, dodaje się do niej inne cele, co prowadzi do swoistego przeciążenia, a tym samym zamieszania lub braku koncentracji. Fakt, że potencjał wykorzystania ustrukturyzowanego cyklu uczenia się z procesu </w:t>
      </w:r>
      <w:r w:rsidR="00933771">
        <w:t xml:space="preserve">ewaluacji </w:t>
      </w:r>
      <w:r>
        <w:t>(operacyjne</w:t>
      </w:r>
      <w:r w:rsidR="00933771">
        <w:t>j</w:t>
      </w:r>
      <w:r>
        <w:t xml:space="preserve"> i </w:t>
      </w:r>
      <w:r w:rsidR="00933771">
        <w:t>ex-post</w:t>
      </w:r>
      <w:r>
        <w:t>) nie jest powszechną praktyką we wszystkich programach, również nie pomaga w realizacji tego wyzwania.</w:t>
      </w:r>
    </w:p>
    <w:p w14:paraId="59179734" w14:textId="593FDA52" w:rsidR="00795900" w:rsidRPr="005D3CD6" w:rsidRDefault="00A42F95" w:rsidP="005D3CD6">
      <w:pPr>
        <w:pStyle w:val="Normalpararaph"/>
      </w:pPr>
      <w:r>
        <w:t>W badaniu Komisji Europejskiej dotyczącym</w:t>
      </w:r>
      <w:r w:rsidR="00517E84">
        <w:t xml:space="preserve"> barier</w:t>
      </w:r>
      <w:r>
        <w:t xml:space="preserve"> granicznych (2017 r.) zwrócono uwagę na znaczenie współpracy wszystkich kluczowych interesariuszy w dążeniu do </w:t>
      </w:r>
      <w:r w:rsidR="00D73527">
        <w:t>usunięcia danej bariery</w:t>
      </w:r>
      <w:r>
        <w:t>, a co za tym idzie –</w:t>
      </w:r>
      <w:r w:rsidR="00D73527">
        <w:t xml:space="preserve"> osiągnięcia </w:t>
      </w:r>
      <w:r>
        <w:t xml:space="preserve">korzyści, jakie można dzięki </w:t>
      </w:r>
      <w:r w:rsidR="00D73527">
        <w:t>temu</w:t>
      </w:r>
      <w:r>
        <w:t xml:space="preserve"> osiągnąć. Programy </w:t>
      </w:r>
      <w:proofErr w:type="spellStart"/>
      <w:r>
        <w:t>Interreg</w:t>
      </w:r>
      <w:proofErr w:type="spellEnd"/>
      <w:r>
        <w:t xml:space="preserve">, ze względu na swoją skomplikowaną strukturę i tendencję do </w:t>
      </w:r>
      <w:r w:rsidR="00D70271">
        <w:t xml:space="preserve">przeregulowania </w:t>
      </w:r>
      <w:r>
        <w:lastRenderedPageBreak/>
        <w:t xml:space="preserve">wynikającą z dominującej kultury zerowego ryzyka, stawiają koszty wejścia dla nowych beneficjentów na stosunkowo wysokim poziomie. Inne źródła finansowania mogą być „łatwiejsze do zdobycia”, a zatem obecność typowych podmiotów w </w:t>
      </w:r>
      <w:proofErr w:type="spellStart"/>
      <w:r>
        <w:t>Interreg</w:t>
      </w:r>
      <w:proofErr w:type="spellEnd"/>
      <w:r>
        <w:t xml:space="preserve"> na ogół przeważa.</w:t>
      </w:r>
    </w:p>
    <w:p w14:paraId="79108233" w14:textId="64AC978D" w:rsidR="00795900" w:rsidRPr="005D3CD6" w:rsidRDefault="00A42F95" w:rsidP="005D3CD6">
      <w:pPr>
        <w:pStyle w:val="Normalpararaph"/>
      </w:pPr>
      <w:r>
        <w:t xml:space="preserve">W sytuacji, gdy do </w:t>
      </w:r>
      <w:r w:rsidR="00D70271">
        <w:t xml:space="preserve">instytucji </w:t>
      </w:r>
      <w:r w:rsidR="00D73527">
        <w:t xml:space="preserve">administracyjnej </w:t>
      </w:r>
      <w:r>
        <w:t xml:space="preserve">trafia wiele zasobów (o rzeczywistej lub postrzeganej złożoności), istnieje realne ryzyko potencjalnego zaniedbania strategicznej pracy nad realnym </w:t>
      </w:r>
      <w:r w:rsidR="00D73527">
        <w:t xml:space="preserve">kontaktem z danym terytorium i jego </w:t>
      </w:r>
      <w:r>
        <w:t xml:space="preserve">wspólnymi wyzwaniami strategicznymi. Połączenia między programami </w:t>
      </w:r>
      <w:proofErr w:type="spellStart"/>
      <w:r>
        <w:t>Interreg</w:t>
      </w:r>
      <w:proofErr w:type="spellEnd"/>
      <w:r>
        <w:t xml:space="preserve"> – nie mówiąc już o programach </w:t>
      </w:r>
      <w:r w:rsidR="002453C4">
        <w:t>krajowych i regionalnych</w:t>
      </w:r>
      <w:r>
        <w:t xml:space="preserve">– są słabe. W rezultacie w ramach działań </w:t>
      </w:r>
      <w:proofErr w:type="spellStart"/>
      <w:r>
        <w:t>Interreg</w:t>
      </w:r>
      <w:proofErr w:type="spellEnd"/>
      <w:r>
        <w:t xml:space="preserve"> można ponownie sfinansować te same pomysły, a na wyższym poziomie nie uwzględniać strategicznego zakotwiczenia programów i wyników projektów w ramach danej polityki, aby uczynić je bardziej zrównoważonymi. Skupienie się (w pierwszym kroku) na sprawach administracyjnych utrudnia również inwestowanie rzeczywistych zasobów w rozwijanie wiedzy specjalistycznej w odpowiednich dziedzinach objętych programem.</w:t>
      </w:r>
    </w:p>
    <w:p w14:paraId="095FD657" w14:textId="28115365" w:rsidR="00795900" w:rsidRPr="005D3CD6" w:rsidRDefault="00A42F95" w:rsidP="005D3CD6">
      <w:pPr>
        <w:pStyle w:val="Normalpararaph"/>
      </w:pPr>
      <w:r>
        <w:t xml:space="preserve">Ostatnią, lecz równie ważną kwestią, jest fakt, iż cykl zamyka się powrotem do zasobów i </w:t>
      </w:r>
      <w:r w:rsidR="008911E0">
        <w:t xml:space="preserve">strukturalnego </w:t>
      </w:r>
      <w:r>
        <w:t>wyzwa</w:t>
      </w:r>
      <w:r w:rsidR="008911E0">
        <w:t>nia</w:t>
      </w:r>
      <w:r>
        <w:t xml:space="preserve"> </w:t>
      </w:r>
      <w:proofErr w:type="spellStart"/>
      <w:r>
        <w:t>Interreg</w:t>
      </w:r>
      <w:proofErr w:type="spellEnd"/>
      <w:r>
        <w:t xml:space="preserve"> polegającego na finansowaniu codziennych operacji gotówką na rachunku. Logika przepływów finansowych funduszy strukturalnych </w:t>
      </w:r>
      <w:r w:rsidR="008911E0">
        <w:t xml:space="preserve">ma zastosowanie </w:t>
      </w:r>
      <w:r>
        <w:t xml:space="preserve">do programów </w:t>
      </w:r>
      <w:proofErr w:type="spellStart"/>
      <w:r>
        <w:t>Interreg</w:t>
      </w:r>
      <w:proofErr w:type="spellEnd"/>
      <w:r>
        <w:t>. To sprawia, że zasoby pomocy technicznej, jedyne finansowanie personelu zarządzającego programem, są wrażliwe i nie zawsze są zsynchronizowane z potrzebami programu w cyklu programowania. W połączeniu ze stosunkowo niskim wykorzystaniem form kosztów uproszczonych wymaga to również od beneficjentów zdolności do długoterminowego finansowania wstępnego działań. Zdecydowanie utrudnia to wejście dla być może odpowiednich, ale słabszych finansowo beneficjentów.</w:t>
      </w:r>
    </w:p>
    <w:p w14:paraId="3CAE8C2A" w14:textId="77777777" w:rsidR="00795900" w:rsidRPr="00B07F0F" w:rsidRDefault="00A42F95" w:rsidP="00B07F0F">
      <w:pPr>
        <w:pStyle w:val="Subtitle1"/>
      </w:pPr>
      <w:r>
        <w:t>Możliwości</w:t>
      </w:r>
    </w:p>
    <w:p w14:paraId="0F4408D1" w14:textId="77777777" w:rsidR="00795900" w:rsidRDefault="00A42F95" w:rsidP="00B07F0F">
      <w:pPr>
        <w:pStyle w:val="Normalpararaph"/>
      </w:pPr>
      <w:r>
        <w:t>Nowy okres programowania niesie ze sobą duże nadzieje na oczekiwane uproszczenia. Projekt pakietu legislacyjnego został znacznie odchudzony i powinien zamknąć się w zintegrowanych ramach odpowiednich dla wszystkich funduszy polityki spójności. Ponadto oczekuje się zmniejszonego prawodawstwa wtórnego w postaci wytycznych, co stanowiło w bieżącym okresie nie lada problem i jeszcze bardziej skomplikowało już i tak zawiłą sytuację stanu prawnego, znacząco utrudniając jej zrozumienie. Początkowa idea oparta na działaniu „bez wytycznych” została zredukowana, co pozwala uniknąć braku skuteczności przy objaśnianiu potrzeb.</w:t>
      </w:r>
    </w:p>
    <w:p w14:paraId="4013006F" w14:textId="1CDB7C90" w:rsidR="00795900" w:rsidRDefault="00A42F95" w:rsidP="00B07F0F">
      <w:pPr>
        <w:pStyle w:val="Normalpararaph"/>
      </w:pPr>
      <w:r>
        <w:t xml:space="preserve">Niektóre z propozycji uproszczeń wybiegają poza wcześniej ustalone założenia: tyczy się to m. in.: pojedynczej próby </w:t>
      </w:r>
      <w:r w:rsidR="00464843">
        <w:t>do audytu</w:t>
      </w:r>
      <w:r>
        <w:t xml:space="preserve">, </w:t>
      </w:r>
      <w:r w:rsidR="00464843">
        <w:t xml:space="preserve">kontrolach zarządczych </w:t>
      </w:r>
      <w:r>
        <w:t>opart</w:t>
      </w:r>
      <w:r w:rsidR="00464843">
        <w:t>ych</w:t>
      </w:r>
      <w:r>
        <w:t xml:space="preserve"> na </w:t>
      </w:r>
      <w:r w:rsidR="00464843">
        <w:t xml:space="preserve">analizie </w:t>
      </w:r>
      <w:r>
        <w:t>ryzyk</w:t>
      </w:r>
      <w:r w:rsidR="00464843">
        <w:t>a</w:t>
      </w:r>
      <w:r>
        <w:t xml:space="preserve"> , </w:t>
      </w:r>
      <w:r w:rsidR="00F35CCD">
        <w:t xml:space="preserve">szerszego stosowania metod </w:t>
      </w:r>
      <w:r>
        <w:t xml:space="preserve">uproszczonych. </w:t>
      </w:r>
      <w:r w:rsidR="00496F3D">
        <w:t xml:space="preserve">Zadania w zakresie </w:t>
      </w:r>
      <w:r>
        <w:t>księgowa</w:t>
      </w:r>
      <w:r w:rsidR="00496F3D">
        <w:t>nia wydatków</w:t>
      </w:r>
      <w:r>
        <w:t xml:space="preserve"> </w:t>
      </w:r>
      <w:r>
        <w:lastRenderedPageBreak/>
        <w:t>mo</w:t>
      </w:r>
      <w:r w:rsidR="00496F3D">
        <w:t>gą</w:t>
      </w:r>
      <w:r>
        <w:t xml:space="preserve"> (ale nie mus</w:t>
      </w:r>
      <w:r w:rsidR="00496F3D">
        <w:t>zą</w:t>
      </w:r>
      <w:r>
        <w:t>) zostać w pełni zintegrowan</w:t>
      </w:r>
      <w:r w:rsidR="00496F3D">
        <w:t>e</w:t>
      </w:r>
      <w:r>
        <w:t xml:space="preserve"> z Instytucją Zarządzającą, a programy mogą działać poza obszarem </w:t>
      </w:r>
      <w:r w:rsidR="00F35CCD">
        <w:t xml:space="preserve">wsparcia </w:t>
      </w:r>
      <w:r>
        <w:t>bez konieczności monitorowania przekroczeń jakichkolwiek limitów. Podsumowując, powinno to znacznie ograniczyć koncentrację (i przeznaczane zasoby) na czysto administracyjnej stronie zarządzania programem.</w:t>
      </w:r>
    </w:p>
    <w:p w14:paraId="3404793E" w14:textId="3208F9E1" w:rsidR="00795900" w:rsidRDefault="00A42F95" w:rsidP="00880B16">
      <w:pPr>
        <w:pStyle w:val="Normalpararaph"/>
      </w:pPr>
      <w:r>
        <w:t>Pozytywn</w:t>
      </w:r>
      <w:r w:rsidR="00C634F5">
        <w:t>ą</w:t>
      </w:r>
      <w:r>
        <w:t xml:space="preserve"> stron</w:t>
      </w:r>
      <w:r w:rsidR="00C634F5">
        <w:t>ą</w:t>
      </w:r>
      <w:r>
        <w:t xml:space="preserve"> zwiększ</w:t>
      </w:r>
      <w:r w:rsidR="00C634F5">
        <w:t>a</w:t>
      </w:r>
      <w:r>
        <w:t xml:space="preserve">nia presji na zasoby </w:t>
      </w:r>
      <w:r w:rsidR="00C634F5">
        <w:t>jest możliwość</w:t>
      </w:r>
      <w:r>
        <w:t xml:space="preserve"> przetestowania nowego modelu koordynowania interwencji pomiędzy programami na tych samych terytoriach, nawet jeśli mają one inny charakter (transgraniczne a transnarodowe). To „oportunistyczne” myślenie, nie obejmujące wymogów regulacyjnych, mogłoby w rzeczywistości zostać wykorzystane dla wszystkich programów do ponownego przemyślenia nisz programowych w pokrywających się obszarach geograficznych. </w:t>
      </w:r>
      <w:r w:rsidR="00C634F5">
        <w:t>Można pokusić się o nawet jeszcze śmielsze działania, g</w:t>
      </w:r>
      <w:r>
        <w:t>dy innowacyjne inicjatywy, takie jak pomoc zwrotna, zostaną ponownie przedstawione podczas nowego procesu programowania.</w:t>
      </w:r>
    </w:p>
    <w:p w14:paraId="2AAC0DFA" w14:textId="3DED3EC1" w:rsidR="00795900" w:rsidRDefault="00A42F95" w:rsidP="00880B16">
      <w:pPr>
        <w:pStyle w:val="Normalpararaph"/>
      </w:pPr>
      <w:r>
        <w:t xml:space="preserve">Te wysiłki na rzecz uproszczenia i </w:t>
      </w:r>
      <w:r w:rsidR="00464843">
        <w:t>usprawnień m</w:t>
      </w:r>
      <w:r>
        <w:t>ogą ostatecznie stać się okazją do uczynienia współpracy jeszcze atrakcyjniejszą i – co najważniejsze – szeroko dostępn</w:t>
      </w:r>
      <w:r w:rsidR="00C634F5">
        <w:t>ej</w:t>
      </w:r>
      <w:r>
        <w:t xml:space="preserve"> dla </w:t>
      </w:r>
      <w:r w:rsidR="00C634F5">
        <w:t>interesariuszy</w:t>
      </w:r>
      <w:r>
        <w:t xml:space="preserve"> spoza </w:t>
      </w:r>
      <w:proofErr w:type="spellStart"/>
      <w:r>
        <w:t>Interreg</w:t>
      </w:r>
      <w:proofErr w:type="spellEnd"/>
      <w:r>
        <w:t xml:space="preserve">. Komunikat Komisji w sprawie </w:t>
      </w:r>
      <w:r w:rsidR="002641B0">
        <w:t xml:space="preserve">zwiększania </w:t>
      </w:r>
      <w:r>
        <w:t>innowac</w:t>
      </w:r>
      <w:r w:rsidR="002641B0">
        <w:t>yjności</w:t>
      </w:r>
      <w:r>
        <w:t xml:space="preserve"> </w:t>
      </w:r>
      <w:r w:rsidR="002641B0">
        <w:t>europejskich regionów</w:t>
      </w:r>
      <w:r>
        <w:t xml:space="preserve"> (dalej zwany „Komunikatem”) promuje współpracę jako narzędzie dialogu, uczenia się, inspiracji, a ostatecznie podejmowania inicjatyw/projektów inwestycyjnych</w:t>
      </w:r>
      <w:r w:rsidR="002641B0">
        <w:t>.</w:t>
      </w:r>
      <w:r>
        <w:rPr>
          <w:rFonts w:ascii="'Times New Roman'" w:hAnsi="'Times New Roman'"/>
        </w:rPr>
        <w:t xml:space="preserve"> </w:t>
      </w:r>
      <w:r>
        <w:t xml:space="preserve"> </w:t>
      </w:r>
      <w:proofErr w:type="spellStart"/>
      <w:r>
        <w:t>Interreg</w:t>
      </w:r>
      <w:proofErr w:type="spellEnd"/>
      <w:r>
        <w:t>, jako „inkubator współpracy” w Europie, powinien zyskać na tym w sposób szczególny.</w:t>
      </w:r>
    </w:p>
    <w:p w14:paraId="25A0EA1E" w14:textId="6F26EBF4" w:rsidR="00795900" w:rsidRDefault="00A42F95" w:rsidP="00880B16">
      <w:pPr>
        <w:pStyle w:val="Normalpararaph"/>
      </w:pPr>
      <w:r>
        <w:t>Należy oczywiście wykroczyć poza czyste chwyty marketingowe i wdrożyć także działania o znaczeniu strategiczn</w:t>
      </w:r>
      <w:r w:rsidR="00464843">
        <w:t>ym</w:t>
      </w:r>
      <w:r>
        <w:t xml:space="preserve">. Sposobem na osiągnięcie tego celu może być zakotwiczenie (przynajmniej niektórych) działań </w:t>
      </w:r>
      <w:proofErr w:type="spellStart"/>
      <w:r>
        <w:t>Interreg</w:t>
      </w:r>
      <w:proofErr w:type="spellEnd"/>
      <w:r>
        <w:t xml:space="preserve"> w wyzwaniu polegającym na trwałym usuwaniu </w:t>
      </w:r>
      <w:r w:rsidR="002641B0">
        <w:t xml:space="preserve">barier </w:t>
      </w:r>
      <w:r>
        <w:t xml:space="preserve">granicznych określonym w Komunikacie Komisji. Może to wymagać znacznie silniejszego przywództwa politycznego a także zaangażowania państw uczestniczących oraz instytucji zarządzających, które musiałyby podtrzymać przywództwo i aktywny dialog między instytucjami odgrywającymi kluczową rolę w usuwaniu danej przeszkody. Jednocześnie w wezwaniach do </w:t>
      </w:r>
      <w:r w:rsidR="00464843">
        <w:t>zaktualizowanej</w:t>
      </w:r>
      <w:r>
        <w:t xml:space="preserve"> </w:t>
      </w:r>
      <w:r w:rsidR="00464843">
        <w:t xml:space="preserve"> </w:t>
      </w:r>
      <w:r>
        <w:t xml:space="preserve">Agendy Terytorialnej 2020+ (lata 2020-2030) podkreślono potrzebę powrotu do podejścia terytorialnego i położenia nacisku na rolę współpracy terytorialnej i zarządzania obszarami funkcjonalnymi. Oba te czynniki stanowią mocne strony </w:t>
      </w:r>
      <w:proofErr w:type="spellStart"/>
      <w:r>
        <w:t>Interreg</w:t>
      </w:r>
      <w:proofErr w:type="spellEnd"/>
      <w:r>
        <w:t>.</w:t>
      </w:r>
    </w:p>
    <w:p w14:paraId="29424084" w14:textId="2D73C507" w:rsidR="00795900" w:rsidRDefault="00A42F95" w:rsidP="009240F4">
      <w:pPr>
        <w:pStyle w:val="Normalpararaph"/>
      </w:pPr>
      <w:r>
        <w:t xml:space="preserve">Wreszcie wspólne wskaźniki rezultatu mogą być okazją do próby uchwycenia skumulowanego wkładu </w:t>
      </w:r>
      <w:proofErr w:type="spellStart"/>
      <w:r>
        <w:t>Interreg</w:t>
      </w:r>
      <w:proofErr w:type="spellEnd"/>
      <w:r>
        <w:t xml:space="preserve"> w politykę spójności, nawet jeśli nie jest on uważany za w pełni reprezentatywny pod kątem podstawowej wartości dodanej </w:t>
      </w:r>
      <w:proofErr w:type="spellStart"/>
      <w:r>
        <w:t>Interreg</w:t>
      </w:r>
      <w:proofErr w:type="spellEnd"/>
      <w:r>
        <w:t xml:space="preserve">. To z kolei może wzmocnić strategiczną komunikację z </w:t>
      </w:r>
      <w:proofErr w:type="spellStart"/>
      <w:r>
        <w:t>Interreg</w:t>
      </w:r>
      <w:proofErr w:type="spellEnd"/>
      <w:r>
        <w:t xml:space="preserve"> i po raz kolejny stanowić odpowiedź na </w:t>
      </w:r>
      <w:r w:rsidR="00464843">
        <w:t xml:space="preserve">strategiczny </w:t>
      </w:r>
      <w:r>
        <w:t xml:space="preserve">apel Rady </w:t>
      </w:r>
      <w:r w:rsidR="00464843">
        <w:t>UE</w:t>
      </w:r>
      <w:r>
        <w:t xml:space="preserve"> o zwiększenie widoczności polityki spójności.</w:t>
      </w:r>
    </w:p>
    <w:p w14:paraId="6DB1C398" w14:textId="77777777" w:rsidR="00795900" w:rsidRDefault="00A42F95" w:rsidP="009240F4">
      <w:pPr>
        <w:pStyle w:val="Subtitle1"/>
      </w:pPr>
      <w:r>
        <w:lastRenderedPageBreak/>
        <w:t>Zagrożenia</w:t>
      </w:r>
    </w:p>
    <w:p w14:paraId="57A98E89" w14:textId="6322A0D1" w:rsidR="00795900" w:rsidRPr="00FA702D" w:rsidRDefault="00A42F95" w:rsidP="00FA702D">
      <w:pPr>
        <w:pStyle w:val="Normalpararaph"/>
      </w:pPr>
      <w:r>
        <w:t xml:space="preserve">Logika </w:t>
      </w:r>
      <w:r w:rsidR="00464843">
        <w:t xml:space="preserve">nowego rozporządzenia </w:t>
      </w:r>
      <w:proofErr w:type="spellStart"/>
      <w:r w:rsidR="00464843">
        <w:t>Interreg</w:t>
      </w:r>
      <w:proofErr w:type="spellEnd"/>
      <w:r w:rsidR="00464843">
        <w:t xml:space="preserve"> na lata 2021-2027</w:t>
      </w:r>
      <w:r>
        <w:t xml:space="preserve"> została przedstawiona raczej jako ewolucja niż rewolucja. Pogląd ten może jednak nie być podzielany przez wszystkich interesariuszy. Jakkolwiek by problemu nie postrzegać, skumulowana zmiana niektórych bardziej „rewolucyjnych” propozycji może nadal wysysać </w:t>
      </w:r>
      <w:r w:rsidR="002641B0">
        <w:t xml:space="preserve">zasoby </w:t>
      </w:r>
      <w:r>
        <w:t>na administr</w:t>
      </w:r>
      <w:r w:rsidR="002641B0">
        <w:t>owanie</w:t>
      </w:r>
      <w:r>
        <w:t xml:space="preserve"> (ty</w:t>
      </w:r>
      <w:r w:rsidR="002641B0">
        <w:t>mi</w:t>
      </w:r>
      <w:r>
        <w:t xml:space="preserve"> zmian</w:t>
      </w:r>
      <w:r w:rsidR="002641B0">
        <w:t>ami</w:t>
      </w:r>
      <w:r>
        <w:t xml:space="preserve">). W efekcie szansa na posiadanie większej ilości zasobów przeznaczanych na treści może nie zostać zrealizowana. Podobnie jak większość interesów i interakcji we współpracy, także i ten skumulowany proces zmian będzie wymagał aktywnego zarządzania zasobami. W efekcie postrzegana (i/lub rzeczywista) złożoność </w:t>
      </w:r>
      <w:proofErr w:type="spellStart"/>
      <w:r>
        <w:t>Interreg</w:t>
      </w:r>
      <w:proofErr w:type="spellEnd"/>
      <w:r>
        <w:t xml:space="preserve"> pozostanie nietknięta, a nowi potencjalni beneficjenci (</w:t>
      </w:r>
      <w:proofErr w:type="spellStart"/>
      <w:r>
        <w:t>Interreg</w:t>
      </w:r>
      <w:proofErr w:type="spellEnd"/>
      <w:r>
        <w:t xml:space="preserve">) nadal będą decydować się na skorzystanie z „prostszych” źródeł finansowania, przynajmniej w niektórych obszarach. W skrajnym przypadku nawet zwykli „sceptycy” z </w:t>
      </w:r>
      <w:proofErr w:type="spellStart"/>
      <w:r>
        <w:t>Interreg</w:t>
      </w:r>
      <w:proofErr w:type="spellEnd"/>
      <w:r>
        <w:t xml:space="preserve"> mogą zdecydować się na zmianę, co wykazano w szeregu badań dotyczących obciążeń administracyjnych i</w:t>
      </w:r>
      <w:r w:rsidR="00464843">
        <w:t xml:space="preserve"> przeregulowania</w:t>
      </w:r>
      <w:r>
        <w:t>. Wydaje się, że szczególnie zagrożeni są tutaj beneficjenci pochodzący ze starych krajów członkowskich.</w:t>
      </w:r>
    </w:p>
    <w:p w14:paraId="1ECE0267" w14:textId="56516F01" w:rsidR="00795900" w:rsidRDefault="00A42F95" w:rsidP="00FA702D">
      <w:pPr>
        <w:pStyle w:val="Normalpararaph"/>
      </w:pPr>
      <w:r>
        <w:t xml:space="preserve">Oczywiście niektóre propozycje są na tyle rewolucyjne, że trudno przewidzieć, czy ich wynik okaże się pozytywny czy też nie. Pojedyncza próba </w:t>
      </w:r>
      <w:r w:rsidR="00464843">
        <w:t xml:space="preserve">do audytu </w:t>
      </w:r>
      <w:r>
        <w:t>może okazać się ogromnym uproszczeniem i zmniejszeniem obciążenia administracyjnego, ale</w:t>
      </w:r>
      <w:r w:rsidR="002641B0">
        <w:t xml:space="preserve"> czy</w:t>
      </w:r>
      <w:r>
        <w:t xml:space="preserve"> uwzględni</w:t>
      </w:r>
      <w:r w:rsidR="0037514A">
        <w:t>ą</w:t>
      </w:r>
      <w:r>
        <w:t xml:space="preserve"> </w:t>
      </w:r>
      <w:r w:rsidR="0037514A">
        <w:t xml:space="preserve">to </w:t>
      </w:r>
      <w:r>
        <w:t>wszystki</w:t>
      </w:r>
      <w:r w:rsidR="0037514A">
        <w:t>e</w:t>
      </w:r>
      <w:r>
        <w:t xml:space="preserve"> program</w:t>
      </w:r>
      <w:r w:rsidR="0037514A">
        <w:t>y</w:t>
      </w:r>
      <w:r>
        <w:t xml:space="preserve">. Mogą pojawić się także (polityczne) obiekcje co do zaufania do samego nowego systemu, jak i chęci przystąpienia do niego. Czy jesteśmy w stanie przewidzieć wszystkie konsekwencje zmian w ogólnym systemie zarządzania i kontroli w poszczególnych programach? Oczywiście istnieje ryzyko wystąpienia negatywnych i nieprzewidzianych konsekwencji, którymi będzie trzeba zarządzać. Podobny los może czekać </w:t>
      </w:r>
      <w:r w:rsidR="00464843">
        <w:t>poziom</w:t>
      </w:r>
      <w:r>
        <w:t xml:space="preserve"> współfinansowania, która w połączeniu z</w:t>
      </w:r>
      <w:r w:rsidR="00464843">
        <w:t xml:space="preserve"> ryczałtem na pomoc techniczną </w:t>
      </w:r>
      <w:r>
        <w:t>może prowadzić do braku środków przynajmniej na niektórych etapach cyklu programowego.</w:t>
      </w:r>
    </w:p>
    <w:p w14:paraId="603EDAB8" w14:textId="1CA9BE5A" w:rsidR="00795900" w:rsidRPr="00FA702D" w:rsidRDefault="00A42F95" w:rsidP="00FA702D">
      <w:pPr>
        <w:pStyle w:val="Normalpararaph"/>
      </w:pPr>
      <w:r>
        <w:t xml:space="preserve">Wprowadzenie komponentu nr 5 </w:t>
      </w:r>
      <w:r w:rsidR="00464843">
        <w:t>do architektury</w:t>
      </w:r>
      <w:r>
        <w:t xml:space="preserve"> </w:t>
      </w:r>
      <w:proofErr w:type="spellStart"/>
      <w:r>
        <w:t>Interreg</w:t>
      </w:r>
      <w:proofErr w:type="spellEnd"/>
      <w:r>
        <w:t xml:space="preserve"> było sporym zaskoczeniem, ale powinno być również postrzegane jako uznanie współpracy w zakresie możliwości rozwiązania niektórych strategicznych wyzwań Europy. W </w:t>
      </w:r>
      <w:r w:rsidR="00464843">
        <w:t>wyniku negocjacji</w:t>
      </w:r>
      <w:r>
        <w:t xml:space="preserve"> Rady i Parlamentu nie będzie on już częścią </w:t>
      </w:r>
      <w:proofErr w:type="spellStart"/>
      <w:r>
        <w:t>Interreg</w:t>
      </w:r>
      <w:proofErr w:type="spellEnd"/>
      <w:r>
        <w:t xml:space="preserve">. Przyszłość pokaże, czy ten pierwszy pomysł </w:t>
      </w:r>
      <w:r>
        <w:rPr>
          <w:rFonts w:ascii="'Times New Roman'" w:hAnsi="'Times New Roman'"/>
        </w:rPr>
        <w:t>przyniesie długofalowe skutki</w:t>
      </w:r>
      <w:r>
        <w:t xml:space="preserve">. </w:t>
      </w:r>
      <w:r w:rsidR="0037514A">
        <w:t>Jeśli odniesie sukces</w:t>
      </w:r>
      <w:r>
        <w:t xml:space="preserve">, </w:t>
      </w:r>
      <w:r w:rsidR="0037514A">
        <w:t xml:space="preserve">ze względu na atrakcyjność polityczną, </w:t>
      </w:r>
      <w:r>
        <w:t>może to dodatkowo obniżyć</w:t>
      </w:r>
      <w:r w:rsidR="0037514A">
        <w:t xml:space="preserve"> </w:t>
      </w:r>
      <w:r>
        <w:t xml:space="preserve">zasoby </w:t>
      </w:r>
      <w:proofErr w:type="spellStart"/>
      <w:r>
        <w:t>Interreg</w:t>
      </w:r>
      <w:proofErr w:type="spellEnd"/>
      <w:r w:rsidR="0037514A">
        <w:t xml:space="preserve"> po 2027 r. </w:t>
      </w:r>
      <w:r>
        <w:t xml:space="preserve">. Jeśli </w:t>
      </w:r>
      <w:r w:rsidR="0037514A">
        <w:t>nie odniesie sukcesu</w:t>
      </w:r>
      <w:r>
        <w:t xml:space="preserve">, niepowodzenie może być (słusznie lub nie) „zrzucone” na współpracę, a </w:t>
      </w:r>
      <w:proofErr w:type="spellStart"/>
      <w:r>
        <w:t>Interreg</w:t>
      </w:r>
      <w:proofErr w:type="spellEnd"/>
      <w:r>
        <w:t xml:space="preserve"> może zostać wrzucony do tej samej kategorii „projektów nieudanych”. W ten sam sposób skala oczekiwań wobec wsparcia </w:t>
      </w:r>
      <w:proofErr w:type="spellStart"/>
      <w:r>
        <w:t>Interreg</w:t>
      </w:r>
      <w:proofErr w:type="spellEnd"/>
      <w:r>
        <w:t xml:space="preserve"> dla strategii makroregionalnych, jeśli nie będzie utrzymana w realistycznych ryzach, może doprowadzić do rozczarowania strategicznych interesariuszy jej realizacją.</w:t>
      </w:r>
    </w:p>
    <w:p w14:paraId="6659B29D" w14:textId="49ED7442" w:rsidR="00795900" w:rsidRDefault="00A42F95" w:rsidP="00FA702D">
      <w:pPr>
        <w:pStyle w:val="Normalpararaph"/>
      </w:pPr>
      <w:r>
        <w:t xml:space="preserve">To niedopasowanie oczekiwań i możliwości </w:t>
      </w:r>
      <w:proofErr w:type="spellStart"/>
      <w:r>
        <w:t>Interreg</w:t>
      </w:r>
      <w:proofErr w:type="spellEnd"/>
      <w:r>
        <w:t xml:space="preserve"> może być objawem szerszego, ogólniejszego problemu, jakim jest brak wspólnego zrozumienia i akceptacji wymiernych </w:t>
      </w:r>
      <w:r>
        <w:lastRenderedPageBreak/>
        <w:t xml:space="preserve">aspektów programów współpracy. </w:t>
      </w:r>
      <w:r w:rsidR="005038CC">
        <w:t>Możemy k</w:t>
      </w:r>
      <w:r>
        <w:t>ontynu</w:t>
      </w:r>
      <w:r w:rsidR="005038CC">
        <w:t>ować</w:t>
      </w:r>
      <w:r>
        <w:t xml:space="preserve"> „konflikt” pomiędzy polityczną potrzebą natychmiastowych i namacalnych rezultatów, a długoterminowym, ale i łagodniejszym wpływem </w:t>
      </w:r>
      <w:proofErr w:type="spellStart"/>
      <w:r>
        <w:t>Interreg</w:t>
      </w:r>
      <w:proofErr w:type="spellEnd"/>
      <w:r>
        <w:t xml:space="preserve"> na rzeczywistość. Skala tego „konfliktu” jest zawsze poddawana próbie między okresami programowania, podczas określania (lub braku tego etapu) odpowiednich zasobów w wieloletnich ramach finansowych. Faktycznie niższy budżet, jaki ma na swoje działania program </w:t>
      </w:r>
      <w:proofErr w:type="spellStart"/>
      <w:r>
        <w:t>Interreg</w:t>
      </w:r>
      <w:proofErr w:type="spellEnd"/>
      <w:r>
        <w:t xml:space="preserve"> po roku 2020 tylko potęguje wyzwanie, jakim jest przebicie się przez optowaniem za dużymi, atrakcyjnymi politycznie wynikami przy jeszcze mniejszych zasobach. </w:t>
      </w:r>
    </w:p>
    <w:p w14:paraId="1A260ED9" w14:textId="2FBE55EF" w:rsidR="00795900" w:rsidRDefault="00A42F95" w:rsidP="00AC65C2">
      <w:pPr>
        <w:pStyle w:val="Subtitle1"/>
      </w:pPr>
      <w:r>
        <w:t>Podmioty współpracujące w kontekście Art. 17</w:t>
      </w:r>
    </w:p>
    <w:p w14:paraId="41145E31" w14:textId="7D3BBBDA" w:rsidR="00795900" w:rsidRDefault="00A42F95" w:rsidP="00AC65C2">
      <w:pPr>
        <w:pStyle w:val="Normalpararaph"/>
      </w:pPr>
      <w:r>
        <w:t xml:space="preserve">Powyższy przegląd koncentruje się na </w:t>
      </w:r>
      <w:proofErr w:type="spellStart"/>
      <w:r>
        <w:t>Interreg</w:t>
      </w:r>
      <w:proofErr w:type="spellEnd"/>
      <w:r>
        <w:t xml:space="preserve">, ponieważ </w:t>
      </w:r>
      <w:r>
        <w:rPr>
          <w:rFonts w:ascii="'Times New Roman'" w:hAnsi="'Times New Roman'"/>
        </w:rPr>
        <w:t xml:space="preserve">jest to </w:t>
      </w:r>
      <w:r>
        <w:t xml:space="preserve">główna grupa docelowa </w:t>
      </w:r>
      <w:proofErr w:type="spellStart"/>
      <w:r>
        <w:t>Interact</w:t>
      </w:r>
      <w:proofErr w:type="spellEnd"/>
      <w:r>
        <w:t xml:space="preserve">. Jednak rozporządzenie </w:t>
      </w:r>
      <w:r w:rsidR="005038CC">
        <w:t>wymaga</w:t>
      </w:r>
      <w:r>
        <w:t xml:space="preserve"> prac nad harmonizacją i uproszczeniem ewentualnych działań przyszłego programu </w:t>
      </w:r>
      <w:proofErr w:type="spellStart"/>
      <w:r>
        <w:t>Interact</w:t>
      </w:r>
      <w:proofErr w:type="spellEnd"/>
      <w:r>
        <w:t xml:space="preserve"> w zakresie współpracy z beneficjentami zlokalizowanymi w co najmniej jednym innym państwie członkowskim, finansowanych w ramach tzw. programów głównego nurtu (projekt rozporządzenia</w:t>
      </w:r>
      <w:r w:rsidR="005038CC">
        <w:t xml:space="preserve"> </w:t>
      </w:r>
      <w:r w:rsidR="0034545F">
        <w:t>ogólnego</w:t>
      </w:r>
      <w:r>
        <w:t>, Art. 17.3.D.v).</w:t>
      </w:r>
    </w:p>
    <w:p w14:paraId="456E62F4" w14:textId="34B964D7" w:rsidR="00795900" w:rsidRPr="00AC65C2" w:rsidRDefault="00A42F95" w:rsidP="00AC65C2">
      <w:pPr>
        <w:pStyle w:val="Normalpararaph"/>
      </w:pPr>
      <w:r>
        <w:t xml:space="preserve">W ramach przygotowań do nowego okresu programowania w 2019 r. </w:t>
      </w:r>
      <w:proofErr w:type="spellStart"/>
      <w:r>
        <w:t>Interact</w:t>
      </w:r>
      <w:proofErr w:type="spellEnd"/>
      <w:r>
        <w:t xml:space="preserve"> zwrócił się nieformalnie do szeregu podmiotów odpowiedzialnych za przygotowanie nowych programów EFSI w celu zrozumienia ich pomysłów, w sprawie realizacji wymogów określonych w Art. 17(3)(d) </w:t>
      </w:r>
      <w:r w:rsidR="0034545F">
        <w:t xml:space="preserve">rozporządzenia ogólnego </w:t>
      </w:r>
      <w:r>
        <w:t xml:space="preserve">na lata 2021-2027). Celem była realizacja wniosku Komitetu monitorującego programu </w:t>
      </w:r>
      <w:proofErr w:type="spellStart"/>
      <w:r>
        <w:t>Interact</w:t>
      </w:r>
      <w:proofErr w:type="spellEnd"/>
      <w:r>
        <w:t xml:space="preserve"> III oraz zbadanie zainteresowania i potrzebnego wsparcia w celu nawiązania współpracy w ramach programów EFSI. Podczas tych dyskusji w </w:t>
      </w:r>
      <w:proofErr w:type="spellStart"/>
      <w:r>
        <w:t>Interact</w:t>
      </w:r>
      <w:proofErr w:type="spellEnd"/>
      <w:r>
        <w:t xml:space="preserve"> zauważono, że zainteresowanie i gotowość do korzystania z założeń tego artykułu różnią się w poszczególnych programach i państwach członkowskich. Chociaż od tego </w:t>
      </w:r>
      <w:r w:rsidR="006B2C75">
        <w:t xml:space="preserve">pierwszego </w:t>
      </w:r>
      <w:r>
        <w:t>podejścia minęło już trochę czasu, uważa się, że obserwacje kluczowe nadal mają zastosowanie:</w:t>
      </w:r>
    </w:p>
    <w:p w14:paraId="36D70CB9" w14:textId="083DEBD6" w:rsidR="00795900" w:rsidRDefault="00A42F95" w:rsidP="00A554D2">
      <w:pPr>
        <w:pStyle w:val="Bulletedlist1"/>
      </w:pPr>
      <w:r>
        <w:t xml:space="preserve">Zapytanie </w:t>
      </w:r>
      <w:r w:rsidR="0034545F">
        <w:t>było zbyt wczesne</w:t>
      </w:r>
      <w:r w:rsidR="006B2C75">
        <w:t xml:space="preserve"> </w:t>
      </w:r>
      <w:r>
        <w:t>w przypadku wielu programów, ponieważ przewidują one rozpoczęcie procesu programowania pod koniec 2019 roku lub w 2020.</w:t>
      </w:r>
    </w:p>
    <w:p w14:paraId="730FE620" w14:textId="77777777" w:rsidR="00795900" w:rsidRDefault="00A42F95" w:rsidP="006836CC">
      <w:pPr>
        <w:pStyle w:val="Bulletedlist1"/>
      </w:pPr>
      <w:r>
        <w:t>W kilku odpowiedziach wskazano na scenariusz „zwykłej działalności” - tj. braku planowanych działań mających na celu dostosowanie przepisów do programów krajowych/regionalnych.</w:t>
      </w:r>
    </w:p>
    <w:p w14:paraId="43FC606C" w14:textId="5747E880" w:rsidR="00795900" w:rsidRDefault="00A42F95" w:rsidP="006836CC">
      <w:pPr>
        <w:pStyle w:val="Bulletedlist1"/>
      </w:pPr>
      <w:r>
        <w:t xml:space="preserve">W programach podkreślono, że stosowanie założeń Art. 17(3)(d) powinno opierać się na rzeczywistych potrzebach, a nie tylko do celów spełnienia wymogów nadanych przez przepisy. Ma to pozwolić uniknąć efektu „odhaczenia” (wskazują również na trudności w definiowaniu działań transnarodowych </w:t>
      </w:r>
      <w:r>
        <w:rPr>
          <w:i/>
          <w:iCs/>
        </w:rPr>
        <w:t xml:space="preserve">ex </w:t>
      </w:r>
      <w:proofErr w:type="spellStart"/>
      <w:r>
        <w:rPr>
          <w:i/>
          <w:iCs/>
        </w:rPr>
        <w:t>ante</w:t>
      </w:r>
      <w:proofErr w:type="spellEnd"/>
      <w:r>
        <w:t>). Ponadto wyrażono pewne zaniepokojenie obecnymi doświadczeniami we wdrażaniu działań ponadnarodowych w państwach członkowskich.</w:t>
      </w:r>
    </w:p>
    <w:p w14:paraId="440BE062" w14:textId="77777777" w:rsidR="00795900" w:rsidRDefault="00A42F95" w:rsidP="006836CC">
      <w:pPr>
        <w:pStyle w:val="Bulletedlist1"/>
      </w:pPr>
      <w:r>
        <w:lastRenderedPageBreak/>
        <w:t xml:space="preserve">Niektóre programy już rozpoczęły proces programowania, chociaż brak na ten temat konkretnych przemyśleń oraz ogólnej świadomości tego, co artykuł oznacza w praktyce. Pozostają otwarte na możliwości i oferty proponowane przez </w:t>
      </w:r>
      <w:proofErr w:type="spellStart"/>
      <w:r>
        <w:t>Interact</w:t>
      </w:r>
      <w:proofErr w:type="spellEnd"/>
      <w:r>
        <w:t>.</w:t>
      </w:r>
    </w:p>
    <w:p w14:paraId="16ABDE94" w14:textId="05C7AC72" w:rsidR="00795900" w:rsidRDefault="00A42F95" w:rsidP="006836CC">
      <w:pPr>
        <w:pStyle w:val="Bulletedlist1"/>
      </w:pPr>
      <w:r>
        <w:t>Do tej pory, w przypadku niektórych</w:t>
      </w:r>
      <w:r w:rsidR="005E5A90">
        <w:t>,</w:t>
      </w:r>
      <w:r>
        <w:t xml:space="preserve"> takie postrzeganie problemu wiązało się z dużymi przeszkodami administracyjnymi we wdrażaniu środków z beneficjentami z innych państw członkowskich. Chętnie zatem rozważają przyjęcie wsparcia ze strony </w:t>
      </w:r>
      <w:proofErr w:type="spellStart"/>
      <w:r>
        <w:t>Interact</w:t>
      </w:r>
      <w:proofErr w:type="spellEnd"/>
      <w:r>
        <w:t xml:space="preserve"> przy harmonizacji i uproszczeniu wdrażania założeń artykułu.</w:t>
      </w:r>
    </w:p>
    <w:p w14:paraId="5A869879" w14:textId="77777777" w:rsidR="00795900" w:rsidRDefault="00A42F95" w:rsidP="006836CC">
      <w:pPr>
        <w:pStyle w:val="Bulletedlist1"/>
      </w:pPr>
      <w:r>
        <w:t>Niepokój niektórych państw członkowskich budzą kwestie kwalifikowalności działań ponadnarodowych, różnice w systemach administracyjnych i kontrolnych oraz procedury składania wniosków, nawet jeśli tematycznie taka współpraca miałaby sens.</w:t>
      </w:r>
    </w:p>
    <w:p w14:paraId="78944972" w14:textId="77777777" w:rsidR="00795900" w:rsidRDefault="00A42F95" w:rsidP="006836CC">
      <w:pPr>
        <w:pStyle w:val="Bulletedlist1"/>
      </w:pPr>
      <w:r>
        <w:t>Konkretna okazja, jaką daje Artykuł w kontekście jak najlepszego włączenia strategii makroregionalnych do programów głównego nurtu.</w:t>
      </w:r>
    </w:p>
    <w:p w14:paraId="6BD2A567" w14:textId="1325E491" w:rsidR="00795900" w:rsidRDefault="00A42F95" w:rsidP="006836CC">
      <w:pPr>
        <w:pStyle w:val="Bulletedlist1"/>
      </w:pPr>
      <w:r>
        <w:t>Konkretny pomysł na zorganizowanie wymiany krajowej na temat Artykułu Art. 17(3)(d) jako działania pilotażowego dla zainteresowanych państw członkowskich.</w:t>
      </w:r>
    </w:p>
    <w:p w14:paraId="0B205E87" w14:textId="77777777" w:rsidR="00795900" w:rsidRDefault="00A42F95" w:rsidP="006836CC">
      <w:pPr>
        <w:pStyle w:val="Normalpararaph"/>
      </w:pPr>
      <w:r>
        <w:t xml:space="preserve">Na podstawie zebranych informacji zwrotnych oraz biorąc pod uwagę doświadczenia i obserwacje </w:t>
      </w:r>
      <w:proofErr w:type="spellStart"/>
      <w:r>
        <w:t>Interact</w:t>
      </w:r>
      <w:proofErr w:type="spellEnd"/>
      <w:r>
        <w:t>, można stwierdzić, że istnieje wyraźna potrzeba podnoszenia świadomości i budowania potencjału w tej dziedzinie. Współpraca wymaga stałego i ciągłego wsparcia, dopóki nie stanie się nawykiem i tradycją. Wymuszanie współpracy na tych, którzy nie są przekonani o jej korzyściach lub postrzegają ją jako obciążenie administracyjne i instytucjonalne, może jedynie zniweczyć dążenia do celu.</w:t>
      </w:r>
    </w:p>
    <w:p w14:paraId="73D70920" w14:textId="4A8D215F" w:rsidR="00795900" w:rsidRDefault="00A42F95" w:rsidP="006836CC">
      <w:pPr>
        <w:pStyle w:val="Subtitle1"/>
      </w:pPr>
      <w:r>
        <w:t xml:space="preserve">Analiza SWOT dla </w:t>
      </w:r>
      <w:proofErr w:type="spellStart"/>
      <w:r>
        <w:t>Interact</w:t>
      </w:r>
      <w:proofErr w:type="spellEnd"/>
    </w:p>
    <w:p w14:paraId="1B8617A6" w14:textId="23460EEF" w:rsidR="00795900" w:rsidRDefault="00A42F95" w:rsidP="006836CC">
      <w:pPr>
        <w:pStyle w:val="Normalpararaph"/>
      </w:pPr>
      <w:r>
        <w:t xml:space="preserve">Powyższy przegląd rysuje obraz rzeczywistości i potencjalnych potrzeb, z jakimi borykają się klienci </w:t>
      </w:r>
      <w:proofErr w:type="spellStart"/>
      <w:r>
        <w:t>Interact</w:t>
      </w:r>
      <w:proofErr w:type="spellEnd"/>
      <w:r>
        <w:t xml:space="preserve">. Aby zrozumieć potencjał </w:t>
      </w:r>
      <w:proofErr w:type="spellStart"/>
      <w:r>
        <w:t>Interact</w:t>
      </w:r>
      <w:proofErr w:type="spellEnd"/>
      <w:r>
        <w:t xml:space="preserve"> w sprostaniu danym wyzwaniom i jak najlepiej dostosować nasze portfolio usług, przeprowadzono podobną analizę SWOT dla </w:t>
      </w:r>
      <w:proofErr w:type="spellStart"/>
      <w:r>
        <w:t>Interact</w:t>
      </w:r>
      <w:proofErr w:type="spellEnd"/>
      <w:r>
        <w:t xml:space="preserve"> jako organizacji. W analizie tej oparto się na wspólnej pracy z grupą zadaniową ds. programowania, zespołem </w:t>
      </w:r>
      <w:proofErr w:type="spellStart"/>
      <w:r>
        <w:t>Interact</w:t>
      </w:r>
      <w:proofErr w:type="spellEnd"/>
      <w:r>
        <w:t xml:space="preserve"> i dostępnymi wówczas </w:t>
      </w:r>
      <w:r w:rsidR="006B2C75">
        <w:t>ewaluacjami</w:t>
      </w:r>
      <w:r>
        <w:t>.</w:t>
      </w:r>
    </w:p>
    <w:p w14:paraId="0245FB13" w14:textId="77777777" w:rsidR="00795900" w:rsidRPr="00563B4B" w:rsidRDefault="00A42F95" w:rsidP="00563B4B">
      <w:pPr>
        <w:pStyle w:val="Normalpararaph"/>
      </w:pPr>
      <w:r>
        <w:t>Pełną tabelę SWOT można znaleźć w Załączniku 2. Poniżej zawarto opisową część tabeli.</w:t>
      </w:r>
    </w:p>
    <w:p w14:paraId="51BDAB1E" w14:textId="77777777" w:rsidR="00795900" w:rsidRDefault="00A42F95" w:rsidP="00563B4B">
      <w:pPr>
        <w:pStyle w:val="Subtitle1"/>
      </w:pPr>
      <w:r>
        <w:t>Silne strony</w:t>
      </w:r>
    </w:p>
    <w:p w14:paraId="745A85F9" w14:textId="57A57FD7" w:rsidR="00795900" w:rsidRDefault="00A42F95" w:rsidP="00563B4B">
      <w:pPr>
        <w:pStyle w:val="Normalpararaph"/>
      </w:pPr>
      <w:r>
        <w:t xml:space="preserve">Od początku 2002 r., jak potwierdziła to </w:t>
      </w:r>
      <w:r w:rsidR="00A634FD">
        <w:t xml:space="preserve">ewaluacja </w:t>
      </w:r>
      <w:r>
        <w:t xml:space="preserve">programu, </w:t>
      </w:r>
      <w:proofErr w:type="spellStart"/>
      <w:r>
        <w:t>Interact</w:t>
      </w:r>
      <w:proofErr w:type="spellEnd"/>
      <w:r>
        <w:t xml:space="preserve"> wspiera zmiany praktyk </w:t>
      </w:r>
      <w:r w:rsidR="00A634FD">
        <w:t xml:space="preserve"> w instytucjach i kulturach („nastawieniach”) programowych</w:t>
      </w:r>
      <w:r>
        <w:t xml:space="preserve">, przyczyniając się do osiągnięcia </w:t>
      </w:r>
      <w:r w:rsidR="00510D6E">
        <w:t>lepszych rezultatów</w:t>
      </w:r>
      <w:r>
        <w:t xml:space="preserve"> </w:t>
      </w:r>
      <w:r w:rsidR="00510D6E">
        <w:t xml:space="preserve">w zakresie </w:t>
      </w:r>
      <w:r>
        <w:t>wydajnoś</w:t>
      </w:r>
      <w:r w:rsidR="00510D6E">
        <w:t>ci</w:t>
      </w:r>
      <w:r>
        <w:t xml:space="preserve"> i skutecznoś</w:t>
      </w:r>
      <w:r w:rsidR="00510D6E">
        <w:t>ci</w:t>
      </w:r>
      <w:r>
        <w:t xml:space="preserve"> wdrażania program</w:t>
      </w:r>
      <w:r w:rsidR="00510D6E">
        <w:t>ów</w:t>
      </w:r>
      <w:r>
        <w:rPr>
          <w:rFonts w:ascii="'Times New Roman'" w:hAnsi="'Times New Roman'"/>
        </w:rPr>
        <w:t>.</w:t>
      </w:r>
      <w:r>
        <w:t xml:space="preserve"> W latach 2014-2020 rola ta została dodatkowo wzmocniona poprzez powiązanie wkładu programu z celem tematycznym nr 11 zatytułowanym „Wzmocnienie zdolności instytucjonalnych władz publicznych i efektywnej administracji publicznej”</w:t>
      </w:r>
      <w:r>
        <w:rPr>
          <w:rFonts w:ascii="'Times New Roman'" w:hAnsi="'Times New Roman'"/>
        </w:rPr>
        <w:t>.</w:t>
      </w:r>
    </w:p>
    <w:p w14:paraId="4FD29DC3" w14:textId="77777777" w:rsidR="00795900" w:rsidRDefault="00A42F95" w:rsidP="00563B4B">
      <w:pPr>
        <w:pStyle w:val="Normalpararaph"/>
      </w:pPr>
      <w:r>
        <w:lastRenderedPageBreak/>
        <w:t xml:space="preserve">Refleksja nad historią </w:t>
      </w:r>
      <w:proofErr w:type="spellStart"/>
      <w:r>
        <w:t>Interact</w:t>
      </w:r>
      <w:proofErr w:type="spellEnd"/>
      <w:r>
        <w:t xml:space="preserve"> pokazuje, że program, aby sprostać potrzebom grup docelowych, stale ewoluował. Podczas tego procesu zespół </w:t>
      </w:r>
      <w:proofErr w:type="spellStart"/>
      <w:r>
        <w:t>Interact</w:t>
      </w:r>
      <w:proofErr w:type="spellEnd"/>
      <w:r>
        <w:t xml:space="preserve"> podejmował się wielu nowych i trudnych zadań oraz prowadził liczne debaty i dyskusje z tym związane. W coraz większym stopniu rola ta wiąże się z wyrażaniem opinii społeczności </w:t>
      </w:r>
      <w:proofErr w:type="spellStart"/>
      <w:r>
        <w:t>Interreg</w:t>
      </w:r>
      <w:proofErr w:type="spellEnd"/>
      <w:r>
        <w:t xml:space="preserve"> i zapewnianiem, że podczas tworzenia i wdrażania polityki specyfice </w:t>
      </w:r>
      <w:proofErr w:type="spellStart"/>
      <w:r>
        <w:t>Interreg</w:t>
      </w:r>
      <w:proofErr w:type="spellEnd"/>
      <w:r>
        <w:t xml:space="preserve"> poświęca się odpowiednią ilość uwagi i uznania.</w:t>
      </w:r>
    </w:p>
    <w:p w14:paraId="5DFB28DD" w14:textId="2EFDC98D" w:rsidR="00795900" w:rsidRPr="00563B4B" w:rsidRDefault="00A42F95" w:rsidP="00563B4B">
      <w:pPr>
        <w:pStyle w:val="Normalpararaph"/>
      </w:pPr>
      <w:r>
        <w:t xml:space="preserve">Głównym sukcesem programu jest zaangażowanie podmiotów </w:t>
      </w:r>
      <w:proofErr w:type="spellStart"/>
      <w:r>
        <w:t>Interreg</w:t>
      </w:r>
      <w:proofErr w:type="spellEnd"/>
      <w:r>
        <w:t xml:space="preserve"> w sieci wiedzy specjalistycznej. Przez lata w </w:t>
      </w:r>
      <w:proofErr w:type="spellStart"/>
      <w:r>
        <w:t>Interact</w:t>
      </w:r>
      <w:proofErr w:type="spellEnd"/>
      <w:r>
        <w:t xml:space="preserve"> przyglądano się założeniom </w:t>
      </w:r>
      <w:proofErr w:type="spellStart"/>
      <w:r>
        <w:t>Interreg</w:t>
      </w:r>
      <w:proofErr w:type="spellEnd"/>
      <w:r>
        <w:t xml:space="preserve"> pod każdym kątem, sprawdzono wszystkie praktyki i wymagania związane z programowaniem i wdrażaniem, zidentyfikowano odpowiednie grupy docelowe i zaangażowano je w specjalistyczne sieci. Praktyki te są dalekosiężne i nie ograniczają się jedynie do aspektów zarządzania, ale w coraz większym stopniu </w:t>
      </w:r>
      <w:r w:rsidR="002942E6">
        <w:t xml:space="preserve">dotyczą </w:t>
      </w:r>
      <w:r>
        <w:t>budowani</w:t>
      </w:r>
      <w:r w:rsidR="002942E6">
        <w:t>a</w:t>
      </w:r>
      <w:r>
        <w:t xml:space="preserve"> potencjału w zakresie prac z kwestiami tematycznymi programu, podmiotami strategii makroregionalnych, praktykami EUWT itp. Wyniki </w:t>
      </w:r>
      <w:r w:rsidR="002942E6">
        <w:t>ewaluacji</w:t>
      </w:r>
      <w:r>
        <w:t xml:space="preserve"> wskazują, że </w:t>
      </w:r>
      <w:proofErr w:type="spellStart"/>
      <w:r>
        <w:t>Interact</w:t>
      </w:r>
      <w:proofErr w:type="spellEnd"/>
      <w:r>
        <w:t xml:space="preserve"> „wyraźnie przyczyni</w:t>
      </w:r>
      <w:r w:rsidR="0034545F">
        <w:t>ł</w:t>
      </w:r>
      <w:r>
        <w:t xml:space="preserve"> się do poprawy kultury współpracy międzyprogramowej” oraz że organizacja „zachwiała przyzwyczajeniami władz programowych”. W świetle zapisów projektu rozporządzenia dotyczących nowych zadań programu, istotnym atutem jest posiadane przez pracowników </w:t>
      </w:r>
      <w:proofErr w:type="spellStart"/>
      <w:r>
        <w:t>Interact</w:t>
      </w:r>
      <w:proofErr w:type="spellEnd"/>
      <w:r>
        <w:t xml:space="preserve"> wiedza i doświadczenie w dostosowywaniu usług do potrzeb podmiotów pochodzących z ram strategicznych, a także innych programów i mechanizmów współpracy. Nawet jeśli rezultaty tych działań mają często miękki i niematerialny charakter, wymiany między tymi podmiotami zostały uznane za „nieocenione” dla promowania struktur i procesów strategicznych. </w:t>
      </w:r>
      <w:r w:rsidR="002942E6">
        <w:t xml:space="preserve">Wspierały </w:t>
      </w:r>
      <w:r>
        <w:t>również ustanowienie podstaw lepszego zarządzania strategiami.</w:t>
      </w:r>
    </w:p>
    <w:p w14:paraId="075B9D20" w14:textId="5B100B56" w:rsidR="00795900" w:rsidRPr="00563B4B" w:rsidRDefault="00A42F95" w:rsidP="00563B4B">
      <w:pPr>
        <w:pStyle w:val="Normalpararaph"/>
      </w:pPr>
      <w:r>
        <w:t xml:space="preserve">Kluczowy natychmiastowy rezultat pracy </w:t>
      </w:r>
      <w:proofErr w:type="spellStart"/>
      <w:r>
        <w:t>Interact</w:t>
      </w:r>
      <w:proofErr w:type="spellEnd"/>
      <w:r>
        <w:t xml:space="preserve"> można powiązać ze zwiększeniem zdolności administracyjnej i instytucjonalnej podmiotów </w:t>
      </w:r>
      <w:proofErr w:type="spellStart"/>
      <w:r>
        <w:t>Interreg</w:t>
      </w:r>
      <w:proofErr w:type="spellEnd"/>
      <w:r>
        <w:t xml:space="preserve"> do wdrażania programów i zarządzania nimi</w:t>
      </w:r>
      <w:r>
        <w:rPr>
          <w:rFonts w:ascii="'Times New Roman'" w:hAnsi="'Times New Roman'"/>
        </w:rPr>
        <w:t>.</w:t>
      </w:r>
      <w:r>
        <w:t xml:space="preserve"> Po zakończeniu oceny, we wszystkich 5 przypadkach podlegających ewaluacji (i można to ekstrapolować na wszystkie usługi świadczone przez </w:t>
      </w:r>
      <w:proofErr w:type="spellStart"/>
      <w:r>
        <w:t>Interact</w:t>
      </w:r>
      <w:proofErr w:type="spellEnd"/>
      <w:r>
        <w:t>) wysnuto dowody zmian struktur i procesów, jak również umiejętności personelu i kultury organizacyjnej oraz systemów i narzędzi. Istnieją również dowody na to, że powyższe działania spowodowały również zmiany na poziomie projekt</w:t>
      </w:r>
      <w:r w:rsidR="00B54A2A">
        <w:t>ów</w:t>
      </w:r>
      <w:r>
        <w:t xml:space="preserve">. Na przykład: narzędzia </w:t>
      </w:r>
      <w:proofErr w:type="spellStart"/>
      <w:r>
        <w:t>Interact</w:t>
      </w:r>
      <w:proofErr w:type="spellEnd"/>
      <w:r>
        <w:t xml:space="preserve"> przyczyniły się do zmniejszenia obciążenia administracyjnego dla wnioskodawców oraz doprowadziły do innych usprawnień operacyjnych, takich jak „</w:t>
      </w:r>
      <w:r w:rsidR="0034545F">
        <w:t>lepiej organizowane nabory wniosków</w:t>
      </w:r>
      <w:r>
        <w:t xml:space="preserve">” oraz wsparcie zdolności wnioskodawców do opracowywania projektów dla </w:t>
      </w:r>
      <w:proofErr w:type="spellStart"/>
      <w:r>
        <w:t>Interreg</w:t>
      </w:r>
      <w:proofErr w:type="spellEnd"/>
      <w:r>
        <w:t>.</w:t>
      </w:r>
    </w:p>
    <w:p w14:paraId="60A78B3F" w14:textId="79E4DEAE" w:rsidR="00795900" w:rsidRPr="00563B4B" w:rsidRDefault="00A42F95" w:rsidP="00563B4B">
      <w:pPr>
        <w:pStyle w:val="Normalpararaph"/>
      </w:pPr>
      <w:r>
        <w:t xml:space="preserve">Niezależnie od tego, czy dana jednostka ma doświadczenie z projektami </w:t>
      </w:r>
      <w:proofErr w:type="spellStart"/>
      <w:r>
        <w:t>Interreg</w:t>
      </w:r>
      <w:proofErr w:type="spellEnd"/>
      <w:r>
        <w:t xml:space="preserve">, czy też nie – </w:t>
      </w:r>
      <w:proofErr w:type="spellStart"/>
      <w:r>
        <w:t>Interact</w:t>
      </w:r>
      <w:proofErr w:type="spellEnd"/>
      <w:r>
        <w:t xml:space="preserve"> jest w stanie zaoferować swoje usługi każdemu. Szybki przegląd grup docelowych objętych działaniem </w:t>
      </w:r>
      <w:proofErr w:type="spellStart"/>
      <w:r>
        <w:t>Interact</w:t>
      </w:r>
      <w:proofErr w:type="spellEnd"/>
      <w:r>
        <w:t xml:space="preserve"> pokazuje, że organizacja polega na szerokim zaangażowaniu pokaźnego grona podmiotów </w:t>
      </w:r>
      <w:r w:rsidR="00B54A2A">
        <w:t>z</w:t>
      </w:r>
      <w:r>
        <w:t>/</w:t>
      </w:r>
      <w:r w:rsidR="00B54A2A">
        <w:t>s</w:t>
      </w:r>
      <w:r>
        <w:t xml:space="preserve">poza </w:t>
      </w:r>
      <w:proofErr w:type="spellStart"/>
      <w:r>
        <w:t>Interreg</w:t>
      </w:r>
      <w:proofErr w:type="spellEnd"/>
      <w:r>
        <w:t xml:space="preserve">. Powyższe wynika również z szerokiej wiedzy </w:t>
      </w:r>
      <w:r>
        <w:lastRenderedPageBreak/>
        <w:t>eksperckiej wypracowanej w ramach zespołu w takich kwestiach, jak kapitalizacja, koordynacja i współpraca, wsparcie we wdrażaniu strategii makroregionaln</w:t>
      </w:r>
      <w:r w:rsidR="005E20BF">
        <w:t>ych</w:t>
      </w:r>
      <w:r>
        <w:t>, EUWT i wiele innych. Opracowanie narzędzi i usług służących do wdrażania programów i ogólnie pojętej polityki po roku 2020 będzie wymagało dalszego zacieśni</w:t>
      </w:r>
      <w:r w:rsidR="00B54A2A">
        <w:t>a</w:t>
      </w:r>
      <w:r>
        <w:t xml:space="preserve">nia współpracy z tymi podmiotami, co pozwoliłoby zapewnić precyzyjniejsze dopasowanie usług </w:t>
      </w:r>
      <w:r w:rsidR="00B54A2A">
        <w:t>do</w:t>
      </w:r>
      <w:r>
        <w:t xml:space="preserve"> potrzeb.</w:t>
      </w:r>
    </w:p>
    <w:p w14:paraId="1695D9B0" w14:textId="5C3FBA03" w:rsidR="00795900" w:rsidRPr="00563B4B" w:rsidRDefault="00A42F95" w:rsidP="00563B4B">
      <w:pPr>
        <w:pStyle w:val="Normalpararaph"/>
      </w:pPr>
      <w:r>
        <w:t xml:space="preserve">Informacje zwrotne zebrane od interesariuszy wskazują, że </w:t>
      </w:r>
      <w:proofErr w:type="spellStart"/>
      <w:r>
        <w:t>Interact</w:t>
      </w:r>
      <w:proofErr w:type="spellEnd"/>
      <w:r>
        <w:t xml:space="preserve"> jest szanowanym i zaufanym partnerem w dyskusjach. Niezależne i bezstronne poglądy oraz neutralność w dyskusji to cechy charakterystyczne tej organizacji. Powyższe stwierdzenie jest poparte wciąż rosnącym gronem odbiorców docelowych </w:t>
      </w:r>
      <w:proofErr w:type="spellStart"/>
      <w:r>
        <w:t>Interact</w:t>
      </w:r>
      <w:proofErr w:type="spellEnd"/>
      <w:r>
        <w:t>, wykraczając</w:t>
      </w:r>
      <w:r w:rsidR="00B54A2A">
        <w:t>ym</w:t>
      </w:r>
      <w:r>
        <w:t xml:space="preserve"> poza </w:t>
      </w:r>
      <w:proofErr w:type="spellStart"/>
      <w:r>
        <w:t>Interreg</w:t>
      </w:r>
      <w:proofErr w:type="spellEnd"/>
      <w:r>
        <w:t xml:space="preserve">. Na przykład: zaangażowanie podmiotów nowszych strategii makroregionalnych w istniejące sieci rozwinęło w rezultacie sieć instytucji audytowych w aktywną społeczność. </w:t>
      </w:r>
      <w:proofErr w:type="spellStart"/>
      <w:r>
        <w:t>Interact</w:t>
      </w:r>
      <w:proofErr w:type="spellEnd"/>
      <w:r>
        <w:t xml:space="preserve"> dotarła również do przeciętnego obywatela Europy. Analiza zaangażowania pokazuje, że zorganizowane kampanie Europejskiego Dnia Współpracy dotarły do ponad dwóch milionów mieszkańców kontynentu. W nowym okresie potencjał dalszego rozwoju wspólnego </w:t>
      </w:r>
      <w:proofErr w:type="spellStart"/>
      <w:r>
        <w:t>brandingu</w:t>
      </w:r>
      <w:proofErr w:type="spellEnd"/>
      <w:r>
        <w:t>, wzmocnienia kapitalizacji i lepszego wykorzystania różnych kanałów rozpowszechniania może wyłącznie wzmocnić tę rolę.</w:t>
      </w:r>
    </w:p>
    <w:p w14:paraId="0DCCFAB3" w14:textId="3EAD6A47" w:rsidR="00795900" w:rsidRPr="00563B4B" w:rsidRDefault="00A42F95" w:rsidP="00563B4B">
      <w:pPr>
        <w:pStyle w:val="Normalpararaph"/>
      </w:pPr>
      <w:r>
        <w:t xml:space="preserve">Niektóre z największych korzyści płynących z </w:t>
      </w:r>
      <w:proofErr w:type="spellStart"/>
      <w:r>
        <w:t>Interact</w:t>
      </w:r>
      <w:proofErr w:type="spellEnd"/>
      <w:r>
        <w:t xml:space="preserve"> można powiązać ze skutecznością, wydajnością, bezpłatną dostępnością i wspieraniem </w:t>
      </w:r>
      <w:r w:rsidR="00B54A2A">
        <w:t xml:space="preserve">elastyczności </w:t>
      </w:r>
      <w:r>
        <w:t xml:space="preserve">programów. </w:t>
      </w:r>
      <w:r w:rsidR="00073DA9">
        <w:t xml:space="preserve">Budżet </w:t>
      </w:r>
      <w:proofErr w:type="spellStart"/>
      <w:r>
        <w:t>Interact</w:t>
      </w:r>
      <w:proofErr w:type="spellEnd"/>
      <w:r>
        <w:t xml:space="preserve"> </w:t>
      </w:r>
      <w:r w:rsidR="00073DA9">
        <w:t>stanowi</w:t>
      </w:r>
      <w:r>
        <w:t xml:space="preserve"> niewielki ułamek budżetu </w:t>
      </w:r>
      <w:proofErr w:type="spellStart"/>
      <w:r>
        <w:t>Interreg</w:t>
      </w:r>
      <w:proofErr w:type="spellEnd"/>
      <w:r w:rsidR="00B54A2A">
        <w:t>, a</w:t>
      </w:r>
      <w:r w:rsidR="006D6AFF">
        <w:t xml:space="preserve"> </w:t>
      </w:r>
      <w:r w:rsidR="00B54A2A">
        <w:t>ewaluacj</w:t>
      </w:r>
      <w:r w:rsidR="006D6AFF">
        <w:t>a</w:t>
      </w:r>
      <w:r>
        <w:t xml:space="preserve">  </w:t>
      </w:r>
      <w:r w:rsidR="006D6AFF">
        <w:t>potwierdza, że są dobrze wydatkowane</w:t>
      </w:r>
      <w:r>
        <w:rPr>
          <w:rFonts w:ascii="'Times New Roman'" w:hAnsi="'Times New Roman'"/>
        </w:rPr>
        <w:t>.</w:t>
      </w:r>
      <w:r>
        <w:t xml:space="preserve"> Fakt </w:t>
      </w:r>
      <w:r w:rsidR="00073DA9">
        <w:t xml:space="preserve">generowania </w:t>
      </w:r>
      <w:r>
        <w:t xml:space="preserve">przez </w:t>
      </w:r>
      <w:proofErr w:type="spellStart"/>
      <w:r>
        <w:t>Interact</w:t>
      </w:r>
      <w:proofErr w:type="spellEnd"/>
      <w:r>
        <w:t xml:space="preserve"> oszczędności </w:t>
      </w:r>
      <w:r w:rsidR="00073DA9">
        <w:t xml:space="preserve">budżetowych </w:t>
      </w:r>
      <w:r w:rsidR="006D6AFF">
        <w:t>oraz</w:t>
      </w:r>
      <w:r>
        <w:t xml:space="preserve"> </w:t>
      </w:r>
      <w:r w:rsidR="00073DA9">
        <w:t xml:space="preserve">w zakresie </w:t>
      </w:r>
      <w:r>
        <w:t xml:space="preserve">zasobów ludzkich należy odbierać jako spory sukces. Sam elektroniczny system monitorowania </w:t>
      </w:r>
      <w:proofErr w:type="spellStart"/>
      <w:r>
        <w:t>Interreg</w:t>
      </w:r>
      <w:proofErr w:type="spellEnd"/>
      <w:r>
        <w:t xml:space="preserve"> przyniósł oszczędności rzędu do 20 milionów euro, a ponadto zapewnił zasoby potrzebne do zarządzania rozwojem oprogramowania. Portal Keep.eu, wspólne inicjatywy </w:t>
      </w:r>
      <w:proofErr w:type="spellStart"/>
      <w:r>
        <w:t>brandingowe</w:t>
      </w:r>
      <w:proofErr w:type="spellEnd"/>
      <w:r>
        <w:t xml:space="preserve"> oraz HIT również przyczynił</w:t>
      </w:r>
      <w:r w:rsidR="006D6AFF">
        <w:t>y</w:t>
      </w:r>
      <w:r>
        <w:t xml:space="preserve"> się do oszczędności w czasie i zasobach realizowanych działań. Można przewidywać, że </w:t>
      </w:r>
      <w:r w:rsidR="006D6AFF">
        <w:t>ewaluacja końcowa</w:t>
      </w:r>
      <w:r>
        <w:t xml:space="preserve"> całego programu </w:t>
      </w:r>
      <w:r w:rsidR="006D6AFF">
        <w:t>potwierdzi</w:t>
      </w:r>
      <w:r>
        <w:t xml:space="preserve"> </w:t>
      </w:r>
      <w:r w:rsidR="006D6AFF">
        <w:t xml:space="preserve">dodatkowe </w:t>
      </w:r>
      <w:r>
        <w:t xml:space="preserve">oszczędności </w:t>
      </w:r>
      <w:r w:rsidR="006D6AFF">
        <w:t>jakie wystąpiły w</w:t>
      </w:r>
      <w:r>
        <w:t xml:space="preserve"> program</w:t>
      </w:r>
      <w:r w:rsidR="006D6AFF">
        <w:t>ach</w:t>
      </w:r>
      <w:r>
        <w:t xml:space="preserve"> </w:t>
      </w:r>
      <w:r w:rsidR="006D6AFF">
        <w:t>dzięki z</w:t>
      </w:r>
      <w:r>
        <w:t>harmoniz</w:t>
      </w:r>
      <w:r w:rsidR="006D6AFF">
        <w:t>owaniu</w:t>
      </w:r>
      <w:r>
        <w:t xml:space="preserve"> interpretacji</w:t>
      </w:r>
      <w:r w:rsidR="006D6AFF">
        <w:t>,</w:t>
      </w:r>
      <w:r>
        <w:t xml:space="preserve"> zasad i procedur pomiędzy różnymi interesariuszami oraz zmniejsz</w:t>
      </w:r>
      <w:r w:rsidR="006D6AFF">
        <w:t>e</w:t>
      </w:r>
      <w:r>
        <w:t>ni</w:t>
      </w:r>
      <w:r w:rsidR="006D6AFF">
        <w:t>u</w:t>
      </w:r>
      <w:r>
        <w:t xml:space="preserve"> ryzyka wystąpienia błędów w programach.</w:t>
      </w:r>
    </w:p>
    <w:p w14:paraId="0BBA5CA1" w14:textId="4454E820" w:rsidR="00795900" w:rsidRPr="00B36800" w:rsidRDefault="00A42F95" w:rsidP="00B36800">
      <w:pPr>
        <w:pStyle w:val="Normalpararaph"/>
      </w:pPr>
      <w:r>
        <w:t xml:space="preserve">Narzędzia i usługi </w:t>
      </w:r>
      <w:proofErr w:type="spellStart"/>
      <w:r>
        <w:t>Interact</w:t>
      </w:r>
      <w:proofErr w:type="spellEnd"/>
      <w:r>
        <w:t xml:space="preserve"> zapewniają „wspólny podstawowy standard zarządzania programami”</w:t>
      </w:r>
      <w:r>
        <w:rPr>
          <w:rFonts w:ascii="'Times New Roman'" w:hAnsi="'Times New Roman'"/>
        </w:rPr>
        <w:t>.</w:t>
      </w:r>
      <w:r>
        <w:t xml:space="preserve"> Poprawa wydajności idzie w parze z poprawą jakości zarządzania programem, np. poprzez zwiększenie pewności prawnej dla </w:t>
      </w:r>
      <w:r w:rsidR="004F26D7">
        <w:t xml:space="preserve">instytucji </w:t>
      </w:r>
      <w:r>
        <w:t>program</w:t>
      </w:r>
      <w:r w:rsidR="004F26D7">
        <w:t>owych</w:t>
      </w:r>
      <w:r>
        <w:t>, co wynika z szerokich konsultacji prowadzonych podczas świadczenia usług i rozwoju produktu oraz szerokiego ich wykorzystania i stosowania w społeczności</w:t>
      </w:r>
      <w:r w:rsidR="004F26D7">
        <w:t xml:space="preserve"> </w:t>
      </w:r>
      <w:proofErr w:type="spellStart"/>
      <w:r w:rsidR="004F26D7">
        <w:t>Interreg</w:t>
      </w:r>
      <w:proofErr w:type="spellEnd"/>
      <w:r>
        <w:t xml:space="preserve"> a także poza nią. Zapewnienie jednolitości interpretacji jest kolejną wyraźną cechą wartości dodanej. Często usługi </w:t>
      </w:r>
      <w:proofErr w:type="spellStart"/>
      <w:r>
        <w:t>Interact</w:t>
      </w:r>
      <w:proofErr w:type="spellEnd"/>
      <w:r>
        <w:t xml:space="preserve"> są stawiane przez programy ENI CBC jako wzór.</w:t>
      </w:r>
    </w:p>
    <w:p w14:paraId="0780376D" w14:textId="0859E8AC" w:rsidR="00795900" w:rsidRPr="00B36800" w:rsidRDefault="00A42F95" w:rsidP="00B36800">
      <w:pPr>
        <w:pStyle w:val="Normalpararaph"/>
      </w:pPr>
      <w:r>
        <w:t xml:space="preserve">Kluczowym atutem </w:t>
      </w:r>
      <w:proofErr w:type="spellStart"/>
      <w:r>
        <w:t>Interact</w:t>
      </w:r>
      <w:proofErr w:type="spellEnd"/>
      <w:r>
        <w:t xml:space="preserve"> jest to, że organizacja przyczyniła się do zbudowania wokół </w:t>
      </w:r>
      <w:proofErr w:type="spellStart"/>
      <w:r>
        <w:t>Interreg</w:t>
      </w:r>
      <w:proofErr w:type="spellEnd"/>
      <w:r>
        <w:t xml:space="preserve"> widocznej społeczności, znanej wśród kluczowych decydentów i instytucji (również </w:t>
      </w:r>
      <w:r>
        <w:lastRenderedPageBreak/>
        <w:t xml:space="preserve">spoza polityki regionalnej). </w:t>
      </w:r>
      <w:proofErr w:type="spellStart"/>
      <w:r>
        <w:t>Interact</w:t>
      </w:r>
      <w:proofErr w:type="spellEnd"/>
      <w:r>
        <w:t xml:space="preserve"> aktywnie wspierał identyfikację i promocję osiągnięć programów </w:t>
      </w:r>
      <w:proofErr w:type="spellStart"/>
      <w:r>
        <w:t>Interreg</w:t>
      </w:r>
      <w:proofErr w:type="spellEnd"/>
      <w:r>
        <w:t xml:space="preserve">, co przyczyniło się również do wzrostu świadomości o </w:t>
      </w:r>
      <w:proofErr w:type="spellStart"/>
      <w:r>
        <w:t>Interreg</w:t>
      </w:r>
      <w:proofErr w:type="spellEnd"/>
      <w:r>
        <w:t xml:space="preserve"> wśród interesariuszy. Komisja Europejska, Parlament Europejski i państwa członkowskie zaczęły coraz częściej doceniać te wyniki. Pomaga to w pozycjonowaniu </w:t>
      </w:r>
      <w:proofErr w:type="spellStart"/>
      <w:r>
        <w:t>Interreg</w:t>
      </w:r>
      <w:proofErr w:type="spellEnd"/>
      <w:r>
        <w:t xml:space="preserve"> na arenie globalnej polityki.</w:t>
      </w:r>
    </w:p>
    <w:p w14:paraId="5CDB0725" w14:textId="77777777" w:rsidR="00795900" w:rsidRPr="00B36800" w:rsidRDefault="00A42F95" w:rsidP="00B36800">
      <w:pPr>
        <w:pStyle w:val="Normalpararaph"/>
      </w:pPr>
      <w:r>
        <w:t xml:space="preserve">Tożsamość systemu lub organizacji jest zakorzeniona w jej historii. </w:t>
      </w:r>
      <w:proofErr w:type="spellStart"/>
      <w:r>
        <w:t>Interact</w:t>
      </w:r>
      <w:proofErr w:type="spellEnd"/>
      <w:r>
        <w:t xml:space="preserve"> dostarczyła cennych dowodów historycznych i pamięci za pomocą portalu keep.eu. Bogactwa </w:t>
      </w:r>
      <w:proofErr w:type="spellStart"/>
      <w:r>
        <w:t>Interreg</w:t>
      </w:r>
      <w:proofErr w:type="spellEnd"/>
      <w:r>
        <w:t xml:space="preserve"> nie sposób zakwestionować, ponieważ zostało ono zarchiwizowane w sposób obejmujący kilka okresów programowania, co zapewnia solidną i wiarygodną bazę wiedzy.</w:t>
      </w:r>
    </w:p>
    <w:p w14:paraId="59ADF945" w14:textId="1597E00E" w:rsidR="00795900" w:rsidRDefault="00A42F95" w:rsidP="00B36800">
      <w:pPr>
        <w:pStyle w:val="Normalpararaph"/>
      </w:pPr>
      <w:r>
        <w:t xml:space="preserve">Mocne strony </w:t>
      </w:r>
      <w:proofErr w:type="spellStart"/>
      <w:r>
        <w:t>Interact</w:t>
      </w:r>
      <w:proofErr w:type="spellEnd"/>
      <w:r>
        <w:t xml:space="preserve"> wynikają ponadto z wiedzy fachowej, profesjonalnego podejścia i osobistego zaangażowania jej pracowników. Są to ponadto ludzie zależni od silnej kultury programowej, </w:t>
      </w:r>
      <w:r w:rsidR="004F26D7">
        <w:t xml:space="preserve">dążącej do </w:t>
      </w:r>
      <w:r>
        <w:t>wprowadza</w:t>
      </w:r>
      <w:r w:rsidR="004F26D7">
        <w:t>nia</w:t>
      </w:r>
      <w:r>
        <w:t xml:space="preserve"> innowacj</w:t>
      </w:r>
      <w:r w:rsidR="004F26D7">
        <w:t>i</w:t>
      </w:r>
      <w:r>
        <w:t xml:space="preserve"> i proaktywn</w:t>
      </w:r>
      <w:r w:rsidR="004F26D7">
        <w:t>ej</w:t>
      </w:r>
      <w:r>
        <w:t xml:space="preserve"> </w:t>
      </w:r>
      <w:r w:rsidR="004F26D7">
        <w:t xml:space="preserve">postawy </w:t>
      </w:r>
      <w:r>
        <w:t xml:space="preserve">wobec interesariuszy. Przez lata struktura </w:t>
      </w:r>
      <w:proofErr w:type="spellStart"/>
      <w:r>
        <w:t>Interact</w:t>
      </w:r>
      <w:proofErr w:type="spellEnd"/>
      <w:r>
        <w:t xml:space="preserve"> wspierała elastyczność usług i silną orientację na klienta.</w:t>
      </w:r>
    </w:p>
    <w:p w14:paraId="0240BC50" w14:textId="77777777" w:rsidR="00795900" w:rsidRDefault="00A42F95" w:rsidP="00E67146">
      <w:pPr>
        <w:pStyle w:val="Subtitle1"/>
      </w:pPr>
      <w:r>
        <w:t>Słabe strony</w:t>
      </w:r>
    </w:p>
    <w:p w14:paraId="0885004A" w14:textId="22157C11" w:rsidR="00795900" w:rsidRDefault="00A42F95" w:rsidP="00E67146">
      <w:pPr>
        <w:pStyle w:val="Normalpararaph"/>
      </w:pPr>
      <w:r>
        <w:t>Jedna z kluczowych mocnych stron, przez pryzmat której postrzegan</w:t>
      </w:r>
      <w:r w:rsidR="004F26D7">
        <w:t>y</w:t>
      </w:r>
      <w:r>
        <w:t xml:space="preserve"> jest </w:t>
      </w:r>
      <w:proofErr w:type="spellStart"/>
      <w:r>
        <w:t>Interact</w:t>
      </w:r>
      <w:proofErr w:type="spellEnd"/>
      <w:r>
        <w:t xml:space="preserve"> to bycie zaufanym, neutralnym moderatorem. Jest ona również powiązana z jedną ze słabości organizacji, a mianowicie: wzrost wydajności dla społeczności </w:t>
      </w:r>
      <w:proofErr w:type="spellStart"/>
      <w:r>
        <w:t>Interreg</w:t>
      </w:r>
      <w:proofErr w:type="spellEnd"/>
      <w:r>
        <w:t xml:space="preserve"> mógłby być wyraźniejszy, gdyby </w:t>
      </w:r>
      <w:proofErr w:type="spellStart"/>
      <w:r>
        <w:t>Interact</w:t>
      </w:r>
      <w:proofErr w:type="spellEnd"/>
      <w:r>
        <w:t xml:space="preserve"> miał silniejszą rolę mediatora, zwłaszcza w celu podkreślania finalnych decyzji podczas dyskusji. W niektórych przypadkach szerokiemu podejściu partycypacyjnemu musi towarzyszyć także odpowiednio silniejszy odgórny proces decyzyjny, aby zaoszczędzić czas na podejmowaniu</w:t>
      </w:r>
      <w:r w:rsidR="004F26D7">
        <w:t xml:space="preserve"> </w:t>
      </w:r>
      <w:r w:rsidR="00035390">
        <w:t>decyzji</w:t>
      </w:r>
      <w:r>
        <w:t xml:space="preserve">. </w:t>
      </w:r>
      <w:r w:rsidR="004F26D7">
        <w:t>Ewaluacja</w:t>
      </w:r>
      <w:r>
        <w:t xml:space="preserve"> pokazuje, że jest to szczególnie istotne dla rozwoju dużych projektów, takich jak HIT, </w:t>
      </w:r>
      <w:proofErr w:type="spellStart"/>
      <w:r>
        <w:t>eMS</w:t>
      </w:r>
      <w:proofErr w:type="spellEnd"/>
      <w:r>
        <w:t xml:space="preserve"> i </w:t>
      </w:r>
      <w:proofErr w:type="spellStart"/>
      <w:r>
        <w:t>branding</w:t>
      </w:r>
      <w:proofErr w:type="spellEnd"/>
      <w:r>
        <w:t xml:space="preserve"> </w:t>
      </w:r>
      <w:proofErr w:type="spellStart"/>
      <w:r>
        <w:t>Interreg</w:t>
      </w:r>
      <w:proofErr w:type="spellEnd"/>
      <w:r>
        <w:t xml:space="preserve">. Uznano, że gdy </w:t>
      </w:r>
      <w:proofErr w:type="spellStart"/>
      <w:r>
        <w:t>Interact</w:t>
      </w:r>
      <w:proofErr w:type="spellEnd"/>
      <w:r>
        <w:t xml:space="preserve"> stara się uwzględnić każdą opinię, szeroko zakrojone konsultacje mogą prowadzić do „komplikacji” produktu końcowego. Ponadto </w:t>
      </w:r>
      <w:proofErr w:type="spellStart"/>
      <w:r>
        <w:t>Interact</w:t>
      </w:r>
      <w:proofErr w:type="spellEnd"/>
      <w:r>
        <w:t xml:space="preserve"> może skorzystać na bardziej bezpośrednich powiązaniach z kluczowymi ustawodawcami i decydentami, a w szczególności na uczestnictwie w ich wyspecjalizowanych sieciach ekspertów, aby móc ustanowić kanał płynniejszej, bardziej ukierunkowanej i skutecznej komunikacji w obu kierunkach (zarówno w stronę Komisji, jak i programów).</w:t>
      </w:r>
    </w:p>
    <w:p w14:paraId="7168C557" w14:textId="77777777" w:rsidR="00795900" w:rsidRPr="002933F5" w:rsidRDefault="00A42F95" w:rsidP="002933F5">
      <w:pPr>
        <w:pStyle w:val="Normalpararaph"/>
      </w:pPr>
      <w:r>
        <w:t xml:space="preserve">Z powyższymi niedociągnięciami może wiązać się także inne wyzwanie, kojarzone głównie z końcowym etapem korzystania z usług </w:t>
      </w:r>
      <w:proofErr w:type="spellStart"/>
      <w:r>
        <w:t>Interact</w:t>
      </w:r>
      <w:proofErr w:type="spellEnd"/>
      <w:r>
        <w:t xml:space="preserve">. Produkty opracowane przez </w:t>
      </w:r>
      <w:proofErr w:type="spellStart"/>
      <w:r>
        <w:t>Interact</w:t>
      </w:r>
      <w:proofErr w:type="spellEnd"/>
      <w:r>
        <w:t xml:space="preserve"> były w różnym stopniu wykorzystywane przez różnych interesariuszy. Często też (np. w przypadku HIT, </w:t>
      </w:r>
      <w:proofErr w:type="spellStart"/>
      <w:r>
        <w:t>eMS</w:t>
      </w:r>
      <w:proofErr w:type="spellEnd"/>
      <w:r>
        <w:t xml:space="preserve">, </w:t>
      </w:r>
      <w:proofErr w:type="spellStart"/>
      <w:r>
        <w:t>brandingu</w:t>
      </w:r>
      <w:proofErr w:type="spellEnd"/>
      <w:r>
        <w:t xml:space="preserve"> </w:t>
      </w:r>
      <w:proofErr w:type="spellStart"/>
      <w:r>
        <w:t>Interreg</w:t>
      </w:r>
      <w:proofErr w:type="spellEnd"/>
      <w:r>
        <w:t xml:space="preserve">) zmiany w produktach finalnych wprowadzały programy, które nie brały udziału w procesie rozwoju narzędzi. Niebezpieczeństwo polega na tym, że w takich przypadkach pewna logika i uzasadnienie mogą zostać zniekształcone, a w najgorszym przypadku – mogą zostać utracone skutki (na przykład) harmonizacji. Ponownie: ma to </w:t>
      </w:r>
      <w:r>
        <w:lastRenderedPageBreak/>
        <w:t>wpływ na wysiłki na rzecz uproszczenia podejmowane w imieniu całej społeczności i może mieć negatywny oddźwięk w interakcji z wnioskodawcami i beneficjentami</w:t>
      </w:r>
      <w:r>
        <w:rPr>
          <w:rFonts w:ascii="'Times New Roman'" w:hAnsi="'Times New Roman'"/>
        </w:rPr>
        <w:t>.</w:t>
      </w:r>
    </w:p>
    <w:p w14:paraId="5B677CC0" w14:textId="3A6F9B8A" w:rsidR="00795900" w:rsidRPr="002933F5" w:rsidRDefault="00A42F95" w:rsidP="002933F5">
      <w:pPr>
        <w:pStyle w:val="Normalpararaph"/>
      </w:pPr>
      <w:r>
        <w:t xml:space="preserve">Nie ulega wątpliwości, że </w:t>
      </w:r>
      <w:proofErr w:type="spellStart"/>
      <w:r>
        <w:t>Interact</w:t>
      </w:r>
      <w:proofErr w:type="spellEnd"/>
      <w:r>
        <w:t xml:space="preserve"> odznacza się silną pozycją wśród </w:t>
      </w:r>
      <w:r w:rsidR="00035390">
        <w:t>instytucji wdrażających</w:t>
      </w:r>
      <w:r w:rsidR="00155FDE">
        <w:t xml:space="preserve"> </w:t>
      </w:r>
      <w:r w:rsidR="00F74493">
        <w:t>progr</w:t>
      </w:r>
      <w:r w:rsidR="00035390">
        <w:t>am</w:t>
      </w:r>
      <w:r w:rsidR="00155FDE">
        <w:t>y</w:t>
      </w:r>
      <w:r>
        <w:t xml:space="preserve"> </w:t>
      </w:r>
      <w:proofErr w:type="spellStart"/>
      <w:r>
        <w:t>Interreg</w:t>
      </w:r>
      <w:proofErr w:type="spellEnd"/>
      <w:r>
        <w:t xml:space="preserve">. W ciągu 17 lat istnienia udało się zbudować silne poczucie wspólnoty i przynależności, a </w:t>
      </w:r>
      <w:proofErr w:type="spellStart"/>
      <w:r>
        <w:t>Interact</w:t>
      </w:r>
      <w:proofErr w:type="spellEnd"/>
      <w:r>
        <w:t xml:space="preserve"> należy do tej rodziny. Niemniej jednak rola </w:t>
      </w:r>
      <w:proofErr w:type="spellStart"/>
      <w:r>
        <w:t>Interact</w:t>
      </w:r>
      <w:proofErr w:type="spellEnd"/>
      <w:r>
        <w:t xml:space="preserve"> w kierowaniu niektórymi strategicznymi projektami dla społeczności </w:t>
      </w:r>
      <w:proofErr w:type="spellStart"/>
      <w:r>
        <w:t>Interreg</w:t>
      </w:r>
      <w:proofErr w:type="spellEnd"/>
      <w:r>
        <w:t xml:space="preserve"> nie jest dostatecznie znana ani uznana w kręgach i instytucjach tworzących politykę. </w:t>
      </w:r>
      <w:proofErr w:type="spellStart"/>
      <w:r w:rsidR="00155FDE">
        <w:t>Interact</w:t>
      </w:r>
      <w:proofErr w:type="spellEnd"/>
      <w:r w:rsidR="00155FDE">
        <w:t xml:space="preserve"> może zwiększyć swoją obecność </w:t>
      </w:r>
      <w:r w:rsidR="00E75D92">
        <w:t>wśród tych podmiotów i bardziej pracować na rzecz zaangażowania</w:t>
      </w:r>
      <w:r>
        <w:t xml:space="preserve"> (na przykład) władz krajow</w:t>
      </w:r>
      <w:r w:rsidR="00E75D92">
        <w:t>ych</w:t>
      </w:r>
      <w:r>
        <w:t xml:space="preserve"> i państw członkowski</w:t>
      </w:r>
      <w:r w:rsidR="00E75D92">
        <w:t>ch</w:t>
      </w:r>
      <w:r>
        <w:t xml:space="preserve"> w promowanie usług i osiągnięć. Będzie to szczególnie </w:t>
      </w:r>
      <w:r w:rsidR="00E75D92">
        <w:t xml:space="preserve">adekwatne </w:t>
      </w:r>
      <w:r>
        <w:t xml:space="preserve">w kontekście nowych zadań związanych z zaangażowaniem się w programy </w:t>
      </w:r>
      <w:r w:rsidR="002453C4">
        <w:t>krajowe i regionalne</w:t>
      </w:r>
      <w:r>
        <w:t>, jak określono w przepisach</w:t>
      </w:r>
      <w:r>
        <w:rPr>
          <w:rFonts w:ascii="'Times New Roman'" w:hAnsi="'Times New Roman'"/>
        </w:rPr>
        <w:t>.</w:t>
      </w:r>
    </w:p>
    <w:p w14:paraId="2C29C0DF" w14:textId="5EE08731" w:rsidR="00795900" w:rsidRPr="002933F5" w:rsidRDefault="00A42F95" w:rsidP="002933F5">
      <w:pPr>
        <w:pStyle w:val="Normalpararaph"/>
      </w:pPr>
      <w:r>
        <w:t>Z powyższego wynika, że ważn</w:t>
      </w:r>
      <w:r w:rsidR="00E75D92">
        <w:t>ym</w:t>
      </w:r>
      <w:r>
        <w:t xml:space="preserve"> zadanie</w:t>
      </w:r>
      <w:r w:rsidR="00E75D92">
        <w:t>m</w:t>
      </w:r>
      <w:r>
        <w:t xml:space="preserve"> dla </w:t>
      </w:r>
      <w:proofErr w:type="spellStart"/>
      <w:r>
        <w:t>Interact</w:t>
      </w:r>
      <w:proofErr w:type="spellEnd"/>
      <w:r w:rsidR="00E75D92">
        <w:t xml:space="preserve"> jest zajęcie się wyżej opisaną słabością</w:t>
      </w:r>
      <w:r>
        <w:t xml:space="preserve">. </w:t>
      </w:r>
      <w:r w:rsidR="00B943F0">
        <w:t xml:space="preserve">Mocna strona polegająca na </w:t>
      </w:r>
      <w:r>
        <w:t xml:space="preserve">znajomości strategii i podmiotów współpracy może zostać w zespole </w:t>
      </w:r>
      <w:proofErr w:type="spellStart"/>
      <w:r>
        <w:t>Interact</w:t>
      </w:r>
      <w:proofErr w:type="spellEnd"/>
      <w:r>
        <w:t xml:space="preserve"> pogłębiona. </w:t>
      </w:r>
      <w:r w:rsidR="00B943F0">
        <w:t xml:space="preserve">Można zrobić więcej w zakresie </w:t>
      </w:r>
      <w:r>
        <w:t>popraw</w:t>
      </w:r>
      <w:r w:rsidR="00B943F0">
        <w:t>y</w:t>
      </w:r>
      <w:r>
        <w:t xml:space="preserve"> wewnętrznej wymiany i </w:t>
      </w:r>
      <w:r w:rsidR="00B943F0">
        <w:t xml:space="preserve">znajomości </w:t>
      </w:r>
      <w:r>
        <w:t xml:space="preserve">uczestników ram strategicznych. Należy również podjąć strategiczną decyzję dotyczącą programu, a mianowicie: w jaki sposób pracować z tymi podmiotami. </w:t>
      </w:r>
      <w:r w:rsidR="002F3999">
        <w:t>Jak wskazują wyniki</w:t>
      </w:r>
      <w:r>
        <w:t xml:space="preserve"> </w:t>
      </w:r>
      <w:r w:rsidR="002F3999">
        <w:t>ewaluacji</w:t>
      </w:r>
      <w:r>
        <w:t xml:space="preserve">, </w:t>
      </w:r>
      <w:proofErr w:type="spellStart"/>
      <w:r>
        <w:t>Interact</w:t>
      </w:r>
      <w:proofErr w:type="spellEnd"/>
      <w:r>
        <w:t xml:space="preserve"> „ma duży potencjał, by zrobić więcej</w:t>
      </w:r>
      <w:r w:rsidR="002F3999">
        <w:t xml:space="preserve">” </w:t>
      </w:r>
      <w:r>
        <w:t>(…)</w:t>
      </w:r>
      <w:r w:rsidR="002F3999">
        <w:t xml:space="preserve"> „</w:t>
      </w:r>
      <w:r>
        <w:t xml:space="preserve">jeśli przydzielone </w:t>
      </w:r>
      <w:r w:rsidR="002F3999">
        <w:t>mu</w:t>
      </w:r>
      <w:r>
        <w:t xml:space="preserve"> zostaną </w:t>
      </w:r>
      <w:r w:rsidR="002F3999">
        <w:t xml:space="preserve">odpowiednie </w:t>
      </w:r>
      <w:r>
        <w:t>zasoby”. Istnieje również potrzeba nakreślenia „jasnej strategii” i „</w:t>
      </w:r>
      <w:r w:rsidR="002F3999">
        <w:t>upoważnienia</w:t>
      </w:r>
      <w:r>
        <w:t>”, aby pomóc wzmocnić świadczenie usług</w:t>
      </w:r>
      <w:r>
        <w:rPr>
          <w:rFonts w:ascii="'Times New Roman'" w:hAnsi="'Times New Roman'"/>
        </w:rPr>
        <w:t>.</w:t>
      </w:r>
    </w:p>
    <w:p w14:paraId="58D8ECCC" w14:textId="6BD8AFB2" w:rsidR="00795900" w:rsidRPr="002933F5" w:rsidRDefault="00A42F95" w:rsidP="002933F5">
      <w:pPr>
        <w:pStyle w:val="Normalpararaph"/>
      </w:pPr>
      <w:r>
        <w:t xml:space="preserve">Zdecentralizowana struktura </w:t>
      </w:r>
      <w:proofErr w:type="spellStart"/>
      <w:r>
        <w:t>Interact</w:t>
      </w:r>
      <w:proofErr w:type="spellEnd"/>
      <w:r>
        <w:t xml:space="preserve"> stanowi mocną stronę organizacji, ponieważ zdefiniowała ona elastyczną, zorientowaną na klienta kulturę </w:t>
      </w:r>
      <w:proofErr w:type="spellStart"/>
      <w:r>
        <w:t>Interact</w:t>
      </w:r>
      <w:proofErr w:type="spellEnd"/>
      <w:r>
        <w:t>. Jednocześnie te</w:t>
      </w:r>
      <w:r w:rsidR="008C7F81">
        <w:t>j</w:t>
      </w:r>
      <w:r>
        <w:t xml:space="preserve"> </w:t>
      </w:r>
      <w:r w:rsidR="008C7F81">
        <w:t xml:space="preserve">strukturze </w:t>
      </w:r>
      <w:r>
        <w:t>można przypisać także pewne wyzwania organizacyjne.</w:t>
      </w:r>
    </w:p>
    <w:p w14:paraId="15013A62" w14:textId="77777777" w:rsidR="00795900" w:rsidRPr="002933F5" w:rsidRDefault="00A42F95" w:rsidP="002933F5">
      <w:pPr>
        <w:pStyle w:val="Normalpararaph"/>
      </w:pPr>
      <w:r>
        <w:t xml:space="preserve">Produkty i usługi są często opracowywane w zespołach wirtualnych, ponieważ osoby zajmujące się określonymi tematami niekoniecznie dzielą to samo biuro. Bogate, wielokulturowe tło personelu </w:t>
      </w:r>
      <w:proofErr w:type="spellStart"/>
      <w:r>
        <w:t>Interact</w:t>
      </w:r>
      <w:proofErr w:type="spellEnd"/>
      <w:r>
        <w:t xml:space="preserve"> sprawia, że świadczenie usług jest solidniejsze, a jednocześnie zróżnicowane kulturowo, zawodowo i instytucjonalnie. Nie mniej, różnice w personelu mogą prowadzić do przedłużających się dyskusji w celu osiągnięcia porozumienia i konsensusu. Dotyczy to zarówno świadczenia usług, jak i poziomu zarządzania programem.</w:t>
      </w:r>
    </w:p>
    <w:p w14:paraId="6B298722" w14:textId="11B94D51" w:rsidR="00795900" w:rsidRPr="002933F5" w:rsidRDefault="00A42F95" w:rsidP="002933F5">
      <w:pPr>
        <w:pStyle w:val="Normalpararaph"/>
      </w:pPr>
      <w:r>
        <w:t xml:space="preserve">Szeroki wachlarz usług oferowanych przez </w:t>
      </w:r>
      <w:proofErr w:type="spellStart"/>
      <w:r>
        <w:t>Interact</w:t>
      </w:r>
      <w:proofErr w:type="spellEnd"/>
      <w:r>
        <w:t xml:space="preserve"> oznacza, że nie każdy może być zaangażowany we wszystko. Pewne aspekty „specjalizacji” i „przywództwa” </w:t>
      </w:r>
      <w:r w:rsidR="008C7F81">
        <w:t xml:space="preserve">rzeczywiście </w:t>
      </w:r>
      <w:r>
        <w:t xml:space="preserve">istniały w niektórych dziedzinach w celu promowania wydajności usług; koordynacja między członkami jednego biura może być łatwiejsza do zorganizowania, a podejmowanie decyzji – szybsze. Z drugiej strony oznacza to, że tzw. „silosy” można obserwować zarówno na poziomie personalnym, jak i biurowym. Zagrożenie polega na kondensacji wiedzy o dużych/ważnych projektach jest między zaledwie kilkoma pracownikami (w niektórych </w:t>
      </w:r>
      <w:r>
        <w:lastRenderedPageBreak/>
        <w:t>przypadkach może to być wyłącznie jeden!)</w:t>
      </w:r>
      <w:r w:rsidR="00F92BC6">
        <w:t>, w wyniku czego</w:t>
      </w:r>
      <w:r>
        <w:t xml:space="preserve"> dzielenie się wiedzą i uczenie się od siebie nawzajem może być nieefektywne.</w:t>
      </w:r>
    </w:p>
    <w:p w14:paraId="333212C5" w14:textId="0CD27523" w:rsidR="00795900" w:rsidRPr="002933F5" w:rsidRDefault="00A42F95" w:rsidP="002933F5">
      <w:pPr>
        <w:pStyle w:val="Normalpararaph"/>
      </w:pPr>
      <w:r>
        <w:t xml:space="preserve">Takie „silosy” narażają program na nagłe odejścia pracowników oraz utratę kluczowej wiedzy i doświadczenia. Może to spowodować także braki w personelu niezbędnym do rozwoju i świadczenia wyspecjalizowanych usług wymaganych przez grupy docelowe (np. nauczanie online). </w:t>
      </w:r>
      <w:r w:rsidR="00F92BC6">
        <w:t xml:space="preserve">Wiemy z doświadczenia, że </w:t>
      </w:r>
      <w:r>
        <w:t>przyuczani</w:t>
      </w:r>
      <w:r w:rsidR="00F92BC6">
        <w:t>e</w:t>
      </w:r>
      <w:r>
        <w:t xml:space="preserve"> nowego pracownika </w:t>
      </w:r>
      <w:r w:rsidR="00F92BC6">
        <w:t xml:space="preserve">może trwać </w:t>
      </w:r>
      <w:r>
        <w:t>około 6 miesięcy</w:t>
      </w:r>
      <w:r w:rsidR="00F92BC6">
        <w:t xml:space="preserve"> zanim osiągnie poziom „operacyjny”</w:t>
      </w:r>
      <w:r w:rsidR="00524F51">
        <w:t xml:space="preserve"> </w:t>
      </w:r>
      <w:r w:rsidR="00F92BC6">
        <w:t xml:space="preserve">na </w:t>
      </w:r>
      <w:r>
        <w:t>nowym stanowisku</w:t>
      </w:r>
      <w:r w:rsidR="00F92BC6">
        <w:t xml:space="preserve"> </w:t>
      </w:r>
      <w:r>
        <w:t xml:space="preserve">Bardziej wyraźne ukierunkowanie programu w nowym okresie rozwiąże niektóre z tych problemów. </w:t>
      </w:r>
      <w:r w:rsidR="00F92BC6">
        <w:t xml:space="preserve">Ewaluacja </w:t>
      </w:r>
      <w:r>
        <w:t xml:space="preserve">wskazuje również, że duże projekty, nie tylko HIT, </w:t>
      </w:r>
      <w:proofErr w:type="spellStart"/>
      <w:r>
        <w:t>eMS</w:t>
      </w:r>
      <w:proofErr w:type="spellEnd"/>
      <w:r>
        <w:t xml:space="preserve"> i wsparcie dla </w:t>
      </w:r>
      <w:r w:rsidR="00DE5B9B">
        <w:t>strategii makroregionalnych</w:t>
      </w:r>
      <w:r>
        <w:t xml:space="preserve">, ale także inne, nieobjęte </w:t>
      </w:r>
      <w:r w:rsidR="00F92BC6">
        <w:t xml:space="preserve">ewaluacją </w:t>
      </w:r>
      <w:r>
        <w:t xml:space="preserve">(np. kapitalizacja, </w:t>
      </w:r>
      <w:r w:rsidR="00F92BC6">
        <w:t>D</w:t>
      </w:r>
      <w:r>
        <w:t xml:space="preserve">zień </w:t>
      </w:r>
      <w:r w:rsidR="00F92BC6">
        <w:t xml:space="preserve">Współpracy </w:t>
      </w:r>
      <w:r>
        <w:t>Europejskiej, nauka online) wymagają proporcjonalnego przydziału zasobów.</w:t>
      </w:r>
    </w:p>
    <w:p w14:paraId="2306ED4E" w14:textId="77777777" w:rsidR="00795900" w:rsidRDefault="00A42F95" w:rsidP="002933F5">
      <w:pPr>
        <w:pStyle w:val="Subtitle1"/>
      </w:pPr>
      <w:r>
        <w:t>Możliwości</w:t>
      </w:r>
    </w:p>
    <w:p w14:paraId="5BCA85BA" w14:textId="5262354C" w:rsidR="00795900" w:rsidRPr="002933F5" w:rsidRDefault="00A42F95" w:rsidP="002933F5">
      <w:pPr>
        <w:pStyle w:val="Normalpararaph"/>
      </w:pPr>
      <w:proofErr w:type="spellStart"/>
      <w:r>
        <w:t>Interact</w:t>
      </w:r>
      <w:proofErr w:type="spellEnd"/>
      <w:r>
        <w:t xml:space="preserve"> ma wyjątkową szansę odegrania kluczowej roli we wspieraniu procesu upraszczania. Wiąże się to z promowaniem odpowiednich praktyk zarówno podczas programowania (tj. zapewnienia, że przepisy dotyczące uproszczenia są uwzględniane w programach), jak i wdrażania (tj. zapewnienia ich jednolitej interpretacji i przestrzegania). Czerpiąc z przeszłych doświadczeń, istnieje również ogromna szansa na opracowanie narzędzi do realizacji programów w oparciu o zasadę upraszczania. Takie wysiłki doprowadzą do wyraźnego wzrostu skuteczności i wydajności. Uproszczenie, w połączeniu z przejrzystością, powinno z kolei doprowadzić do zmniejszenia </w:t>
      </w:r>
      <w:r w:rsidR="00C75B81">
        <w:t>przeregulowania</w:t>
      </w:r>
      <w:r w:rsidR="009F4199">
        <w:t xml:space="preserve"> </w:t>
      </w:r>
      <w:r>
        <w:t>przepisów na różnych poziomach.</w:t>
      </w:r>
    </w:p>
    <w:p w14:paraId="037919D9" w14:textId="37749341" w:rsidR="00795900" w:rsidRDefault="00A42F95" w:rsidP="002933F5">
      <w:pPr>
        <w:pStyle w:val="Normalpararaph"/>
      </w:pPr>
      <w:proofErr w:type="spellStart"/>
      <w:r>
        <w:t>Interact</w:t>
      </w:r>
      <w:proofErr w:type="spellEnd"/>
      <w:r>
        <w:t xml:space="preserve"> ma doskonałą okazję do kontynuowania roli lidera w angażowaniu podmiotów </w:t>
      </w:r>
      <w:proofErr w:type="spellStart"/>
      <w:r>
        <w:t>Interreg</w:t>
      </w:r>
      <w:proofErr w:type="spellEnd"/>
      <w:r>
        <w:t xml:space="preserve"> w sieci ekspertów oraz dalszego rozszerzania i pogłębiania relacji z niektórymi grupami docelowymi. Przykładowo: przewiduje się, że </w:t>
      </w:r>
      <w:proofErr w:type="spellStart"/>
      <w:r>
        <w:t>Interact</w:t>
      </w:r>
      <w:proofErr w:type="spellEnd"/>
      <w:r>
        <w:t xml:space="preserve"> będzie odgrywać większą rolę we wspieraniu IPA CBC, programów współpracy zewnętrznej (</w:t>
      </w:r>
      <w:proofErr w:type="spellStart"/>
      <w:r>
        <w:t>Interreg</w:t>
      </w:r>
      <w:proofErr w:type="spellEnd"/>
      <w:r>
        <w:t xml:space="preserve"> NEXT?) oraz regionów najbardziej oddalonych. Oczekuje się, że </w:t>
      </w:r>
      <w:r w:rsidR="002453C4">
        <w:t>interakcje</w:t>
      </w:r>
      <w:r>
        <w:t xml:space="preserve"> </w:t>
      </w:r>
      <w:proofErr w:type="spellStart"/>
      <w:r>
        <w:t>Interact</w:t>
      </w:r>
      <w:proofErr w:type="spellEnd"/>
      <w:r>
        <w:t xml:space="preserve"> z p</w:t>
      </w:r>
      <w:r w:rsidR="002453C4">
        <w:t>rogramami krajowymi i regionalnymi</w:t>
      </w:r>
      <w:r>
        <w:t xml:space="preserve"> będ</w:t>
      </w:r>
      <w:r w:rsidR="002453C4">
        <w:t>ą</w:t>
      </w:r>
      <w:r>
        <w:t xml:space="preserve"> w nowym okresie bardziej wyraźne. Daje to organizacji okazję do zdobycia nowej wiedzy na temat kontekstu kulturowego i administracyjnego oraz zacieśnienia więzi z władzami krajowymi i programowymi. Istnieje możliwość wzmocnienia zaangażowania w programy </w:t>
      </w:r>
      <w:r w:rsidR="00DE5B9B">
        <w:t>realizujące strategie makroregionalne</w:t>
      </w:r>
      <w:r>
        <w:t xml:space="preserve"> i </w:t>
      </w:r>
      <w:r w:rsidR="00C75B81">
        <w:t>strategie dla basenów morskich</w:t>
      </w:r>
      <w:r>
        <w:t xml:space="preserve"> w przyszłości, co jest również częścią strategicznej decyzji dotyczącej programu. Tak rozszerzona baza grup docelowych oznacza, że wpływ narzędzi i usług opracowanych przez </w:t>
      </w:r>
      <w:proofErr w:type="spellStart"/>
      <w:r>
        <w:t>Interact</w:t>
      </w:r>
      <w:proofErr w:type="spellEnd"/>
      <w:r>
        <w:t xml:space="preserve"> wybiegać będzie poza społeczność </w:t>
      </w:r>
      <w:proofErr w:type="spellStart"/>
      <w:r>
        <w:t>Interreg</w:t>
      </w:r>
      <w:proofErr w:type="spellEnd"/>
      <w:r>
        <w:t>.</w:t>
      </w:r>
    </w:p>
    <w:p w14:paraId="57E1552D" w14:textId="77777777" w:rsidR="00795900" w:rsidRPr="002933F5" w:rsidRDefault="00A42F95" w:rsidP="002933F5">
      <w:pPr>
        <w:pStyle w:val="Normalpararaph"/>
      </w:pPr>
      <w:r>
        <w:t xml:space="preserve">Wiąże się z tym wymóg dobrze zdefiniowanego zakresu współpracy z różnymi podmiotami – połączonego z odpowiednim zrozumieniem ich potrzeb – w celu dalszego zapewniania zindywidualizowanego i odpowiedniego portfela usług. Z drugiej strony stwarza to możliwość zastanowienia się nad strategią „więcej za mniej”. Rozwój i świadczenie bardziej </w:t>
      </w:r>
      <w:r>
        <w:lastRenderedPageBreak/>
        <w:t xml:space="preserve">zintegrowanych usług, szersze wykorzystanie uczenia się online i promowanie cyfryzacji może prowadzić do oszczędności zasobów dla grup docelowych. W niektórych przypadkach może to oznaczać jeszcze większe przybliżenie programów ich odbiorcom, ze względu na istnienie wśród nich różnych ograniczeń (np. personel, czas, możliwość podróżowania itp.), co stawia ich nierzadko w niekorzystnej sytuacji podczas korzystania z usług </w:t>
      </w:r>
      <w:proofErr w:type="spellStart"/>
      <w:r>
        <w:t>Interact</w:t>
      </w:r>
      <w:proofErr w:type="spellEnd"/>
      <w:r>
        <w:t>.</w:t>
      </w:r>
    </w:p>
    <w:p w14:paraId="7A8D73CA" w14:textId="162A2A0A" w:rsidR="00795900" w:rsidRPr="002933F5" w:rsidRDefault="00A42F95" w:rsidP="002933F5">
      <w:pPr>
        <w:pStyle w:val="Normalpararaph"/>
      </w:pPr>
      <w:r>
        <w:t xml:space="preserve">Trwałe zaangażowanie i przywództwo różnych sieci ekspertów może dać daleko idące skutki. Doświadczenie z lat 2014-2020 pokazuje, że łączenie podmiotów, ujednolicanie ich poglądów i opinii oraz kierowanie ich do właściwych instytucji/grup we właściwym czasie może wpływać na decyzje i kształtowanie polityki. Ponieważ </w:t>
      </w:r>
      <w:proofErr w:type="spellStart"/>
      <w:r>
        <w:t>Interact</w:t>
      </w:r>
      <w:proofErr w:type="spellEnd"/>
      <w:r>
        <w:t xml:space="preserve"> jest coraz bardziej </w:t>
      </w:r>
      <w:r w:rsidR="00C75B81">
        <w:t xml:space="preserve">rozpoznawany </w:t>
      </w:r>
      <w:r>
        <w:t xml:space="preserve">jako „centrum” dyskusyjne w ramach </w:t>
      </w:r>
      <w:proofErr w:type="spellStart"/>
      <w:r>
        <w:t>Interreg</w:t>
      </w:r>
      <w:proofErr w:type="spellEnd"/>
      <w:r>
        <w:t xml:space="preserve">, istnieje wielka szansa na dalsze wzmacnianie tej roli w przyszłości. Jak wywnioskowano z </w:t>
      </w:r>
      <w:r w:rsidR="009F4199">
        <w:t>ewaluacji</w:t>
      </w:r>
      <w:r>
        <w:t xml:space="preserve">, </w:t>
      </w:r>
      <w:proofErr w:type="spellStart"/>
      <w:r>
        <w:t>Interact</w:t>
      </w:r>
      <w:proofErr w:type="spellEnd"/>
      <w:r>
        <w:t xml:space="preserve"> często pełni rolę agenta zmian, ponieważ wdrażane inicjatywy wpływają na całe społeczności.</w:t>
      </w:r>
    </w:p>
    <w:p w14:paraId="1FA0016C" w14:textId="62BC5A6B" w:rsidR="00795900" w:rsidRDefault="00A42F95" w:rsidP="002933F5">
      <w:pPr>
        <w:pStyle w:val="Normalpararaph"/>
      </w:pPr>
      <w:r>
        <w:t xml:space="preserve">Wokół </w:t>
      </w:r>
      <w:proofErr w:type="spellStart"/>
      <w:r>
        <w:t>Interact</w:t>
      </w:r>
      <w:proofErr w:type="spellEnd"/>
      <w:r>
        <w:t xml:space="preserve"> wytworzyło się wiele ważnych możliwości przekształcenia się w bardziej wydajną i szczuplejszą biurokratycznie organizację. Na przykład: aby zapewnić większą efektywność wewnętrznych procesów i procedur, </w:t>
      </w:r>
      <w:proofErr w:type="spellStart"/>
      <w:r>
        <w:t>Interact</w:t>
      </w:r>
      <w:proofErr w:type="spellEnd"/>
      <w:r>
        <w:t xml:space="preserve"> powin</w:t>
      </w:r>
      <w:r w:rsidR="00C75B81">
        <w:t>ien</w:t>
      </w:r>
      <w:r>
        <w:t xml:space="preserve"> również przyjąć przepisy dotyczące uproszczeń. Bardziej ukierunkowana promocja osiągnięć </w:t>
      </w:r>
      <w:proofErr w:type="spellStart"/>
      <w:r>
        <w:t>Interact</w:t>
      </w:r>
      <w:proofErr w:type="spellEnd"/>
      <w:r>
        <w:t xml:space="preserve"> na wszystkich etapach wdrażania programu to ważny aspekt przy zwiększaniu rozpoznawalności programu. Jak wspomniano w akapicie dotyczącym słabych stron, takie uznanie wśród grup docelowych (a w szczególności w kontekście zaangażowania tych nowych) powinno prowadzić do silniejszego wsparcia programu, z naciskiem na większą odpowiedzialność za wyniki. Chociaż rola </w:t>
      </w:r>
      <w:proofErr w:type="spellStart"/>
      <w:r>
        <w:t>Interact</w:t>
      </w:r>
      <w:proofErr w:type="spellEnd"/>
      <w:r>
        <w:t xml:space="preserve"> w inicjowaniu i promowaniu współpracy i koordynacji między podmiotami w ramach </w:t>
      </w:r>
      <w:proofErr w:type="spellStart"/>
      <w:r>
        <w:t>Interreg</w:t>
      </w:r>
      <w:proofErr w:type="spellEnd"/>
      <w:r>
        <w:t xml:space="preserve"> a także poza nim jest kluczowa, w przyszłości może zostać osiągnięty ważny sukces, jeśli niektóre sieci/procesy staną się jeszcze trwalsze. Jak wskazano w </w:t>
      </w:r>
      <w:r w:rsidR="009F4199">
        <w:t>ewaluacji</w:t>
      </w:r>
      <w:r>
        <w:t>, w odniesieniu do strategii makroregionalnych oznaczałoby to współpracę z zainteresowanymi stronami w celu zapewnienia samowystarczalności działań w przyszłości.</w:t>
      </w:r>
    </w:p>
    <w:p w14:paraId="58635B95" w14:textId="77777777" w:rsidR="00795900" w:rsidRDefault="00A42F95" w:rsidP="002933F5">
      <w:pPr>
        <w:pStyle w:val="Subtitle1"/>
      </w:pPr>
      <w:r>
        <w:t>Zagrożenia</w:t>
      </w:r>
    </w:p>
    <w:p w14:paraId="76BD4AAD" w14:textId="6EE598FA" w:rsidR="00795900" w:rsidRPr="002933F5" w:rsidRDefault="00A42F95" w:rsidP="002933F5">
      <w:pPr>
        <w:pStyle w:val="Normalpararaph"/>
      </w:pPr>
      <w:r>
        <w:t xml:space="preserve">W momencie sporządzania raportu SWOT dla </w:t>
      </w:r>
      <w:proofErr w:type="spellStart"/>
      <w:r>
        <w:t>Interact</w:t>
      </w:r>
      <w:proofErr w:type="spellEnd"/>
      <w:r>
        <w:t xml:space="preserve"> istniały niejasności co do ostatecznych </w:t>
      </w:r>
      <w:r w:rsidR="00C75B81">
        <w:t>przepisów dla polityki spójności na lata 2021-2027</w:t>
      </w:r>
      <w:r>
        <w:t xml:space="preserve">. W odniesieniu do aspektu międzyregionalnego nadal nie ma pewności co do przydziału środków budżetowych i tematycznego pokrywania się programów. Jeśli chodzi o budżet </w:t>
      </w:r>
      <w:proofErr w:type="spellStart"/>
      <w:r>
        <w:t>Interact</w:t>
      </w:r>
      <w:proofErr w:type="spellEnd"/>
      <w:r>
        <w:t>, wyzwanie dla realizacji programu może stanowić budżet zarówno zbyt niski, jak i zbyt wysoki. Podczas gdy ten pierwszy będzie wymagał zawężenia zakresu programu i ustalenia rygorystycznych priorytetów dotyczących rdzenia interwencji, ten drugi może z kolei spowodować rozmycie zakresu interwencji lub stanowić wyzwanie dla zdolności absorpcyjnej programu.</w:t>
      </w:r>
    </w:p>
    <w:p w14:paraId="56E6D019" w14:textId="33E53A9F" w:rsidR="00795900" w:rsidRPr="002933F5" w:rsidRDefault="00A42F95" w:rsidP="002933F5">
      <w:pPr>
        <w:pStyle w:val="Normalpararaph"/>
      </w:pPr>
      <w:r>
        <w:t>Jeśli chodzi o koordynację w ramach komponentu</w:t>
      </w:r>
      <w:r w:rsidR="00C75B81">
        <w:t xml:space="preserve"> międzyregionalnego</w:t>
      </w:r>
      <w:r>
        <w:t xml:space="preserve">, główna zasada obecna od obecnego okresu pozostaje niezmieniona: konieczne jest ustalenie jasnego podziału </w:t>
      </w:r>
      <w:r>
        <w:lastRenderedPageBreak/>
        <w:t>ról między wszystkimi programami międzyregionalnymi, tak aby zapewnić interesariuszy programów o spełnianiu przez każdy program swojej rzeczywistej roli, wnoszenia wartości dodanej, unikania pokrywania się działań i kapitalizacji synergii w całym obszarze międzyregionalnym.</w:t>
      </w:r>
    </w:p>
    <w:p w14:paraId="6FCA35A8" w14:textId="7B2AC920" w:rsidR="00795900" w:rsidRPr="002933F5" w:rsidRDefault="00A42F95" w:rsidP="002933F5">
      <w:pPr>
        <w:pStyle w:val="Normalpararaph"/>
      </w:pPr>
      <w:r>
        <w:t xml:space="preserve">Dyskusje między podmiotami państw członkowskich podczas przygotowywania programu jasno pokazały, że </w:t>
      </w:r>
      <w:proofErr w:type="spellStart"/>
      <w:r>
        <w:t>Interact</w:t>
      </w:r>
      <w:proofErr w:type="spellEnd"/>
      <w:r>
        <w:t xml:space="preserve"> nie powinien odbiegać od </w:t>
      </w:r>
      <w:r w:rsidR="00C75B81">
        <w:t xml:space="preserve">instytucji zaangażowanych w </w:t>
      </w:r>
      <w:proofErr w:type="spellStart"/>
      <w:r>
        <w:t>Interreg</w:t>
      </w:r>
      <w:proofErr w:type="spellEnd"/>
      <w:r>
        <w:t xml:space="preserve">. W tym przypadku obawa </w:t>
      </w:r>
      <w:proofErr w:type="spellStart"/>
      <w:r>
        <w:t>Interact</w:t>
      </w:r>
      <w:proofErr w:type="spellEnd"/>
      <w:r>
        <w:t xml:space="preserve"> wiąże się również z utratą określonej niszy. </w:t>
      </w:r>
      <w:proofErr w:type="spellStart"/>
      <w:r>
        <w:t>Interact</w:t>
      </w:r>
      <w:proofErr w:type="spellEnd"/>
      <w:r>
        <w:t xml:space="preserve"> planuje opracować ukierunkowany portfel usług w celu zaangażowania się w programy </w:t>
      </w:r>
      <w:r w:rsidR="002453C4">
        <w:t>krajowe i regionalne</w:t>
      </w:r>
      <w:r>
        <w:t xml:space="preserve"> na podstawie aktualnych doświadczeń z </w:t>
      </w:r>
      <w:r w:rsidR="00942D90">
        <w:t>wdrażania strategii makroregionalnych</w:t>
      </w:r>
      <w:r>
        <w:t xml:space="preserve">, Art. 96 oraz – w porozumieniu z </w:t>
      </w:r>
      <w:r w:rsidR="00942D90">
        <w:t>podmiotami zaangażowanymi w realizację celu 1 polityki spójności</w:t>
      </w:r>
      <w:r>
        <w:t xml:space="preserve"> –także i innymi odpowiednimi </w:t>
      </w:r>
      <w:r w:rsidR="009F4199">
        <w:t>interesariuszami</w:t>
      </w:r>
      <w:r>
        <w:t xml:space="preserve">. Chociaż uznanie tych działań za szansę na przyszłość jest akceptowalne, koniecznością staje się zidentyfikowanie powiązanych </w:t>
      </w:r>
      <w:proofErr w:type="spellStart"/>
      <w:r>
        <w:t>ryzyk</w:t>
      </w:r>
      <w:proofErr w:type="spellEnd"/>
      <w:r>
        <w:t xml:space="preserve"> (w zależności od zakresu prac) i ustalenie strategii ich złagodzenia. Na przykład: należy zrozumieć potrzebę nowych profili i kompetencji personelu. W tym kontekście szczególnie cenne stają się porady i wkład władz krajowych i państw członkowskich.</w:t>
      </w:r>
    </w:p>
    <w:p w14:paraId="3B79616C" w14:textId="5580353F" w:rsidR="00795900" w:rsidRPr="002933F5" w:rsidRDefault="00A42F95" w:rsidP="002933F5">
      <w:pPr>
        <w:pStyle w:val="Normalpararaph"/>
      </w:pPr>
      <w:r>
        <w:t xml:space="preserve">W nowym okresie propozycja obniżenia </w:t>
      </w:r>
      <w:r w:rsidR="000F208A">
        <w:t xml:space="preserve">poziomu </w:t>
      </w:r>
      <w:r>
        <w:t xml:space="preserve">współfinansowania w połączeniu ze </w:t>
      </w:r>
      <w:r w:rsidR="00ED0027">
        <w:t xml:space="preserve">stawką ryczałtową na pomoc techniczną </w:t>
      </w:r>
      <w:r>
        <w:t xml:space="preserve">może prowadzić do braku środków w </w:t>
      </w:r>
      <w:proofErr w:type="spellStart"/>
      <w:r>
        <w:t>Interreg</w:t>
      </w:r>
      <w:proofErr w:type="spellEnd"/>
      <w:r>
        <w:t xml:space="preserve">, przynajmniej na niektórych etapach cyklu programowego. Należy spodziewać się, że to z kolei może przyczynić się do zmniejszenia udziału w usługach </w:t>
      </w:r>
      <w:proofErr w:type="spellStart"/>
      <w:r>
        <w:t>Interact</w:t>
      </w:r>
      <w:proofErr w:type="spellEnd"/>
      <w:r>
        <w:t xml:space="preserve"> (seminariach, warsztatach, sieciach itp.), zwłaszcza tych o charakterze bezpośrednim. </w:t>
      </w:r>
      <w:proofErr w:type="spellStart"/>
      <w:r>
        <w:t>Interact</w:t>
      </w:r>
      <w:proofErr w:type="spellEnd"/>
      <w:r>
        <w:t xml:space="preserve"> musi przygotować się na taki scenariusz i zainwestować więcej zasobów w dostarczanie alternatywnych rozwiązań dotyczących bezpośrednich spotkań. Pandemia COVID-19 przyspieszyła ten proces, ale do osiągnięcia optymalnego potencjału usługowego droga jest jeszcze daleka.</w:t>
      </w:r>
    </w:p>
    <w:p w14:paraId="3A9B3B96" w14:textId="77777777" w:rsidR="00795900" w:rsidRPr="002933F5" w:rsidRDefault="00A42F95" w:rsidP="002933F5">
      <w:pPr>
        <w:pStyle w:val="Normalpararaph"/>
      </w:pPr>
      <w:r>
        <w:t xml:space="preserve">Nauka online i platforma internetowa </w:t>
      </w:r>
      <w:proofErr w:type="spellStart"/>
      <w:r>
        <w:t>Interact</w:t>
      </w:r>
      <w:proofErr w:type="spellEnd"/>
      <w:r>
        <w:t xml:space="preserve"> stały się ważnymi narzędziami w tym zakresie. </w:t>
      </w:r>
      <w:proofErr w:type="spellStart"/>
      <w:r>
        <w:t>Interact</w:t>
      </w:r>
      <w:proofErr w:type="spellEnd"/>
      <w:r>
        <w:t xml:space="preserve"> analizuje również swoich partnerów do potencjalnej współpracy – zarówno świadczących usługi uzupełniające, jak również tych, których mechanizm obsługi i grupy docelowe są bardzo podobne do </w:t>
      </w:r>
      <w:proofErr w:type="spellStart"/>
      <w:r>
        <w:t>Interact</w:t>
      </w:r>
      <w:proofErr w:type="spellEnd"/>
      <w:r>
        <w:t xml:space="preserve">. Argumentu o bezpłatności produktów końcowych </w:t>
      </w:r>
      <w:proofErr w:type="spellStart"/>
      <w:r>
        <w:t>Interact</w:t>
      </w:r>
      <w:proofErr w:type="spellEnd"/>
      <w:r>
        <w:t xml:space="preserve"> nie należy traktować jako oczywistości, ponieważ inne instytucje również rozwijają (lub już rozwinęły) wiedzę o </w:t>
      </w:r>
      <w:proofErr w:type="spellStart"/>
      <w:r>
        <w:t>Interreg</w:t>
      </w:r>
      <w:proofErr w:type="spellEnd"/>
      <w:r>
        <w:t xml:space="preserve">. Pocieszające jest natomiast to, że według analizy udziału </w:t>
      </w:r>
      <w:proofErr w:type="spellStart"/>
      <w:r>
        <w:t>Interact</w:t>
      </w:r>
      <w:proofErr w:type="spellEnd"/>
      <w:r>
        <w:t xml:space="preserve"> w wydarzeniach roku 2020 r., zaangażowane w działania zostały wszystkie programy. Dla organizacji kluczowe jest jednak dalsze wprowadzanie innowacji, pozostawanie blisko swoich grup docelowych a także dążenie do doskonałości jej usług.</w:t>
      </w:r>
    </w:p>
    <w:p w14:paraId="7049AAAD" w14:textId="32879372" w:rsidR="00795900" w:rsidRPr="002933F5" w:rsidRDefault="00A42F95" w:rsidP="002933F5">
      <w:pPr>
        <w:pStyle w:val="Normalpararaph"/>
      </w:pPr>
      <w:r>
        <w:t xml:space="preserve">Ostatnią, chociaż nie mniej ważną sprawą mająca wpływ na obszar, w którym działa </w:t>
      </w:r>
      <w:proofErr w:type="spellStart"/>
      <w:r>
        <w:t>Interact</w:t>
      </w:r>
      <w:proofErr w:type="spellEnd"/>
      <w:r>
        <w:t>, jest kontekst polityczny. Organizacja nie może zostać oddzielon</w:t>
      </w:r>
      <w:r w:rsidR="00ED0027">
        <w:t>a</w:t>
      </w:r>
      <w:r>
        <w:t xml:space="preserve"> od założeń </w:t>
      </w:r>
      <w:proofErr w:type="spellStart"/>
      <w:r>
        <w:t>Interreg</w:t>
      </w:r>
      <w:proofErr w:type="spellEnd"/>
      <w:r>
        <w:t xml:space="preserve">, a wydarzenia polityczne mające wpływ na te programy (takie jak </w:t>
      </w:r>
      <w:proofErr w:type="spellStart"/>
      <w:r>
        <w:t>Brexit</w:t>
      </w:r>
      <w:proofErr w:type="spellEnd"/>
      <w:r>
        <w:t xml:space="preserve">), będą wpływać także </w:t>
      </w:r>
      <w:r>
        <w:lastRenderedPageBreak/>
        <w:t xml:space="preserve">na </w:t>
      </w:r>
      <w:proofErr w:type="spellStart"/>
      <w:r>
        <w:t>Interact</w:t>
      </w:r>
      <w:proofErr w:type="spellEnd"/>
      <w:r>
        <w:t xml:space="preserve">. Na przykład: w ramach </w:t>
      </w:r>
      <w:proofErr w:type="spellStart"/>
      <w:r>
        <w:t>Brexitu</w:t>
      </w:r>
      <w:proofErr w:type="spellEnd"/>
      <w:r>
        <w:t xml:space="preserve"> status programów, przyszłe warunki współpracy i ogólny wpływ na szeroko pojęty klimat współpracy będą przedmiotem dalszej analizy.</w:t>
      </w:r>
    </w:p>
    <w:p w14:paraId="5525B019" w14:textId="54842EA6" w:rsidR="00F50542" w:rsidRPr="00F50542" w:rsidRDefault="00584B63" w:rsidP="00584B63">
      <w:pPr>
        <w:keepNext/>
        <w:numPr>
          <w:ilvl w:val="1"/>
          <w:numId w:val="12"/>
        </w:numPr>
        <w:spacing w:before="240" w:after="240" w:line="240" w:lineRule="auto"/>
        <w:rPr>
          <w:rFonts w:eastAsia="Times New Roman" w:cs="Times New Roman"/>
          <w:b/>
          <w:iCs/>
          <w:noProof/>
          <w:szCs w:val="24"/>
        </w:rPr>
      </w:pPr>
      <w:r w:rsidRPr="00584B63">
        <w:rPr>
          <w:b/>
          <w:color w:val="000000"/>
          <w:szCs w:val="24"/>
        </w:rPr>
        <w:t xml:space="preserve">Uzasadnienie wyboru celów polityki oraz celów specyficznych dla </w:t>
      </w:r>
      <w:proofErr w:type="spellStart"/>
      <w:r w:rsidRPr="00584B63">
        <w:rPr>
          <w:b/>
          <w:color w:val="000000"/>
          <w:szCs w:val="24"/>
        </w:rPr>
        <w:t>Interreg</w:t>
      </w:r>
      <w:proofErr w:type="spellEnd"/>
      <w:r w:rsidRPr="00584B63">
        <w:rPr>
          <w:b/>
          <w:color w:val="000000"/>
          <w:szCs w:val="24"/>
        </w:rPr>
        <w:t>, odpowiadających im priorytetów, celów szczegółowych oraz form wsparcia z uwzględnieniem, w stosownych przypadkach, brakujących połączeń w infrastrukturze transgranicznej</w:t>
      </w:r>
    </w:p>
    <w:p w14:paraId="21E195A9" w14:textId="77777777" w:rsidR="00F50542" w:rsidRPr="00F50542" w:rsidRDefault="00F50542" w:rsidP="002933F5">
      <w:pPr>
        <w:keepNext/>
        <w:spacing w:after="200" w:line="240" w:lineRule="auto"/>
        <w:jc w:val="both"/>
        <w:rPr>
          <w:rFonts w:eastAsia="Times New Roman" w:cs="Times New Roman"/>
          <w:i/>
          <w:noProof/>
          <w:color w:val="000000"/>
          <w:szCs w:val="24"/>
        </w:rPr>
      </w:pPr>
      <w:r>
        <w:rPr>
          <w:i/>
          <w:color w:val="000000"/>
          <w:szCs w:val="24"/>
        </w:rPr>
        <w:t>Odniesienie: Art. 17(4)(c)</w:t>
      </w:r>
    </w:p>
    <w:p w14:paraId="6637416B" w14:textId="77777777" w:rsidR="00F50542" w:rsidRPr="00F50542" w:rsidRDefault="00F50542" w:rsidP="002933F5">
      <w:pPr>
        <w:keepNext/>
        <w:spacing w:line="240" w:lineRule="auto"/>
        <w:rPr>
          <w:rFonts w:eastAsia="Times New Roman" w:cs="Times New Roman"/>
          <w:i/>
          <w:noProof/>
          <w:color w:val="000000"/>
          <w:szCs w:val="24"/>
        </w:rPr>
      </w:pPr>
      <w:r>
        <w:rPr>
          <w:i/>
          <w:color w:val="000000"/>
          <w:szCs w:val="24"/>
        </w:rPr>
        <w:t>Tabela 1</w:t>
      </w:r>
    </w:p>
    <w:tbl>
      <w:tblPr>
        <w:tblStyle w:val="TableGrid1"/>
        <w:tblW w:w="5000" w:type="pct"/>
        <w:tblLook w:val="04A0" w:firstRow="1" w:lastRow="0" w:firstColumn="1" w:lastColumn="0" w:noHBand="0" w:noVBand="1"/>
      </w:tblPr>
      <w:tblGrid>
        <w:gridCol w:w="1759"/>
        <w:gridCol w:w="1923"/>
        <w:gridCol w:w="1149"/>
        <w:gridCol w:w="4457"/>
      </w:tblGrid>
      <w:tr w:rsidR="00F50542" w:rsidRPr="00F50542" w14:paraId="05099556" w14:textId="77777777" w:rsidTr="00211043">
        <w:tc>
          <w:tcPr>
            <w:tcW w:w="1787" w:type="dxa"/>
          </w:tcPr>
          <w:p w14:paraId="70D59B95" w14:textId="77777777" w:rsidR="00F50542" w:rsidRPr="00F8585E" w:rsidRDefault="00F50542" w:rsidP="00E73281">
            <w:pPr>
              <w:keepNext/>
              <w:spacing w:before="60" w:after="60" w:line="240" w:lineRule="auto"/>
              <w:rPr>
                <w:rFonts w:eastAsia="Times New Roman" w:cs="Times New Roman"/>
                <w:b/>
                <w:iCs/>
                <w:noProof/>
                <w:szCs w:val="24"/>
              </w:rPr>
            </w:pPr>
            <w:r>
              <w:rPr>
                <w:b/>
                <w:iCs/>
                <w:szCs w:val="24"/>
              </w:rPr>
              <w:t xml:space="preserve">Wybrany cel polityki lub wybrany cel specyficzny </w:t>
            </w:r>
            <w:proofErr w:type="spellStart"/>
            <w:r>
              <w:rPr>
                <w:b/>
                <w:iCs/>
                <w:szCs w:val="24"/>
              </w:rPr>
              <w:t>Interreg</w:t>
            </w:r>
            <w:proofErr w:type="spellEnd"/>
          </w:p>
        </w:tc>
        <w:tc>
          <w:tcPr>
            <w:tcW w:w="1402" w:type="dxa"/>
          </w:tcPr>
          <w:p w14:paraId="4DBE8AAE" w14:textId="77777777" w:rsidR="00F50542" w:rsidRPr="00F8585E" w:rsidRDefault="00F50542" w:rsidP="00E73281">
            <w:pPr>
              <w:spacing w:before="60" w:after="60" w:line="240" w:lineRule="auto"/>
              <w:rPr>
                <w:rFonts w:eastAsia="Times New Roman" w:cs="Times New Roman"/>
                <w:b/>
                <w:iCs/>
                <w:noProof/>
                <w:szCs w:val="24"/>
              </w:rPr>
            </w:pPr>
            <w:r>
              <w:rPr>
                <w:b/>
                <w:iCs/>
                <w:szCs w:val="24"/>
              </w:rPr>
              <w:t xml:space="preserve">Wybrany cel polityki </w:t>
            </w:r>
          </w:p>
        </w:tc>
        <w:tc>
          <w:tcPr>
            <w:tcW w:w="1128" w:type="dxa"/>
          </w:tcPr>
          <w:p w14:paraId="21DB1040" w14:textId="77777777" w:rsidR="00F50542" w:rsidRPr="00F8585E" w:rsidRDefault="00F50542" w:rsidP="00E73281">
            <w:pPr>
              <w:spacing w:before="60" w:after="60" w:line="240" w:lineRule="auto"/>
              <w:rPr>
                <w:rFonts w:eastAsia="Times New Roman" w:cs="Times New Roman"/>
                <w:b/>
                <w:iCs/>
                <w:noProof/>
                <w:szCs w:val="24"/>
              </w:rPr>
            </w:pPr>
            <w:r>
              <w:rPr>
                <w:b/>
                <w:iCs/>
                <w:szCs w:val="24"/>
              </w:rPr>
              <w:t>Priorytet</w:t>
            </w:r>
          </w:p>
        </w:tc>
        <w:tc>
          <w:tcPr>
            <w:tcW w:w="4745" w:type="dxa"/>
          </w:tcPr>
          <w:p w14:paraId="6C0B3553" w14:textId="77777777" w:rsidR="00F50542" w:rsidRPr="00F8585E" w:rsidRDefault="00F50542" w:rsidP="00E73281">
            <w:pPr>
              <w:spacing w:before="60" w:after="60" w:line="240" w:lineRule="auto"/>
              <w:rPr>
                <w:rFonts w:eastAsia="Times New Roman" w:cs="Times New Roman"/>
                <w:b/>
                <w:iCs/>
                <w:noProof/>
                <w:szCs w:val="24"/>
              </w:rPr>
            </w:pPr>
            <w:r>
              <w:rPr>
                <w:b/>
                <w:iCs/>
                <w:szCs w:val="24"/>
              </w:rPr>
              <w:t>Uzasadnienie wyboru</w:t>
            </w:r>
          </w:p>
        </w:tc>
      </w:tr>
      <w:tr w:rsidR="00F50542" w:rsidRPr="00F50542" w14:paraId="57713DFC" w14:textId="77777777" w:rsidTr="00211043">
        <w:tc>
          <w:tcPr>
            <w:tcW w:w="1787" w:type="dxa"/>
          </w:tcPr>
          <w:p w14:paraId="5BB2B22C" w14:textId="6DFE8B1E" w:rsidR="00F50542" w:rsidRPr="00F8585E" w:rsidRDefault="00F50542" w:rsidP="00CA79B9">
            <w:pPr>
              <w:spacing w:before="60" w:after="60" w:line="240" w:lineRule="auto"/>
              <w:rPr>
                <w:rFonts w:eastAsia="Times New Roman" w:cs="Times New Roman"/>
                <w:b/>
                <w:iCs/>
                <w:noProof/>
                <w:szCs w:val="24"/>
              </w:rPr>
            </w:pPr>
            <w:r>
              <w:t xml:space="preserve">Cel </w:t>
            </w:r>
            <w:r w:rsidR="00CA79B9">
              <w:t xml:space="preserve">specyficzny </w:t>
            </w:r>
            <w:proofErr w:type="spellStart"/>
            <w:r>
              <w:t>Interreg</w:t>
            </w:r>
            <w:proofErr w:type="spellEnd"/>
            <w:r>
              <w:t xml:space="preserve"> zatytułowany „Lepsze zarządzanie współpracą”</w:t>
            </w:r>
          </w:p>
        </w:tc>
        <w:tc>
          <w:tcPr>
            <w:tcW w:w="1402" w:type="dxa"/>
          </w:tcPr>
          <w:p w14:paraId="716A2915" w14:textId="1CD733D9" w:rsidR="00F50542" w:rsidRPr="00B960D7" w:rsidRDefault="004F576B" w:rsidP="00E73281">
            <w:pPr>
              <w:spacing w:before="60" w:after="60" w:line="240" w:lineRule="auto"/>
              <w:rPr>
                <w:rFonts w:eastAsia="'Times New Roman'" w:cs="Times New Roman"/>
              </w:rPr>
            </w:pPr>
            <w:r>
              <w:t>Wzmocnienie zdolności instytucjonalnych władz publicznych</w:t>
            </w:r>
          </w:p>
        </w:tc>
        <w:tc>
          <w:tcPr>
            <w:tcW w:w="1128" w:type="dxa"/>
          </w:tcPr>
          <w:p w14:paraId="10B70870" w14:textId="77777777" w:rsidR="00F50542" w:rsidRPr="00B960D7" w:rsidRDefault="00F50542" w:rsidP="00E73281">
            <w:pPr>
              <w:spacing w:before="60" w:after="60" w:line="240" w:lineRule="auto"/>
              <w:rPr>
                <w:rFonts w:eastAsia="Times New Roman" w:cs="Times New Roman"/>
                <w:iCs/>
                <w:noProof/>
                <w:szCs w:val="24"/>
              </w:rPr>
            </w:pPr>
            <w:r>
              <w:t>Dostawa usługi</w:t>
            </w:r>
          </w:p>
        </w:tc>
        <w:tc>
          <w:tcPr>
            <w:tcW w:w="4745" w:type="dxa"/>
          </w:tcPr>
          <w:p w14:paraId="0DABF27C" w14:textId="0A087088" w:rsidR="00795900" w:rsidRPr="00F8585E" w:rsidRDefault="00A42F95" w:rsidP="00E73281">
            <w:pPr>
              <w:spacing w:before="60" w:after="60" w:line="240" w:lineRule="auto"/>
              <w:rPr>
                <w:rFonts w:cs="Times New Roman"/>
                <w:szCs w:val="24"/>
              </w:rPr>
            </w:pPr>
            <w:r>
              <w:t xml:space="preserve">W przypadku </w:t>
            </w:r>
            <w:proofErr w:type="spellStart"/>
            <w:r>
              <w:t>Interact</w:t>
            </w:r>
            <w:proofErr w:type="spellEnd"/>
            <w:r>
              <w:t xml:space="preserve"> IV, wybór celu polityki został ograniczony do jednego, koncentrując się – zgodnie z rozporządzeniem </w:t>
            </w:r>
            <w:proofErr w:type="spellStart"/>
            <w:r w:rsidR="00C62526">
              <w:t>Interreg</w:t>
            </w:r>
            <w:proofErr w:type="spellEnd"/>
            <w:r w:rsidR="00C62526">
              <w:t xml:space="preserve"> </w:t>
            </w:r>
            <w:r>
              <w:t>– na zwiększeniu skuteczności polityki spójności na terenie całej Unii, szczególną uwag</w:t>
            </w:r>
            <w:r w:rsidR="001F7E55">
              <w:t>ę</w:t>
            </w:r>
            <w:r>
              <w:t xml:space="preserve"> </w:t>
            </w:r>
            <w:r w:rsidR="001F7E55">
              <w:t xml:space="preserve">poświęcając </w:t>
            </w:r>
            <w:r>
              <w:t>program</w:t>
            </w:r>
            <w:r w:rsidR="001F7E55">
              <w:t>om</w:t>
            </w:r>
            <w:r>
              <w:t xml:space="preserve"> </w:t>
            </w:r>
            <w:proofErr w:type="spellStart"/>
            <w:r>
              <w:t>Interreg</w:t>
            </w:r>
            <w:proofErr w:type="spellEnd"/>
            <w:r>
              <w:t>, ale wybiegając także i poza nie.</w:t>
            </w:r>
          </w:p>
          <w:p w14:paraId="18823D2A" w14:textId="41337A02" w:rsidR="00795900" w:rsidRPr="00F8585E" w:rsidRDefault="00A42F95" w:rsidP="00C62526">
            <w:pPr>
              <w:spacing w:before="60" w:after="60" w:line="240" w:lineRule="auto"/>
              <w:rPr>
                <w:rFonts w:eastAsia="'Times New Roman'" w:cs="Times New Roman"/>
                <w:b/>
                <w:szCs w:val="24"/>
              </w:rPr>
            </w:pPr>
            <w:r>
              <w:t xml:space="preserve">Ten rodzaj zwiększonej skuteczności może zostać osiągnięty poprzez budowanie zdolności, w szczególności poprzez identyfikację i ułatwianie transferu dobrych praktyk, dostarczanie wskazówek i wiedzy fachowej w zakresie </w:t>
            </w:r>
            <w:r w:rsidR="00C62526">
              <w:t>likwidacji</w:t>
            </w:r>
            <w:r w:rsidR="001F7E55">
              <w:t xml:space="preserve"> </w:t>
            </w:r>
            <w:r>
              <w:t xml:space="preserve">wąskich gardeł </w:t>
            </w:r>
            <w:r w:rsidR="00C62526">
              <w:t xml:space="preserve">w procesie </w:t>
            </w:r>
            <w:r>
              <w:t xml:space="preserve">wdrażania, a także promowanie innowacyjnych podejść, promowanie europejskich ugrupowań współpracy terytorialnej i wzmacnianie widoczności </w:t>
            </w:r>
            <w:proofErr w:type="spellStart"/>
            <w:r>
              <w:t>Interreg</w:t>
            </w:r>
            <w:proofErr w:type="spellEnd"/>
            <w:r>
              <w:t>.</w:t>
            </w:r>
          </w:p>
        </w:tc>
      </w:tr>
    </w:tbl>
    <w:p w14:paraId="2E63E28F" w14:textId="77777777" w:rsidR="004421D3" w:rsidRPr="00643B66" w:rsidRDefault="004421D3" w:rsidP="004421D3">
      <w:pPr>
        <w:spacing w:before="240" w:after="240" w:line="240" w:lineRule="auto"/>
        <w:ind w:left="360"/>
        <w:jc w:val="both"/>
        <w:rPr>
          <w:rFonts w:eastAsia="Times New Roman" w:cs="Times New Roman"/>
          <w:b/>
          <w:noProof/>
          <w:color w:val="000000"/>
          <w:szCs w:val="24"/>
          <w:lang w:eastAsia="en-GB"/>
        </w:rPr>
      </w:pPr>
    </w:p>
    <w:p w14:paraId="48F76503" w14:textId="77777777" w:rsidR="00F50542" w:rsidRPr="00F50542" w:rsidRDefault="00F50542" w:rsidP="00961DA7">
      <w:pPr>
        <w:numPr>
          <w:ilvl w:val="0"/>
          <w:numId w:val="10"/>
        </w:numPr>
        <w:spacing w:before="240" w:after="240" w:line="240" w:lineRule="auto"/>
        <w:ind w:left="709" w:hanging="709"/>
        <w:jc w:val="both"/>
        <w:rPr>
          <w:rFonts w:eastAsia="Times New Roman" w:cs="Times New Roman"/>
          <w:b/>
          <w:noProof/>
          <w:color w:val="000000"/>
          <w:szCs w:val="24"/>
        </w:rPr>
      </w:pPr>
      <w:r>
        <w:rPr>
          <w:b/>
          <w:color w:val="000000"/>
          <w:szCs w:val="24"/>
        </w:rPr>
        <w:t>Priorytety [300]</w:t>
      </w:r>
    </w:p>
    <w:p w14:paraId="55EAEE7E" w14:textId="29AAB613" w:rsidR="00F50542" w:rsidRDefault="00F50542" w:rsidP="0030017E">
      <w:pPr>
        <w:spacing w:after="200" w:line="276" w:lineRule="auto"/>
        <w:contextualSpacing/>
        <w:jc w:val="both"/>
        <w:rPr>
          <w:rFonts w:eastAsia="Times New Roman" w:cs="Times New Roman"/>
          <w:i/>
          <w:noProof/>
          <w:color w:val="000000"/>
          <w:szCs w:val="24"/>
        </w:rPr>
      </w:pPr>
      <w:r>
        <w:rPr>
          <w:i/>
          <w:color w:val="000000"/>
          <w:szCs w:val="24"/>
        </w:rPr>
        <w:t>Odniesienie: Art. 17(4)(d) oraz (e)</w:t>
      </w:r>
    </w:p>
    <w:p w14:paraId="1517B94B" w14:textId="77777777" w:rsidR="00F04383" w:rsidRPr="00643B66" w:rsidRDefault="00F04383" w:rsidP="0030017E">
      <w:pPr>
        <w:spacing w:after="200" w:line="276" w:lineRule="auto"/>
        <w:contextualSpacing/>
        <w:jc w:val="both"/>
        <w:rPr>
          <w:rFonts w:eastAsia="Times New Roman" w:cs="Times New Roman"/>
          <w:i/>
          <w:noProof/>
          <w:color w:val="000000"/>
          <w:szCs w:val="24"/>
          <w:lang w:eastAsia="en-GB"/>
        </w:rPr>
      </w:pPr>
    </w:p>
    <w:p w14:paraId="30CC3FC6" w14:textId="77777777" w:rsidR="00F50542" w:rsidRPr="00F50542" w:rsidRDefault="00F50542" w:rsidP="00961DA7">
      <w:pPr>
        <w:numPr>
          <w:ilvl w:val="1"/>
          <w:numId w:val="10"/>
        </w:numPr>
        <w:spacing w:before="240" w:after="240" w:line="240" w:lineRule="auto"/>
        <w:ind w:left="709" w:hanging="709"/>
        <w:jc w:val="both"/>
        <w:rPr>
          <w:rFonts w:eastAsia="Times New Roman" w:cs="Times New Roman"/>
          <w:b/>
          <w:noProof/>
          <w:color w:val="000000"/>
          <w:szCs w:val="24"/>
        </w:rPr>
      </w:pPr>
      <w:r>
        <w:rPr>
          <w:b/>
          <w:color w:val="000000"/>
          <w:szCs w:val="24"/>
        </w:rPr>
        <w:t>Tytuł priorytetu</w:t>
      </w:r>
      <w:r>
        <w:rPr>
          <w:color w:val="000000"/>
          <w:szCs w:val="24"/>
        </w:rPr>
        <w:t>(powtórzyć dla każdego oddzielnie)</w:t>
      </w:r>
    </w:p>
    <w:p w14:paraId="26B76D44" w14:textId="77777777"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Odniesienie: Art. 17(4)(d)</w:t>
      </w:r>
    </w:p>
    <w:p w14:paraId="080A94AD" w14:textId="43FCA20C" w:rsidR="00F50542" w:rsidRPr="00F50542" w:rsidRDefault="00F50542" w:rsidP="00F50542">
      <w:pPr>
        <w:spacing w:before="240" w:after="240" w:line="240" w:lineRule="auto"/>
        <w:ind w:left="709" w:hanging="709"/>
        <w:jc w:val="both"/>
        <w:rPr>
          <w:rFonts w:eastAsia="Times New Roman" w:cs="Times New Roman"/>
          <w:iCs/>
          <w:noProof/>
          <w:szCs w:val="24"/>
        </w:rPr>
      </w:pPr>
      <w:r>
        <w:rPr>
          <w:b/>
          <w:iCs/>
          <w:szCs w:val="24"/>
        </w:rPr>
        <w:t>2.1.1.</w:t>
      </w:r>
      <w:r>
        <w:rPr>
          <w:b/>
          <w:iCs/>
          <w:szCs w:val="24"/>
        </w:rPr>
        <w:tab/>
        <w:t xml:space="preserve">Cel szczegółowy  </w:t>
      </w:r>
      <w:r>
        <w:t>(powtórzyć dla każdego wybranego celu szczegółowego, dla priorytetów innych niż pomoc techniczna)</w:t>
      </w:r>
    </w:p>
    <w:p w14:paraId="17AEB443" w14:textId="06ECBF3D" w:rsidR="004F576B" w:rsidRDefault="00F63EE1" w:rsidP="00F50542">
      <w:pPr>
        <w:spacing w:after="200" w:line="276" w:lineRule="auto"/>
        <w:jc w:val="both"/>
        <w:rPr>
          <w:rFonts w:eastAsia="'Times New Roman'"/>
        </w:rPr>
      </w:pPr>
      <w:r>
        <w:t xml:space="preserve">Wzmocnienie zdolności instytucjonalnych władz publicznych </w:t>
      </w:r>
    </w:p>
    <w:p w14:paraId="3DCA28F7" w14:textId="1CA8ED92"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Odniesienie: Art. 17(4)(e)</w:t>
      </w:r>
    </w:p>
    <w:p w14:paraId="0F92613A" w14:textId="5A2372BB" w:rsidR="00F50542" w:rsidRPr="00F50542" w:rsidRDefault="00F50542" w:rsidP="003A7697">
      <w:pPr>
        <w:spacing w:before="240" w:after="240" w:line="240" w:lineRule="auto"/>
        <w:ind w:left="709" w:hanging="709"/>
        <w:rPr>
          <w:rFonts w:eastAsia="Times New Roman" w:cs="Times New Roman"/>
          <w:iCs/>
          <w:noProof/>
          <w:szCs w:val="24"/>
        </w:rPr>
      </w:pPr>
      <w:r>
        <w:rPr>
          <w:b/>
          <w:iCs/>
          <w:szCs w:val="24"/>
        </w:rPr>
        <w:lastRenderedPageBreak/>
        <w:t>2.1.2</w:t>
      </w:r>
      <w:r>
        <w:rPr>
          <w:b/>
          <w:iCs/>
          <w:szCs w:val="24"/>
        </w:rPr>
        <w:tab/>
        <w:t>Powiązane rodzaje działań oraz ich spodziewany wkład w realizację wspomnianych celów szczegółowych oraz strategii makroregionalnych i strategii na rzecz basenu morskiego, w stosownych przypadkach</w:t>
      </w:r>
    </w:p>
    <w:p w14:paraId="7DA8AB35" w14:textId="77777777"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Odniesienie: Art. 17(4)(e)(i), Art. 17(9)(c)(ii)</w:t>
      </w:r>
    </w:p>
    <w:p w14:paraId="363ED0F7" w14:textId="09D7C048" w:rsidR="001D0194" w:rsidRPr="001D0194" w:rsidRDefault="001D0194" w:rsidP="001D0194">
      <w:pPr>
        <w:pStyle w:val="Normalpararaph"/>
        <w:rPr>
          <w:rFonts w:eastAsia="'Times New Roman'"/>
        </w:rPr>
      </w:pPr>
      <w:r>
        <w:t>W ramach celu s</w:t>
      </w:r>
      <w:r w:rsidR="00C62526">
        <w:t xml:space="preserve">pecyficznego </w:t>
      </w:r>
      <w:r>
        <w:t xml:space="preserve"> </w:t>
      </w:r>
      <w:proofErr w:type="spellStart"/>
      <w:r>
        <w:t>Interreg</w:t>
      </w:r>
      <w:proofErr w:type="spellEnd"/>
      <w:r>
        <w:t xml:space="preserve"> „Lepsze zarządzanie</w:t>
      </w:r>
      <w:r w:rsidR="00C62526">
        <w:t xml:space="preserve"> współpracą</w:t>
      </w:r>
      <w:r>
        <w:t xml:space="preserve">” </w:t>
      </w:r>
      <w:proofErr w:type="spellStart"/>
      <w:r>
        <w:t>Interact</w:t>
      </w:r>
      <w:proofErr w:type="spellEnd"/>
      <w:r>
        <w:t xml:space="preserve"> określił </w:t>
      </w:r>
      <w:r w:rsidR="001F7E55">
        <w:t>trzy perspektywy dla</w:t>
      </w:r>
      <w:r>
        <w:t xml:space="preserve"> działa</w:t>
      </w:r>
      <w:r w:rsidR="001F7E55">
        <w:t>ń</w:t>
      </w:r>
      <w:r>
        <w:t xml:space="preserve"> wspierający</w:t>
      </w:r>
      <w:r w:rsidR="001F7E55">
        <w:t>ch</w:t>
      </w:r>
      <w:r>
        <w:t>, mając</w:t>
      </w:r>
      <w:r w:rsidR="007479F5">
        <w:t>ych</w:t>
      </w:r>
      <w:r>
        <w:t xml:space="preserve"> na celu wzmocnienie zdolności instytucjonalnych władz publicznych i </w:t>
      </w:r>
      <w:r w:rsidR="007479F5">
        <w:t>interesariuszy</w:t>
      </w:r>
      <w:r>
        <w:t xml:space="preserve"> do skutecznej realizacji programów </w:t>
      </w:r>
      <w:proofErr w:type="spellStart"/>
      <w:r>
        <w:t>Interreg</w:t>
      </w:r>
      <w:proofErr w:type="spellEnd"/>
      <w:r>
        <w:t xml:space="preserve"> i innych działań w zakresie współpracy. </w:t>
      </w:r>
      <w:r w:rsidR="007479F5">
        <w:t xml:space="preserve">Wzmocnienie to </w:t>
      </w:r>
      <w:r>
        <w:t xml:space="preserve">jest </w:t>
      </w:r>
      <w:r w:rsidR="007479F5">
        <w:t xml:space="preserve">rozumiane </w:t>
      </w:r>
      <w:r>
        <w:t xml:space="preserve">na 3 sposoby: Lepsze i skuteczniejsze zarządzanie procesami i procedurami, lepsza praca w kontekście współpracy oraz poprawa bazy danych i widoczności </w:t>
      </w:r>
      <w:proofErr w:type="spellStart"/>
      <w:r>
        <w:t>Interreg</w:t>
      </w:r>
      <w:proofErr w:type="spellEnd"/>
      <w:r>
        <w:t>.</w:t>
      </w:r>
    </w:p>
    <w:p w14:paraId="68890D5C" w14:textId="4E7483AB" w:rsidR="004D1F9C" w:rsidRDefault="001D0194" w:rsidP="001D0194">
      <w:pPr>
        <w:pStyle w:val="Normalpararaph"/>
      </w:pPr>
      <w:r>
        <w:t xml:space="preserve">Opierając się na doświadczeniu w promowaniu współpracy i koordynacji między różnymi podmiotami wdrażającymi strategie makroregionalne, a w ostatnim okresie angażując się także we wspieranie wdrażania strategii dla basenów morskich, </w:t>
      </w:r>
      <w:proofErr w:type="spellStart"/>
      <w:r>
        <w:t>Interact</w:t>
      </w:r>
      <w:proofErr w:type="spellEnd"/>
      <w:r>
        <w:t xml:space="preserve"> IV zamierza nadal wspierać istniejące </w:t>
      </w:r>
      <w:r w:rsidR="00265889">
        <w:t xml:space="preserve">struktury </w:t>
      </w:r>
      <w:r>
        <w:t xml:space="preserve">terytorialne oraz ich podmioty i </w:t>
      </w:r>
      <w:r w:rsidR="00265889">
        <w:t xml:space="preserve">ich zewnętrzną </w:t>
      </w:r>
      <w:r>
        <w:t xml:space="preserve">orientację, ilekroć przynosi to korzyści dla </w:t>
      </w:r>
      <w:proofErr w:type="spellStart"/>
      <w:r>
        <w:t>Interreg</w:t>
      </w:r>
      <w:proofErr w:type="spellEnd"/>
      <w:r>
        <w:t xml:space="preserve">, oraz promuje współpracę jako skuteczne narzędzie polityki. Obejmuje to </w:t>
      </w:r>
      <w:r w:rsidR="00265889">
        <w:t>propozycje</w:t>
      </w:r>
      <w:r>
        <w:t xml:space="preserve"> budowania potencjału, metody wymiany personelu, modele współpracy i doświadczenia podmiotów w ramach </w:t>
      </w:r>
      <w:proofErr w:type="spellStart"/>
      <w:r>
        <w:t>Interreg</w:t>
      </w:r>
      <w:proofErr w:type="spellEnd"/>
      <w:r>
        <w:t xml:space="preserve"> i poza nim. Działania te osadzono w perspektywach określonych poniżej.</w:t>
      </w:r>
    </w:p>
    <w:p w14:paraId="6CD2767C" w14:textId="41F503C2" w:rsidR="004D1F9C" w:rsidRPr="00E14CE6" w:rsidRDefault="007667A4" w:rsidP="0090281C">
      <w:pPr>
        <w:pStyle w:val="Subtitle1"/>
      </w:pPr>
      <w:r>
        <w:t>a) Wzm</w:t>
      </w:r>
      <w:r w:rsidR="00FB72C0">
        <w:t>a</w:t>
      </w:r>
      <w:r w:rsidR="00524F51">
        <w:t>cnia</w:t>
      </w:r>
      <w:r>
        <w:t xml:space="preserve">nie zdolności zarządzania </w:t>
      </w:r>
      <w:r w:rsidR="00FB72C0">
        <w:t xml:space="preserve">w </w:t>
      </w:r>
      <w:r>
        <w:t>programa</w:t>
      </w:r>
      <w:r w:rsidR="00FB72C0">
        <w:t>ch</w:t>
      </w:r>
      <w:r>
        <w:t xml:space="preserve"> </w:t>
      </w:r>
      <w:proofErr w:type="spellStart"/>
      <w:r>
        <w:t>Interreg</w:t>
      </w:r>
      <w:proofErr w:type="spellEnd"/>
      <w:r>
        <w:t xml:space="preserve"> i </w:t>
      </w:r>
      <w:r w:rsidR="00FB72C0">
        <w:t xml:space="preserve">wśród </w:t>
      </w:r>
      <w:r>
        <w:t>inny</w:t>
      </w:r>
      <w:r w:rsidR="00FB72C0">
        <w:t>ch</w:t>
      </w:r>
      <w:r>
        <w:t xml:space="preserve"> podmiot</w:t>
      </w:r>
      <w:r w:rsidR="00FB72C0">
        <w:t>ów</w:t>
      </w:r>
      <w:r>
        <w:t xml:space="preserve"> współpracy</w:t>
      </w:r>
    </w:p>
    <w:p w14:paraId="61185ABF" w14:textId="3F1A4F3C" w:rsidR="004D1F9C" w:rsidRDefault="001D0194" w:rsidP="00AF1B00">
      <w:pPr>
        <w:pStyle w:val="Normalpararaph"/>
        <w:rPr>
          <w:rFonts w:eastAsia="'Times New Roman'"/>
        </w:rPr>
      </w:pPr>
      <w:r>
        <w:t xml:space="preserve">Ta perspektywa koncentruje się na redukowaniu nieefektywności w zarządzaniu programami </w:t>
      </w:r>
      <w:proofErr w:type="spellStart"/>
      <w:r>
        <w:t>Interreg</w:t>
      </w:r>
      <w:proofErr w:type="spellEnd"/>
      <w:r>
        <w:t xml:space="preserve"> oraz </w:t>
      </w:r>
      <w:r w:rsidR="006E1A50">
        <w:t xml:space="preserve">- za pośrednictwem pilotaży – w </w:t>
      </w:r>
      <w:r>
        <w:t xml:space="preserve">działaniach w zakresie współpracy. Działania w zakresie współpracy zdefiniowano w projekcie rozporządzenia </w:t>
      </w:r>
      <w:r w:rsidR="00FB72C0">
        <w:t>ogólnego</w:t>
      </w:r>
      <w:r>
        <w:t xml:space="preserve"> – Art. 17.3(d)(v) – jako działania międzyregionalne/ponadnarodowe w ramach programów </w:t>
      </w:r>
      <w:r w:rsidR="00942D90">
        <w:t>cel</w:t>
      </w:r>
      <w:r w:rsidR="006E1A50">
        <w:t>u</w:t>
      </w:r>
      <w:r w:rsidR="00942D90">
        <w:t xml:space="preserve"> 1 polityki spójności</w:t>
      </w:r>
      <w:r>
        <w:t xml:space="preserve"> z beneficjentami w co najmniej jednym innym państwie członkowskim i, w stosownych przypadkach –</w:t>
      </w:r>
      <w:r w:rsidR="006E1A50">
        <w:t xml:space="preserve"> </w:t>
      </w:r>
      <w:r>
        <w:t>w państwach trzecich</w:t>
      </w:r>
      <w:r>
        <w:rPr>
          <w:rFonts w:ascii="'Times New Roman'" w:hAnsi="'Times New Roman'"/>
          <w:shd w:val="clear" w:color="auto" w:fill="FFFFFF"/>
        </w:rPr>
        <w:t>.</w:t>
      </w:r>
    </w:p>
    <w:p w14:paraId="11C455ED" w14:textId="77777777" w:rsidR="001D0194" w:rsidRDefault="001D0194" w:rsidP="00577B07">
      <w:pPr>
        <w:pStyle w:val="Normalpararaph"/>
        <w:keepNext/>
      </w:pPr>
      <w:r>
        <w:t>Proponowane działania są pogrupowane w trzech kategoriach:</w:t>
      </w:r>
    </w:p>
    <w:p w14:paraId="342114E7" w14:textId="6E2D7FD0" w:rsidR="001D0194" w:rsidRPr="009D572A" w:rsidRDefault="0012637F" w:rsidP="00577B07">
      <w:pPr>
        <w:pStyle w:val="Bulletedlist1"/>
      </w:pPr>
      <w:r>
        <w:t>Harmonizacja podejść, skupiająca się na interpretacji i harmonizacji zasad, przepływ</w:t>
      </w:r>
      <w:r w:rsidR="00001C8B">
        <w:t>u</w:t>
      </w:r>
      <w:r>
        <w:t xml:space="preserve"> informacji i procedur programów </w:t>
      </w:r>
      <w:proofErr w:type="spellStart"/>
      <w:r>
        <w:t>Interreg</w:t>
      </w:r>
      <w:proofErr w:type="spellEnd"/>
      <w:r>
        <w:t xml:space="preserve"> i innych </w:t>
      </w:r>
      <w:r w:rsidR="00001C8B">
        <w:t>interesariuszy,</w:t>
      </w:r>
      <w:r>
        <w:t xml:space="preserve"> zgodnie z mandatem </w:t>
      </w:r>
      <w:proofErr w:type="spellStart"/>
      <w:r>
        <w:t>Interact</w:t>
      </w:r>
      <w:proofErr w:type="spellEnd"/>
      <w:r>
        <w:t>, w tym pilotażowe pro</w:t>
      </w:r>
      <w:r w:rsidR="00C53213">
        <w:t>jekty</w:t>
      </w:r>
      <w:r>
        <w:t xml:space="preserve"> </w:t>
      </w:r>
      <w:proofErr w:type="spellStart"/>
      <w:r>
        <w:t>harmonizacyjne</w:t>
      </w:r>
      <w:proofErr w:type="spellEnd"/>
      <w:r>
        <w:t xml:space="preserve"> wspierające działania w zakresie współpracy</w:t>
      </w:r>
      <w:r w:rsidR="00E556C5">
        <w:t>, o których mowa powyżej</w:t>
      </w:r>
      <w:r>
        <w:t>.</w:t>
      </w:r>
    </w:p>
    <w:p w14:paraId="742BB769" w14:textId="47B07C66" w:rsidR="001D0194" w:rsidRDefault="0012637F" w:rsidP="00577B07">
      <w:pPr>
        <w:pStyle w:val="Bulletedlist1"/>
      </w:pPr>
      <w:r>
        <w:t xml:space="preserve">Uproszczenie podejść, realizowane w strukturach zarządzających programami </w:t>
      </w:r>
      <w:proofErr w:type="spellStart"/>
      <w:r>
        <w:t>Interreg</w:t>
      </w:r>
      <w:proofErr w:type="spellEnd"/>
      <w:r>
        <w:t xml:space="preserve"> </w:t>
      </w:r>
      <w:r w:rsidR="00E556C5">
        <w:t>w zakresie</w:t>
      </w:r>
      <w:r>
        <w:t xml:space="preserve"> zasad i procedur zarządzania programami i projektami oraz przepływ</w:t>
      </w:r>
      <w:r w:rsidR="00E556C5">
        <w:t>u</w:t>
      </w:r>
      <w:r>
        <w:t xml:space="preserve"> informacji, a także poprzez procesy pilotażowe w działa</w:t>
      </w:r>
      <w:r w:rsidR="00E556C5">
        <w:t>niach</w:t>
      </w:r>
      <w:r>
        <w:t xml:space="preserve"> </w:t>
      </w:r>
      <w:r w:rsidR="00E556C5">
        <w:t xml:space="preserve">w zakresie </w:t>
      </w:r>
      <w:r>
        <w:t>współpracy, o których mowa powyżej.</w:t>
      </w:r>
    </w:p>
    <w:p w14:paraId="227ED658" w14:textId="5E3A3DDA" w:rsidR="001D0194" w:rsidRPr="001D0194" w:rsidRDefault="001D0194" w:rsidP="00577B07">
      <w:pPr>
        <w:pStyle w:val="Bulletedlist1"/>
      </w:pPr>
      <w:r>
        <w:lastRenderedPageBreak/>
        <w:t xml:space="preserve">Efektywne zarządzanie programem, wspierając tym samym cele </w:t>
      </w:r>
      <w:r w:rsidR="00C53213">
        <w:t xml:space="preserve">tzw. </w:t>
      </w:r>
      <w:r>
        <w:t>szczuplejszego zarządzania, jaśniejszego rozgraniczenia ról i obowiązków, lepszej komunikacji wewnętrznej i przejrzystości przepływów.</w:t>
      </w:r>
    </w:p>
    <w:p w14:paraId="0C5B9D31" w14:textId="58A12CA5" w:rsidR="001D0194" w:rsidRPr="001D0194" w:rsidRDefault="001D0194" w:rsidP="00577B07">
      <w:pPr>
        <w:pStyle w:val="Normalpararaph"/>
        <w:rPr>
          <w:rFonts w:eastAsia="'Times New Roman'"/>
        </w:rPr>
      </w:pPr>
      <w:r>
        <w:t xml:space="preserve">W ramach tych trzech kategorii programy </w:t>
      </w:r>
      <w:proofErr w:type="spellStart"/>
      <w:r>
        <w:t>Interreg</w:t>
      </w:r>
      <w:proofErr w:type="spellEnd"/>
      <w:r>
        <w:t xml:space="preserve"> stanowić będą główną grup</w:t>
      </w:r>
      <w:r w:rsidR="00C53213">
        <w:t>ę</w:t>
      </w:r>
      <w:r>
        <w:t xml:space="preserve"> docelową, natomiast wsparcie działań w zakresie współpracy będzie realizowane w oparciu o projekty pilotażowe.  </w:t>
      </w:r>
    </w:p>
    <w:p w14:paraId="2D11E481" w14:textId="67C63ACB" w:rsidR="006360F7" w:rsidRDefault="001D0194" w:rsidP="00577B07">
      <w:pPr>
        <w:pStyle w:val="Normalpararaph"/>
      </w:pPr>
      <w:r>
        <w:t xml:space="preserve">Działania powinny złagodzić </w:t>
      </w:r>
      <w:r w:rsidR="006E1A50">
        <w:t xml:space="preserve">skutki </w:t>
      </w:r>
      <w:r>
        <w:t xml:space="preserve">wąskich gardeł w </w:t>
      </w:r>
      <w:proofErr w:type="spellStart"/>
      <w:r>
        <w:t>Interreg</w:t>
      </w:r>
      <w:proofErr w:type="spellEnd"/>
      <w:r>
        <w:t xml:space="preserve"> i promować korzyści płynące z optymalizacji zarządzania programami. Niektóre z nich doprowadzą do oszczędności budżetowych, inne – do ograniczenia biurokracji i będą ukierunkowane na przesunięcie priorytetu z administracji w stronę jakości usług. Wymaga to skutecznego zaangażowania grup docelowych. W tej perspektywie nacisk nie jest położony na indywidualn</w:t>
      </w:r>
      <w:r w:rsidR="006E1A50">
        <w:t>e podejście</w:t>
      </w:r>
      <w:r>
        <w:t xml:space="preserve">, ale na współpracę w celu wspierania zmiany systemu między programami i określonymi funkcjami zarządzania nimi. Innymi słowy: mobilizowanie i </w:t>
      </w:r>
      <w:r w:rsidR="006E1A50">
        <w:t xml:space="preserve">facylitacja </w:t>
      </w:r>
      <w:r>
        <w:t xml:space="preserve">sieci ekspertów w celu zaangażowania praktyków, ustawodawców i decydentów w rozwiązywanie zidentyfikowanych wąskich gardeł, na przykład poprzez opracowywanie wspólnych narzędzi do zarządzania programami i projektami. W szczególnych przypadkach sieci będą uzupełniane przez ukierunkowane wydarzenia, których celem będzie wymiana, inspiracja i rozpowszechnianie praktyk oraz narzędzi, a także porady na żądanie </w:t>
      </w:r>
      <w:r w:rsidR="00B6103E">
        <w:t xml:space="preserve">dla </w:t>
      </w:r>
      <w:r>
        <w:t xml:space="preserve">określonych programów </w:t>
      </w:r>
      <w:r w:rsidR="00B6103E">
        <w:t>zapewniające</w:t>
      </w:r>
      <w:r>
        <w:t xml:space="preserve"> ukierunkowane wsparci</w:t>
      </w:r>
      <w:r w:rsidR="00B6103E">
        <w:t>e</w:t>
      </w:r>
      <w:r>
        <w:t xml:space="preserve"> w </w:t>
      </w:r>
      <w:r w:rsidR="00B6103E">
        <w:t xml:space="preserve">specyficznych </w:t>
      </w:r>
      <w:r>
        <w:t>kwestiach wdrożeni</w:t>
      </w:r>
      <w:r w:rsidR="00B6103E">
        <w:t>owych</w:t>
      </w:r>
      <w:r>
        <w:t>.</w:t>
      </w:r>
    </w:p>
    <w:p w14:paraId="2277E149" w14:textId="3ACA5BEE" w:rsidR="004D1F9C" w:rsidRPr="00EF691D" w:rsidRDefault="002244D3" w:rsidP="0090281C">
      <w:pPr>
        <w:pStyle w:val="Subtitle1"/>
      </w:pPr>
      <w:r>
        <w:t>b) Wzmocnienie zdolności do pracy w programach współpracy</w:t>
      </w:r>
    </w:p>
    <w:p w14:paraId="6C0A7EBD" w14:textId="713069DB" w:rsidR="006C3E87" w:rsidRDefault="001D0194" w:rsidP="00577B07">
      <w:pPr>
        <w:pStyle w:val="Normalpararaph"/>
        <w:rPr>
          <w:rFonts w:eastAsia="'Times New Roman'"/>
        </w:rPr>
      </w:pPr>
      <w:r>
        <w:t>W tej perspektywie skupiono się na umożliwieni</w:t>
      </w:r>
      <w:r w:rsidR="00F55115">
        <w:t>u</w:t>
      </w:r>
      <w:r>
        <w:t xml:space="preserve"> podmiotom zaangażowanym w zarządzanie</w:t>
      </w:r>
      <w:r w:rsidR="006E1A50">
        <w:t xml:space="preserve"> i</w:t>
      </w:r>
      <w:r>
        <w:t xml:space="preserve"> wdrażanie programów </w:t>
      </w:r>
      <w:proofErr w:type="spellStart"/>
      <w:r>
        <w:t>Interreg</w:t>
      </w:r>
      <w:proofErr w:type="spellEnd"/>
      <w:r>
        <w:t xml:space="preserve"> </w:t>
      </w:r>
      <w:r w:rsidR="006E1A50">
        <w:t>oraz</w:t>
      </w:r>
      <w:r>
        <w:t xml:space="preserve"> – poprzez p</w:t>
      </w:r>
      <w:r w:rsidR="006E1A50">
        <w:t>ilotaże</w:t>
      </w:r>
      <w:r>
        <w:t xml:space="preserve"> – </w:t>
      </w:r>
      <w:r w:rsidR="006E1A50">
        <w:t xml:space="preserve">w działania w zakresie </w:t>
      </w:r>
      <w:r>
        <w:t>współprac</w:t>
      </w:r>
      <w:r w:rsidR="006E1A50">
        <w:t>y</w:t>
      </w:r>
      <w:r>
        <w:t xml:space="preserve">, kierowania programami/działaniami </w:t>
      </w:r>
      <w:r w:rsidR="00753B10">
        <w:t xml:space="preserve">w zakresie współpracy </w:t>
      </w:r>
      <w:r>
        <w:t>oraz zasobami ludzkimi w lepszy, bardziej inspirujący lub wizjonerski sposób.</w:t>
      </w:r>
    </w:p>
    <w:p w14:paraId="0BE07439" w14:textId="77777777" w:rsidR="00074D8C" w:rsidRPr="00074D8C" w:rsidRDefault="00074D8C" w:rsidP="00577B07">
      <w:pPr>
        <w:pStyle w:val="Normalpararaph"/>
        <w:keepNext/>
        <w:rPr>
          <w:rFonts w:eastAsia="'Times New Roman'"/>
        </w:rPr>
      </w:pPr>
      <w:r>
        <w:t>Proponowane działania są pogrupowane w trzech kategoriach:</w:t>
      </w:r>
    </w:p>
    <w:p w14:paraId="3CD75BD0" w14:textId="4D626A45" w:rsidR="00074D8C" w:rsidRPr="00EC6A8B" w:rsidRDefault="00074D8C" w:rsidP="00577B07">
      <w:pPr>
        <w:pStyle w:val="Bulletedlist1"/>
        <w:rPr>
          <w:rFonts w:eastAsia="'Times New Roman'"/>
        </w:rPr>
      </w:pPr>
      <w:r>
        <w:t xml:space="preserve">Wiedza i kompetencje instytucjonalne wspierające naukę i rozwój osób pracujących w programach </w:t>
      </w:r>
      <w:proofErr w:type="spellStart"/>
      <w:r>
        <w:t>Interreg</w:t>
      </w:r>
      <w:proofErr w:type="spellEnd"/>
      <w:r>
        <w:t xml:space="preserve"> oraz szerszym kontekście współpracy. Chodzi o rozwijanie umiejętności lepszego zarządzania program</w:t>
      </w:r>
      <w:r w:rsidR="00F55115">
        <w:t>ami</w:t>
      </w:r>
      <w:r>
        <w:t xml:space="preserve"> i projekt</w:t>
      </w:r>
      <w:r w:rsidR="00F55115">
        <w:t>ami</w:t>
      </w:r>
      <w:r>
        <w:t xml:space="preserve"> oraz wzmacnianie wiedzy i umiejętności specjalistycznych w zakresie nowych sposobów zarządzania współpracą między programami/instrumentami finansowania.</w:t>
      </w:r>
    </w:p>
    <w:p w14:paraId="2CEA21BE" w14:textId="13FE6038" w:rsidR="00074D8C" w:rsidRPr="00EC6A8B" w:rsidRDefault="00074D8C" w:rsidP="00577B07">
      <w:pPr>
        <w:pStyle w:val="Bulletedlist1"/>
        <w:rPr>
          <w:rFonts w:eastAsia="'Times New Roman'"/>
        </w:rPr>
      </w:pPr>
      <w:r>
        <w:t xml:space="preserve">Wzmocnienie współpracy i umiejętności koordynacyjnych między podmiotami programu </w:t>
      </w:r>
      <w:proofErr w:type="spellStart"/>
      <w:r>
        <w:t>Interreg</w:t>
      </w:r>
      <w:proofErr w:type="spellEnd"/>
      <w:r>
        <w:t xml:space="preserve"> (w tym EUWT) oraz podmiotami zaangażowanymi w zarządzanie i wdrażanie ram i inicjatyw zarządzania terytorialnego </w:t>
      </w:r>
      <w:r>
        <w:rPr>
          <w:shd w:val="clear" w:color="auto" w:fill="FFFFFF"/>
        </w:rPr>
        <w:t xml:space="preserve">(na przykład </w:t>
      </w:r>
      <w:r w:rsidR="00F55115">
        <w:rPr>
          <w:shd w:val="clear" w:color="auto" w:fill="FFFFFF"/>
        </w:rPr>
        <w:t>strategie makroregionalne</w:t>
      </w:r>
      <w:r>
        <w:rPr>
          <w:shd w:val="clear" w:color="auto" w:fill="FFFFFF"/>
        </w:rPr>
        <w:t xml:space="preserve"> i </w:t>
      </w:r>
      <w:r w:rsidR="00C75B81">
        <w:rPr>
          <w:shd w:val="clear" w:color="auto" w:fill="FFFFFF"/>
        </w:rPr>
        <w:lastRenderedPageBreak/>
        <w:t>strategie dla basenów morskich</w:t>
      </w:r>
      <w:r>
        <w:rPr>
          <w:shd w:val="clear" w:color="auto" w:fill="FFFFFF"/>
        </w:rPr>
        <w:t>)</w:t>
      </w:r>
      <w:r>
        <w:rPr>
          <w:rFonts w:ascii="'Times New Roman'" w:hAnsi="'Times New Roman'"/>
        </w:rPr>
        <w:t>.</w:t>
      </w:r>
      <w:r>
        <w:t xml:space="preserve"> Cel </w:t>
      </w:r>
      <w:r w:rsidR="00942D90">
        <w:t xml:space="preserve">1 polityki spójności (programy krajowe i regionalne) </w:t>
      </w:r>
      <w:r>
        <w:t xml:space="preserve"> będzie wspierany poprzez działania pilotażowe.</w:t>
      </w:r>
    </w:p>
    <w:p w14:paraId="2D1D2E12" w14:textId="352901B5" w:rsidR="00074D8C" w:rsidRPr="00074D8C" w:rsidRDefault="00074D8C" w:rsidP="00577B07">
      <w:pPr>
        <w:pStyle w:val="Bulletedlist1"/>
        <w:rPr>
          <w:rFonts w:eastAsia="'Times New Roman'"/>
        </w:rPr>
      </w:pPr>
      <w:r>
        <w:t>Innowacyjne podejścia wspierające działania promujące innowacyjne narzędzia i metody w kontekście / do celów współpracy.</w:t>
      </w:r>
    </w:p>
    <w:p w14:paraId="25EF85D7" w14:textId="322C8CB9" w:rsidR="004D1F9C" w:rsidRDefault="00074D8C" w:rsidP="00B72E33">
      <w:pPr>
        <w:pStyle w:val="Normalpararaph"/>
      </w:pPr>
      <w:r>
        <w:t xml:space="preserve">Punktem wyjścia jest poszerzenie zakresu umiejętności poszczególnych </w:t>
      </w:r>
      <w:r w:rsidR="00753B10">
        <w:t xml:space="preserve">specjalistów </w:t>
      </w:r>
      <w:r>
        <w:t xml:space="preserve">tworzących organizacje. Nacisk kładzie się tutaj na rozwój i umożliwienie jednostkom lepszego wykonywania swojej lub innej pracy, wykorzystywania innowacyjności i kreatywności nie tylko w kontekście </w:t>
      </w:r>
      <w:proofErr w:type="spellStart"/>
      <w:r>
        <w:t>Interreg</w:t>
      </w:r>
      <w:proofErr w:type="spellEnd"/>
      <w:r>
        <w:t>, ale także w innych aspektach współpracy i działań. Tym samym celem stają się również zmiany w kulturze</w:t>
      </w:r>
      <w:r w:rsidR="00753B10">
        <w:t xml:space="preserve"> </w:t>
      </w:r>
      <w:r>
        <w:t xml:space="preserve">organizacyjnej/instytucjonalnej. Osiągnięcie tego wymaga działań opartych zarówno o szkolenia, jak i eksperymentowanie, a także opracowanie narzędzi wspierających te działania. Szkolenia (bezpośrednie i internetowe) będą dotyczyły potrzeb </w:t>
      </w:r>
      <w:r w:rsidR="00753B10">
        <w:t xml:space="preserve">specjalistów </w:t>
      </w:r>
      <w:r>
        <w:t>i obejmą różne funkcje w zakresie ciągłego kształcenia się i rozwoju. Ukierunkowane grupy robocze i działania oparte na modelu „</w:t>
      </w:r>
      <w:proofErr w:type="spellStart"/>
      <w:r>
        <w:t>peer</w:t>
      </w:r>
      <w:proofErr w:type="spellEnd"/>
      <w:r>
        <w:t>-to-</w:t>
      </w:r>
      <w:proofErr w:type="spellStart"/>
      <w:r>
        <w:t>peer</w:t>
      </w:r>
      <w:proofErr w:type="spellEnd"/>
      <w:r>
        <w:t>” przetestują i opracują nowe metody, narzędzia i podejścia w kontekście/programach współpracy.</w:t>
      </w:r>
    </w:p>
    <w:p w14:paraId="70EE40C6" w14:textId="721F5950" w:rsidR="004D1F9C" w:rsidRPr="00B72E33" w:rsidRDefault="006741D4" w:rsidP="0090281C">
      <w:pPr>
        <w:pStyle w:val="Subtitle1"/>
      </w:pPr>
      <w:r>
        <w:t xml:space="preserve">c) Wzmocnienie zdolności do </w:t>
      </w:r>
      <w:r w:rsidR="00753B10">
        <w:t xml:space="preserve">utrwalania </w:t>
      </w:r>
      <w:r>
        <w:t>i komunikowania wyników programu oraz do zwiększania widoczności</w:t>
      </w:r>
    </w:p>
    <w:p w14:paraId="4B9AD24E" w14:textId="77777777" w:rsidR="009D572A" w:rsidRPr="009D572A" w:rsidRDefault="009D572A" w:rsidP="009D572A">
      <w:pPr>
        <w:pStyle w:val="Normalpararaph"/>
        <w:rPr>
          <w:rFonts w:eastAsia="'Times New Roman'"/>
        </w:rPr>
      </w:pPr>
      <w:r>
        <w:t xml:space="preserve">Ta perspektywa ma na celu skupienie się na poszerzeniu bazy dowodowej wyników </w:t>
      </w:r>
      <w:proofErr w:type="spellStart"/>
      <w:r>
        <w:t>Interreg</w:t>
      </w:r>
      <w:proofErr w:type="spellEnd"/>
      <w:r>
        <w:t xml:space="preserve"> a także uczynieniu osiągnięć tych programów oraz procesu współpracy bardziej widocznymi dla wszystkich grup docelowych, w tym obywateli i decydentów.</w:t>
      </w:r>
    </w:p>
    <w:p w14:paraId="70B36144" w14:textId="77777777" w:rsidR="009D572A" w:rsidRPr="009D572A" w:rsidRDefault="009D572A" w:rsidP="00577B07">
      <w:pPr>
        <w:pStyle w:val="Normalpararaph"/>
        <w:keepNext/>
        <w:rPr>
          <w:rFonts w:eastAsia="'Times New Roman'"/>
        </w:rPr>
      </w:pPr>
      <w:r>
        <w:t>Proponowane działania są pogrupowane w trzech kategoriach:</w:t>
      </w:r>
    </w:p>
    <w:p w14:paraId="2CA7575B" w14:textId="37267717" w:rsidR="009D572A" w:rsidRPr="009D572A" w:rsidRDefault="009D572A" w:rsidP="00577B07">
      <w:pPr>
        <w:pStyle w:val="Bulletedlist1"/>
        <w:rPr>
          <w:rFonts w:eastAsia="'Times New Roman'"/>
        </w:rPr>
      </w:pPr>
      <w:r>
        <w:t xml:space="preserve">Budowanie i gromadzenie wiedzy tematycznej i świadomości wyników, agregacja i analiza wyników </w:t>
      </w:r>
      <w:proofErr w:type="spellStart"/>
      <w:r>
        <w:t>Interreg</w:t>
      </w:r>
      <w:proofErr w:type="spellEnd"/>
      <w:r>
        <w:t xml:space="preserve"> oraz promowanie koordynacji i kapitalizacji jako głównego procesu zarządzania w programach</w:t>
      </w:r>
      <w:r>
        <w:rPr>
          <w:rFonts w:ascii="'Times New Roman'" w:hAnsi="'Times New Roman'"/>
        </w:rPr>
        <w:t>.</w:t>
      </w:r>
    </w:p>
    <w:p w14:paraId="2ACEF608" w14:textId="2B2519E1" w:rsidR="009D572A" w:rsidRPr="009D572A" w:rsidRDefault="009D572A" w:rsidP="00577B07">
      <w:pPr>
        <w:pStyle w:val="Bulletedlist1"/>
        <w:rPr>
          <w:rFonts w:eastAsia="'Times New Roman'"/>
        </w:rPr>
      </w:pPr>
      <w:r>
        <w:t>Metoda komunikacji wyników, w ramach której poszukuje się rozwiązań z zakresu integracji komunikacji w cyklu życia programu, a także samej komunikacji i promocji wyników oraz budowania wiedzy o tym, co i komu promować.</w:t>
      </w:r>
    </w:p>
    <w:p w14:paraId="60C15EAE" w14:textId="4ACB1FBF" w:rsidR="009D572A" w:rsidRPr="009D572A" w:rsidRDefault="009D572A" w:rsidP="00577B07">
      <w:pPr>
        <w:pStyle w:val="Bulletedlist1"/>
        <w:rPr>
          <w:rFonts w:eastAsia="'Times New Roman'"/>
        </w:rPr>
      </w:pPr>
      <w:r>
        <w:t xml:space="preserve">Widoczność </w:t>
      </w:r>
      <w:proofErr w:type="spellStart"/>
      <w:r>
        <w:t>Interreg</w:t>
      </w:r>
      <w:proofErr w:type="spellEnd"/>
      <w:r>
        <w:t xml:space="preserve">, promowanie komunikacji strategicznej, wdrażanie wspólnych inicjatyw w celu dotarcia do odpowiednich podmiotów, ogólna widoczność </w:t>
      </w:r>
      <w:proofErr w:type="spellStart"/>
      <w:r>
        <w:t>Interreg</w:t>
      </w:r>
      <w:proofErr w:type="spellEnd"/>
      <w:r>
        <w:t xml:space="preserve"> na odpowiednich forach oraz konceptualizacja procesów współpracy.</w:t>
      </w:r>
    </w:p>
    <w:p w14:paraId="5A4401C4" w14:textId="36DA333D" w:rsidR="009D572A" w:rsidRDefault="009D572A" w:rsidP="009D572A">
      <w:pPr>
        <w:pStyle w:val="Normalpararaph"/>
        <w:rPr>
          <w:rFonts w:eastAsia="'Times New Roman'"/>
        </w:rPr>
      </w:pPr>
      <w:r>
        <w:t>Na potrzeby zidentyfikowanych działań za punkt wyjścia</w:t>
      </w:r>
      <w:r w:rsidR="00CF0AC6">
        <w:t xml:space="preserve"> przyjmuje się </w:t>
      </w:r>
      <w:proofErr w:type="spellStart"/>
      <w:r w:rsidR="00CF0AC6">
        <w:t>Interreg</w:t>
      </w:r>
      <w:proofErr w:type="spellEnd"/>
      <w:r w:rsidR="00CF0AC6">
        <w:t xml:space="preserve"> jako całość</w:t>
      </w:r>
      <w:r>
        <w:t xml:space="preserve">. </w:t>
      </w:r>
      <w:r w:rsidR="00CF0AC6">
        <w:t xml:space="preserve">Koncentracja </w:t>
      </w:r>
      <w:r>
        <w:t>jest kierowan</w:t>
      </w:r>
      <w:r w:rsidR="00CF0AC6">
        <w:t>a</w:t>
      </w:r>
      <w:r>
        <w:t xml:space="preserve"> </w:t>
      </w:r>
      <w:r w:rsidR="00CF0AC6">
        <w:t xml:space="preserve">nie </w:t>
      </w:r>
      <w:r>
        <w:t xml:space="preserve">w stronę konkretnych osób, funkcji lub organizacji, ale w stronę instrumentu jako całości. Takie podejście wymaga działań, które wzmacniają cel. Podnoszenie ogólnego profilu i widoczności poprzez przeprowadzanie ukierunkowanych analiz, prowadzenie sieci tematycznych w celu pogłębienia zrozumienia wyników i wartości </w:t>
      </w:r>
      <w:r>
        <w:lastRenderedPageBreak/>
        <w:t xml:space="preserve">dodanej </w:t>
      </w:r>
      <w:proofErr w:type="spellStart"/>
      <w:r>
        <w:t>Interreg</w:t>
      </w:r>
      <w:proofErr w:type="spellEnd"/>
      <w:r>
        <w:t xml:space="preserve"> w szerszym kontekście polityki spójności, jest tutaj podstawowym założeniem. </w:t>
      </w:r>
      <w:r w:rsidR="00CF0AC6">
        <w:t>Promowane jest u</w:t>
      </w:r>
      <w:r>
        <w:t>kierunkowane docieranie do interesariuszy poprzez konferencje, narzędzia internetowe i kampanie promocyjne oraz wzmacnianie kapitalizacji i komunikacji strategicznej jako zintegrowan</w:t>
      </w:r>
      <w:r w:rsidR="00AC0885">
        <w:t>ych</w:t>
      </w:r>
      <w:r>
        <w:t xml:space="preserve"> funkcj</w:t>
      </w:r>
      <w:r w:rsidR="00AC0885">
        <w:t>i</w:t>
      </w:r>
      <w:r>
        <w:t xml:space="preserve"> poprzez seminaria i warsztaty.</w:t>
      </w:r>
    </w:p>
    <w:p w14:paraId="53F30ABD" w14:textId="77777777" w:rsidR="00AF5A78" w:rsidRPr="00AF5A78" w:rsidRDefault="00AF5A78" w:rsidP="00AF5A78">
      <w:pPr>
        <w:spacing w:before="240" w:after="240" w:line="240" w:lineRule="auto"/>
        <w:jc w:val="both"/>
        <w:rPr>
          <w:rFonts w:eastAsia="Times New Roman"/>
          <w:b/>
          <w:i/>
          <w:iCs/>
          <w:noProof/>
          <w:szCs w:val="24"/>
        </w:rPr>
      </w:pPr>
      <w:r>
        <w:rPr>
          <w:b/>
          <w:i/>
          <w:iCs/>
          <w:szCs w:val="24"/>
        </w:rPr>
        <w:t xml:space="preserve">W przypadku programów INTERACT </w:t>
      </w:r>
      <w:r>
        <w:rPr>
          <w:b/>
          <w:szCs w:val="24"/>
        </w:rPr>
        <w:t xml:space="preserve">i </w:t>
      </w:r>
      <w:r>
        <w:rPr>
          <w:b/>
          <w:i/>
          <w:iCs/>
          <w:szCs w:val="24"/>
        </w:rPr>
        <w:t>ESPON:</w:t>
      </w:r>
    </w:p>
    <w:p w14:paraId="2DEFE235" w14:textId="77777777" w:rsidR="00AF5A78" w:rsidRPr="00AF5A78" w:rsidRDefault="00AF5A78" w:rsidP="00AF5A78">
      <w:pPr>
        <w:spacing w:before="240" w:after="240" w:line="240" w:lineRule="auto"/>
        <w:jc w:val="both"/>
        <w:rPr>
          <w:rFonts w:eastAsia="Times New Roman"/>
          <w:i/>
          <w:noProof/>
          <w:color w:val="000000"/>
          <w:szCs w:val="24"/>
        </w:rPr>
      </w:pPr>
      <w:r>
        <w:rPr>
          <w:i/>
          <w:color w:val="000000"/>
          <w:szCs w:val="24"/>
        </w:rPr>
        <w:t>W odniesieniu do Art. 17(9)(c)(i)</w:t>
      </w:r>
    </w:p>
    <w:p w14:paraId="76D10A62" w14:textId="6BEC8140" w:rsidR="00795900" w:rsidRPr="00EA20A5" w:rsidRDefault="00A42F95" w:rsidP="00F8585E">
      <w:pPr>
        <w:pStyle w:val="Subtitle1"/>
        <w:rPr>
          <w:rFonts w:eastAsia="'Times New Roman'"/>
          <w:b w:val="0"/>
          <w:i/>
        </w:rPr>
      </w:pPr>
      <w:r>
        <w:rPr>
          <w:b w:val="0"/>
          <w:i/>
        </w:rPr>
        <w:t>Definicja pojedynczego beneficjenta lub ograniczona lista beneficjentów i procedura przyzna</w:t>
      </w:r>
      <w:r w:rsidR="00125B61">
        <w:rPr>
          <w:b w:val="0"/>
          <w:i/>
        </w:rPr>
        <w:t>wania środków</w:t>
      </w:r>
      <w:r>
        <w:rPr>
          <w:b w:val="0"/>
          <w:i/>
        </w:rPr>
        <w:t xml:space="preserve"> (Art. 17(9)(c)(i))</w:t>
      </w:r>
    </w:p>
    <w:p w14:paraId="4C885181" w14:textId="3A88B31F" w:rsidR="00795900" w:rsidRPr="00607E61" w:rsidRDefault="00A42F95" w:rsidP="00607E61">
      <w:pPr>
        <w:pStyle w:val="Normalpararaph"/>
      </w:pPr>
      <w:r>
        <w:t xml:space="preserve">Rozległa wiedza i doświadczenie zdobywane przez </w:t>
      </w:r>
      <w:proofErr w:type="spellStart"/>
      <w:r>
        <w:t>Interact</w:t>
      </w:r>
      <w:proofErr w:type="spellEnd"/>
      <w:r>
        <w:t xml:space="preserve"> od 2003 roku jest głównym atutem i kluczem do sukcesu organizacji. Aby zachować tę wiedzę, stali beneficjenci </w:t>
      </w:r>
      <w:proofErr w:type="spellStart"/>
      <w:r>
        <w:t>Interact</w:t>
      </w:r>
      <w:proofErr w:type="spellEnd"/>
      <w:r>
        <w:t xml:space="preserve"> powinni być utrzymywani, a nowe grono – stale powiększane. W rozumieniu Rozporządzenia nie </w:t>
      </w:r>
      <w:r w:rsidR="00125B61">
        <w:t>będą</w:t>
      </w:r>
      <w:r>
        <w:t xml:space="preserve"> wybierane żadne dodatkowe operacje ani beneficjenci, tj. odbiorcy dotacji. Założenia </w:t>
      </w:r>
      <w:proofErr w:type="spellStart"/>
      <w:r>
        <w:t>Interact</w:t>
      </w:r>
      <w:proofErr w:type="spellEnd"/>
      <w:r>
        <w:t xml:space="preserve"> IV będą kontynuowane z ograniczoną liczbą beneficjentów. Świadczenie usług w ramach programu, z udziałem wszystkich grup docelowych</w:t>
      </w:r>
      <w:r w:rsidR="00AC0885">
        <w:t>,</w:t>
      </w:r>
      <w:r>
        <w:t xml:space="preserve"> realizować będą wyłącznie czterej zdecentralizowani beneficjenci zidentyfikowani w ramach poprzedniego programu </w:t>
      </w:r>
      <w:proofErr w:type="spellStart"/>
      <w:r>
        <w:t>Interact</w:t>
      </w:r>
      <w:proofErr w:type="spellEnd"/>
      <w:r>
        <w:t xml:space="preserve"> III (stałe biura </w:t>
      </w:r>
      <w:proofErr w:type="spellStart"/>
      <w:r>
        <w:t>Interact</w:t>
      </w:r>
      <w:proofErr w:type="spellEnd"/>
      <w:r>
        <w:t xml:space="preserve"> z siedzibami w Turku, Walencji, Viborgu i Wiedniu). Wszystkie te cztery biura uczestniczyły w </w:t>
      </w:r>
      <w:r w:rsidR="00AC0885">
        <w:t>p</w:t>
      </w:r>
      <w:r>
        <w:t xml:space="preserve">rogramie </w:t>
      </w:r>
      <w:proofErr w:type="spellStart"/>
      <w:r>
        <w:t>Interact</w:t>
      </w:r>
      <w:proofErr w:type="spellEnd"/>
      <w:r>
        <w:t xml:space="preserve"> niemal od momentu jego uruchomienia i przez lata dowiodły, że mają wystarczające możliwości, aby świadczyć wysokiej jakości usługi oraz, że mogą szybko dostosować się do nowych wyzwań, jeśli zajdzie taka potrzeba. Wszystkie działania (</w:t>
      </w:r>
      <w:proofErr w:type="spellStart"/>
      <w:r>
        <w:t>Interact</w:t>
      </w:r>
      <w:proofErr w:type="spellEnd"/>
      <w:r>
        <w:t xml:space="preserve"> IV nie będzie wybierać i wdrażać projektów w zwykłym rozumieniu </w:t>
      </w:r>
      <w:proofErr w:type="spellStart"/>
      <w:r>
        <w:t>Interreg</w:t>
      </w:r>
      <w:proofErr w:type="spellEnd"/>
      <w:r>
        <w:t xml:space="preserve">) będą przez nie prowadzone zgodnie z rocznym planem pracy opartym na potrzebach grup docelowych – zatwierdzonym i monitorowanym przez Komitet Monitorujący </w:t>
      </w:r>
      <w:proofErr w:type="spellStart"/>
      <w:r>
        <w:t>Interact</w:t>
      </w:r>
      <w:proofErr w:type="spellEnd"/>
      <w:r>
        <w:t xml:space="preserve">. Dlatego też beneficjentów </w:t>
      </w:r>
      <w:proofErr w:type="spellStart"/>
      <w:r>
        <w:t>Interact</w:t>
      </w:r>
      <w:proofErr w:type="spellEnd"/>
      <w:r>
        <w:t xml:space="preserve"> można zdefiniować jako te instytucje publiczne, którym państwa członkowskie</w:t>
      </w:r>
      <w:r w:rsidR="00AC0885">
        <w:t xml:space="preserve"> powierzyły realizację całego programu</w:t>
      </w:r>
      <w:r>
        <w:t xml:space="preserve">, poprzez działania prowadzone przez ich cztery biura regionalne, w odniesieniu do funkcji zarządczych Instytucji Zarządzającej </w:t>
      </w:r>
      <w:proofErr w:type="spellStart"/>
      <w:r>
        <w:t>Interact</w:t>
      </w:r>
      <w:proofErr w:type="spellEnd"/>
      <w:r>
        <w:t xml:space="preserve">. Wspólna polityka kadrowa biur </w:t>
      </w:r>
      <w:proofErr w:type="spellStart"/>
      <w:r>
        <w:t>Interact</w:t>
      </w:r>
      <w:proofErr w:type="spellEnd"/>
      <w:r>
        <w:t xml:space="preserve"> będzie również koncentrować się na utrzymywaniu i rozwijaniu wiedzy oraz umiejętności, co stanowi jej najważniejszy atut.</w:t>
      </w:r>
    </w:p>
    <w:p w14:paraId="24AB9E1A" w14:textId="7F19DCAF" w:rsidR="00A42F95" w:rsidRDefault="00A42F95" w:rsidP="00671B0E">
      <w:pPr>
        <w:keepNext/>
        <w:spacing w:before="240" w:after="240" w:line="240" w:lineRule="auto"/>
        <w:ind w:left="709" w:hanging="709"/>
        <w:jc w:val="both"/>
        <w:rPr>
          <w:rFonts w:eastAsia="Times New Roman" w:cs="Times New Roman"/>
          <w:b/>
          <w:iCs/>
          <w:noProof/>
          <w:szCs w:val="24"/>
        </w:rPr>
      </w:pPr>
      <w:r>
        <w:rPr>
          <w:b/>
          <w:iCs/>
          <w:szCs w:val="24"/>
        </w:rPr>
        <w:lastRenderedPageBreak/>
        <w:t>2.1.3</w:t>
      </w:r>
      <w:r>
        <w:rPr>
          <w:b/>
          <w:iCs/>
          <w:szCs w:val="24"/>
        </w:rPr>
        <w:tab/>
        <w:t>Wskaźniki</w:t>
      </w:r>
    </w:p>
    <w:p w14:paraId="66DD15EC" w14:textId="77777777" w:rsidR="00A42F95" w:rsidRDefault="00A42F95" w:rsidP="00671B0E">
      <w:pPr>
        <w:keepNext/>
        <w:spacing w:line="240" w:lineRule="auto"/>
        <w:jc w:val="both"/>
        <w:rPr>
          <w:rFonts w:eastAsia="Times New Roman" w:cs="Times New Roman"/>
          <w:i/>
          <w:noProof/>
          <w:color w:val="000000"/>
          <w:szCs w:val="24"/>
        </w:rPr>
      </w:pPr>
      <w:r>
        <w:rPr>
          <w:i/>
          <w:color w:val="000000"/>
          <w:szCs w:val="24"/>
        </w:rPr>
        <w:t>Odniesienie: Art. 17(4)(e)(ii), Art. 17(9)(c)(iii)</w:t>
      </w:r>
    </w:p>
    <w:p w14:paraId="4A9EEDB4" w14:textId="77777777" w:rsidR="00A42F95" w:rsidRDefault="00A42F95" w:rsidP="00671B0E">
      <w:pPr>
        <w:keepNext/>
        <w:spacing w:before="240" w:after="240" w:line="240" w:lineRule="auto"/>
        <w:rPr>
          <w:rFonts w:eastAsia="Times New Roman" w:cs="Times New Roman"/>
          <w:iCs/>
          <w:noProof/>
          <w:szCs w:val="24"/>
        </w:rPr>
      </w:pPr>
      <w:r>
        <w:t>Tabela 2: Wskaźniki produktu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07"/>
        <w:gridCol w:w="1200"/>
        <w:gridCol w:w="862"/>
        <w:gridCol w:w="2303"/>
        <w:gridCol w:w="1247"/>
        <w:gridCol w:w="1262"/>
        <w:gridCol w:w="1505"/>
      </w:tblGrid>
      <w:tr w:rsidR="00A42F95" w14:paraId="62DE8C88" w14:textId="77777777" w:rsidTr="00607E61">
        <w:trPr>
          <w:cantSplit/>
          <w:tblHeader/>
        </w:trPr>
        <w:tc>
          <w:tcPr>
            <w:tcW w:w="796" w:type="dxa"/>
          </w:tcPr>
          <w:p w14:paraId="4E11EC9B" w14:textId="77777777" w:rsidR="00A42F95" w:rsidRPr="00716193" w:rsidRDefault="00A42F95" w:rsidP="00E73281">
            <w:pPr>
              <w:pStyle w:val="Text1"/>
              <w:keepNext/>
              <w:spacing w:before="60" w:after="60"/>
              <w:ind w:left="0"/>
              <w:jc w:val="left"/>
              <w:rPr>
                <w:b/>
                <w:noProof/>
                <w:sz w:val="17"/>
                <w:szCs w:val="17"/>
              </w:rPr>
            </w:pPr>
            <w:r>
              <w:rPr>
                <w:b/>
                <w:sz w:val="17"/>
                <w:szCs w:val="17"/>
              </w:rPr>
              <w:t xml:space="preserve">Priorytet </w:t>
            </w:r>
          </w:p>
        </w:tc>
        <w:tc>
          <w:tcPr>
            <w:tcW w:w="1184" w:type="dxa"/>
          </w:tcPr>
          <w:p w14:paraId="20AEC476" w14:textId="77777777" w:rsidR="00A42F95" w:rsidRPr="00716193" w:rsidRDefault="00A42F95" w:rsidP="00E73281">
            <w:pPr>
              <w:pStyle w:val="Text1"/>
              <w:spacing w:before="60" w:after="60"/>
              <w:ind w:left="0"/>
              <w:jc w:val="left"/>
              <w:rPr>
                <w:b/>
                <w:noProof/>
                <w:sz w:val="17"/>
                <w:szCs w:val="17"/>
              </w:rPr>
            </w:pPr>
            <w:r>
              <w:rPr>
                <w:b/>
                <w:sz w:val="17"/>
                <w:szCs w:val="17"/>
              </w:rPr>
              <w:t>Cel szczegółowy</w:t>
            </w:r>
          </w:p>
        </w:tc>
        <w:tc>
          <w:tcPr>
            <w:tcW w:w="850" w:type="dxa"/>
          </w:tcPr>
          <w:p w14:paraId="663381C4" w14:textId="743ACDB9" w:rsidR="00A42F95" w:rsidRPr="00716193" w:rsidRDefault="005033C2" w:rsidP="00E73281">
            <w:pPr>
              <w:pStyle w:val="Text1"/>
              <w:spacing w:before="60" w:after="60"/>
              <w:ind w:left="0"/>
              <w:jc w:val="left"/>
              <w:rPr>
                <w:b/>
                <w:noProof/>
                <w:sz w:val="17"/>
                <w:szCs w:val="17"/>
              </w:rPr>
            </w:pPr>
            <w:r w:rsidRPr="005033C2">
              <w:rPr>
                <w:b/>
                <w:sz w:val="17"/>
                <w:szCs w:val="17"/>
              </w:rPr>
              <w:t>Nr identyfikacyjny</w:t>
            </w:r>
            <w:r w:rsidRPr="005033C2" w:rsidDel="005033C2">
              <w:rPr>
                <w:b/>
                <w:sz w:val="17"/>
                <w:szCs w:val="17"/>
              </w:rPr>
              <w:t xml:space="preserve"> </w:t>
            </w:r>
            <w:r w:rsidR="00A42F95">
              <w:rPr>
                <w:b/>
                <w:sz w:val="17"/>
                <w:szCs w:val="17"/>
              </w:rPr>
              <w:t>[5]</w:t>
            </w:r>
          </w:p>
        </w:tc>
        <w:tc>
          <w:tcPr>
            <w:tcW w:w="2272" w:type="dxa"/>
            <w:shd w:val="clear" w:color="auto" w:fill="auto"/>
          </w:tcPr>
          <w:p w14:paraId="61061CC9" w14:textId="77777777" w:rsidR="00A42F95" w:rsidRPr="00716193" w:rsidRDefault="00A42F95" w:rsidP="00E73281">
            <w:pPr>
              <w:pStyle w:val="Text1"/>
              <w:spacing w:before="60" w:after="60"/>
              <w:ind w:left="0"/>
              <w:jc w:val="left"/>
              <w:rPr>
                <w:b/>
                <w:noProof/>
                <w:sz w:val="17"/>
                <w:szCs w:val="17"/>
              </w:rPr>
            </w:pPr>
            <w:r>
              <w:rPr>
                <w:b/>
                <w:sz w:val="17"/>
                <w:szCs w:val="17"/>
              </w:rPr>
              <w:t xml:space="preserve">Wskaźnik </w:t>
            </w:r>
          </w:p>
        </w:tc>
        <w:tc>
          <w:tcPr>
            <w:tcW w:w="1230" w:type="dxa"/>
          </w:tcPr>
          <w:p w14:paraId="428B2A07" w14:textId="77777777" w:rsidR="00A42F95" w:rsidRPr="00716193" w:rsidRDefault="00A42F95" w:rsidP="00E73281">
            <w:pPr>
              <w:pStyle w:val="Text1"/>
              <w:spacing w:before="60" w:after="60"/>
              <w:ind w:left="0"/>
              <w:jc w:val="left"/>
              <w:rPr>
                <w:b/>
                <w:noProof/>
                <w:sz w:val="17"/>
                <w:szCs w:val="17"/>
              </w:rPr>
            </w:pPr>
            <w:r>
              <w:rPr>
                <w:b/>
                <w:sz w:val="17"/>
                <w:szCs w:val="17"/>
              </w:rPr>
              <w:t>Jednostka miary</w:t>
            </w:r>
          </w:p>
          <w:p w14:paraId="6FD834AB" w14:textId="77777777" w:rsidR="00A42F95" w:rsidRPr="00716193" w:rsidRDefault="00A42F95" w:rsidP="00E73281">
            <w:pPr>
              <w:pStyle w:val="Text1"/>
              <w:spacing w:before="60" w:after="60"/>
              <w:ind w:left="0"/>
              <w:jc w:val="left"/>
              <w:rPr>
                <w:b/>
                <w:noProof/>
                <w:sz w:val="17"/>
                <w:szCs w:val="17"/>
              </w:rPr>
            </w:pPr>
            <w:r>
              <w:rPr>
                <w:b/>
                <w:sz w:val="17"/>
                <w:szCs w:val="17"/>
              </w:rPr>
              <w:t>[255]</w:t>
            </w:r>
          </w:p>
        </w:tc>
        <w:tc>
          <w:tcPr>
            <w:tcW w:w="1245" w:type="dxa"/>
            <w:shd w:val="clear" w:color="auto" w:fill="auto"/>
          </w:tcPr>
          <w:p w14:paraId="54697410" w14:textId="0EF3279F" w:rsidR="00A42F95" w:rsidRPr="00716193" w:rsidRDefault="005033C2" w:rsidP="00E73281">
            <w:pPr>
              <w:pStyle w:val="Text1"/>
              <w:spacing w:before="60" w:after="60"/>
              <w:ind w:left="0"/>
              <w:jc w:val="left"/>
              <w:rPr>
                <w:b/>
                <w:noProof/>
                <w:sz w:val="17"/>
                <w:szCs w:val="17"/>
              </w:rPr>
            </w:pPr>
            <w:r w:rsidRPr="005033C2">
              <w:rPr>
                <w:b/>
                <w:sz w:val="17"/>
                <w:szCs w:val="17"/>
              </w:rPr>
              <w:t xml:space="preserve">Cel pośredni </w:t>
            </w:r>
            <w:r w:rsidR="00A42F95">
              <w:rPr>
                <w:b/>
                <w:sz w:val="17"/>
                <w:szCs w:val="17"/>
              </w:rPr>
              <w:t>(2024)</w:t>
            </w:r>
          </w:p>
          <w:p w14:paraId="6C967209" w14:textId="77777777" w:rsidR="00A42F95" w:rsidRPr="00716193" w:rsidRDefault="00A42F95" w:rsidP="00E73281">
            <w:pPr>
              <w:pStyle w:val="Text1"/>
              <w:spacing w:before="60" w:after="60"/>
              <w:ind w:left="0"/>
              <w:jc w:val="left"/>
              <w:rPr>
                <w:b/>
                <w:noProof/>
                <w:sz w:val="17"/>
                <w:szCs w:val="17"/>
              </w:rPr>
            </w:pPr>
            <w:r>
              <w:rPr>
                <w:b/>
                <w:sz w:val="17"/>
                <w:szCs w:val="17"/>
              </w:rPr>
              <w:t>[200]</w:t>
            </w:r>
          </w:p>
        </w:tc>
        <w:tc>
          <w:tcPr>
            <w:tcW w:w="1485" w:type="dxa"/>
            <w:shd w:val="clear" w:color="auto" w:fill="auto"/>
          </w:tcPr>
          <w:p w14:paraId="62A1B682" w14:textId="2143CA84" w:rsidR="00A42F95" w:rsidRPr="00716193" w:rsidRDefault="00A42F95" w:rsidP="00E73281">
            <w:pPr>
              <w:pStyle w:val="Text1"/>
              <w:spacing w:before="60" w:after="60"/>
              <w:ind w:left="0"/>
              <w:jc w:val="left"/>
              <w:rPr>
                <w:b/>
                <w:noProof/>
                <w:sz w:val="17"/>
                <w:szCs w:val="17"/>
              </w:rPr>
            </w:pPr>
            <w:r>
              <w:rPr>
                <w:b/>
                <w:sz w:val="17"/>
                <w:szCs w:val="17"/>
              </w:rPr>
              <w:t xml:space="preserve">Cel </w:t>
            </w:r>
            <w:r w:rsidR="005033C2">
              <w:rPr>
                <w:b/>
                <w:sz w:val="17"/>
                <w:szCs w:val="17"/>
              </w:rPr>
              <w:t>końcowy</w:t>
            </w:r>
            <w:r>
              <w:rPr>
                <w:b/>
                <w:sz w:val="17"/>
                <w:szCs w:val="17"/>
              </w:rPr>
              <w:t xml:space="preserve"> (2029)</w:t>
            </w:r>
          </w:p>
          <w:p w14:paraId="70E38126" w14:textId="77777777" w:rsidR="00A42F95" w:rsidRPr="00716193" w:rsidRDefault="00A42F95" w:rsidP="00E73281">
            <w:pPr>
              <w:pStyle w:val="Text1"/>
              <w:spacing w:before="60" w:after="60"/>
              <w:ind w:left="0"/>
              <w:jc w:val="left"/>
              <w:rPr>
                <w:b/>
                <w:noProof/>
                <w:sz w:val="17"/>
                <w:szCs w:val="17"/>
              </w:rPr>
            </w:pPr>
            <w:r>
              <w:rPr>
                <w:b/>
                <w:sz w:val="17"/>
                <w:szCs w:val="17"/>
              </w:rPr>
              <w:t>[200]</w:t>
            </w:r>
          </w:p>
        </w:tc>
      </w:tr>
      <w:tr w:rsidR="00A42F95" w14:paraId="4C841F33" w14:textId="77777777" w:rsidTr="00607E61">
        <w:trPr>
          <w:cantSplit/>
        </w:trPr>
        <w:tc>
          <w:tcPr>
            <w:tcW w:w="796" w:type="dxa"/>
          </w:tcPr>
          <w:p w14:paraId="0EC235D2" w14:textId="77777777" w:rsidR="00A42F95" w:rsidRPr="00716193" w:rsidRDefault="00A42F95" w:rsidP="00E73281">
            <w:pPr>
              <w:pStyle w:val="Text1"/>
              <w:spacing w:before="60" w:after="60"/>
              <w:ind w:left="0"/>
              <w:jc w:val="left"/>
              <w:rPr>
                <w:noProof/>
                <w:sz w:val="17"/>
                <w:szCs w:val="17"/>
              </w:rPr>
            </w:pPr>
            <w:r>
              <w:rPr>
                <w:sz w:val="17"/>
                <w:szCs w:val="17"/>
              </w:rPr>
              <w:t>Dostawa usługi</w:t>
            </w:r>
          </w:p>
        </w:tc>
        <w:tc>
          <w:tcPr>
            <w:tcW w:w="1184" w:type="dxa"/>
          </w:tcPr>
          <w:p w14:paraId="4B9768CB" w14:textId="77777777" w:rsidR="004D1F9C" w:rsidRPr="00716193" w:rsidRDefault="00C86107">
            <w:pPr>
              <w:pStyle w:val="Text1"/>
              <w:spacing w:before="60" w:after="60"/>
              <w:ind w:left="0"/>
              <w:jc w:val="left"/>
              <w:rPr>
                <w:rFonts w:cs="Times New Roman"/>
                <w:sz w:val="17"/>
                <w:szCs w:val="17"/>
              </w:rPr>
            </w:pPr>
            <w:r>
              <w:rPr>
                <w:sz w:val="17"/>
                <w:szCs w:val="17"/>
              </w:rPr>
              <w:t>Zdolności instytucjonalne władz publicznych</w:t>
            </w:r>
          </w:p>
        </w:tc>
        <w:tc>
          <w:tcPr>
            <w:tcW w:w="850" w:type="dxa"/>
          </w:tcPr>
          <w:p w14:paraId="0A9C13BC" w14:textId="77777777" w:rsidR="00A42F95" w:rsidRPr="00716193" w:rsidRDefault="00A42F95" w:rsidP="00E73281">
            <w:pPr>
              <w:pStyle w:val="Text1"/>
              <w:spacing w:before="60" w:after="60"/>
              <w:ind w:left="0"/>
              <w:jc w:val="left"/>
              <w:rPr>
                <w:rFonts w:cs="Times New Roman"/>
                <w:noProof/>
                <w:sz w:val="17"/>
                <w:szCs w:val="17"/>
              </w:rPr>
            </w:pPr>
            <w:r>
              <w:rPr>
                <w:sz w:val="17"/>
                <w:szCs w:val="17"/>
              </w:rPr>
              <w:t>RCO81</w:t>
            </w:r>
          </w:p>
        </w:tc>
        <w:tc>
          <w:tcPr>
            <w:tcW w:w="2272" w:type="dxa"/>
            <w:shd w:val="clear" w:color="auto" w:fill="auto"/>
          </w:tcPr>
          <w:p w14:paraId="20ADBA90" w14:textId="77777777" w:rsidR="00A42F95" w:rsidRPr="00716193" w:rsidRDefault="00A42F95" w:rsidP="00E73281">
            <w:pPr>
              <w:pStyle w:val="Text1"/>
              <w:spacing w:before="60" w:after="60"/>
              <w:ind w:left="0"/>
              <w:jc w:val="left"/>
              <w:rPr>
                <w:rFonts w:cs="Times New Roman"/>
                <w:noProof/>
                <w:sz w:val="17"/>
                <w:szCs w:val="17"/>
              </w:rPr>
            </w:pPr>
            <w:r>
              <w:rPr>
                <w:sz w:val="17"/>
                <w:szCs w:val="17"/>
              </w:rPr>
              <w:t>Udział we wspólnych działaniach ponad granicami</w:t>
            </w:r>
          </w:p>
        </w:tc>
        <w:tc>
          <w:tcPr>
            <w:tcW w:w="1230" w:type="dxa"/>
          </w:tcPr>
          <w:p w14:paraId="43DAE0AF" w14:textId="40BCF5EE" w:rsidR="00A42F95" w:rsidRPr="00716193" w:rsidRDefault="00341FDC" w:rsidP="00E73281">
            <w:pPr>
              <w:pStyle w:val="Text1"/>
              <w:spacing w:before="60" w:after="60"/>
              <w:ind w:left="0"/>
              <w:jc w:val="left"/>
              <w:rPr>
                <w:rFonts w:cs="Times New Roman"/>
                <w:noProof/>
                <w:sz w:val="17"/>
                <w:szCs w:val="17"/>
              </w:rPr>
            </w:pPr>
            <w:r>
              <w:rPr>
                <w:sz w:val="17"/>
                <w:szCs w:val="17"/>
              </w:rPr>
              <w:t>Liczba</w:t>
            </w:r>
          </w:p>
        </w:tc>
        <w:tc>
          <w:tcPr>
            <w:tcW w:w="1245" w:type="dxa"/>
            <w:shd w:val="clear" w:color="auto" w:fill="auto"/>
          </w:tcPr>
          <w:p w14:paraId="3EEA6028" w14:textId="4DF92A23" w:rsidR="00A42F95" w:rsidRPr="00716193" w:rsidRDefault="00A659C3" w:rsidP="00E73281">
            <w:pPr>
              <w:pStyle w:val="Text1"/>
              <w:spacing w:before="60" w:after="60"/>
              <w:ind w:left="0"/>
              <w:jc w:val="right"/>
              <w:rPr>
                <w:rFonts w:cs="Times New Roman"/>
                <w:noProof/>
                <w:sz w:val="17"/>
                <w:szCs w:val="17"/>
              </w:rPr>
            </w:pPr>
            <w:r>
              <w:rPr>
                <w:sz w:val="17"/>
                <w:szCs w:val="17"/>
              </w:rPr>
              <w:t>4 590</w:t>
            </w:r>
          </w:p>
        </w:tc>
        <w:tc>
          <w:tcPr>
            <w:tcW w:w="1485" w:type="dxa"/>
            <w:shd w:val="clear" w:color="auto" w:fill="auto"/>
          </w:tcPr>
          <w:p w14:paraId="4077BC6B" w14:textId="254FEF96" w:rsidR="00A42F95" w:rsidRPr="00716193" w:rsidRDefault="00A659C3" w:rsidP="00E73281">
            <w:pPr>
              <w:pStyle w:val="Text1"/>
              <w:spacing w:before="60" w:after="60"/>
              <w:ind w:left="0"/>
              <w:jc w:val="right"/>
              <w:rPr>
                <w:rFonts w:cs="Times New Roman"/>
                <w:noProof/>
                <w:sz w:val="17"/>
                <w:szCs w:val="17"/>
              </w:rPr>
            </w:pPr>
            <w:r>
              <w:rPr>
                <w:sz w:val="17"/>
                <w:szCs w:val="17"/>
              </w:rPr>
              <w:t>17 850</w:t>
            </w:r>
          </w:p>
        </w:tc>
      </w:tr>
      <w:tr w:rsidR="00A42F95" w14:paraId="28BDE4BD" w14:textId="77777777" w:rsidTr="00607E61">
        <w:trPr>
          <w:cantSplit/>
        </w:trPr>
        <w:tc>
          <w:tcPr>
            <w:tcW w:w="796" w:type="dxa"/>
          </w:tcPr>
          <w:p w14:paraId="03ADC890" w14:textId="77777777" w:rsidR="00A42F95" w:rsidRPr="00716193" w:rsidRDefault="00A42F95" w:rsidP="00E73281">
            <w:pPr>
              <w:pStyle w:val="Text1"/>
              <w:spacing w:before="60" w:after="60"/>
              <w:ind w:left="0"/>
              <w:jc w:val="left"/>
              <w:rPr>
                <w:noProof/>
                <w:sz w:val="17"/>
                <w:szCs w:val="17"/>
              </w:rPr>
            </w:pPr>
            <w:r>
              <w:rPr>
                <w:sz w:val="17"/>
                <w:szCs w:val="17"/>
              </w:rPr>
              <w:t>Dostawa usługi</w:t>
            </w:r>
          </w:p>
        </w:tc>
        <w:tc>
          <w:tcPr>
            <w:tcW w:w="1184" w:type="dxa"/>
          </w:tcPr>
          <w:p w14:paraId="3CF3F868" w14:textId="77777777" w:rsidR="004D1F9C" w:rsidRPr="00716193" w:rsidRDefault="00C86107">
            <w:pPr>
              <w:pStyle w:val="Text1"/>
              <w:spacing w:before="60" w:after="60"/>
              <w:ind w:left="0"/>
              <w:jc w:val="left"/>
              <w:rPr>
                <w:rFonts w:cs="Times New Roman"/>
                <w:sz w:val="17"/>
                <w:szCs w:val="17"/>
              </w:rPr>
            </w:pPr>
            <w:r>
              <w:rPr>
                <w:sz w:val="17"/>
                <w:szCs w:val="17"/>
              </w:rPr>
              <w:t>Zdolności instytucjonalne władz publicznych</w:t>
            </w:r>
          </w:p>
        </w:tc>
        <w:tc>
          <w:tcPr>
            <w:tcW w:w="850" w:type="dxa"/>
          </w:tcPr>
          <w:p w14:paraId="768D7B2E" w14:textId="77777777" w:rsidR="00A42F95" w:rsidRPr="00716193" w:rsidRDefault="00A42F95" w:rsidP="00E73281">
            <w:pPr>
              <w:pStyle w:val="Text1"/>
              <w:spacing w:before="60" w:after="60"/>
              <w:ind w:left="0"/>
              <w:jc w:val="left"/>
              <w:rPr>
                <w:rFonts w:cs="Times New Roman"/>
                <w:noProof/>
                <w:sz w:val="17"/>
                <w:szCs w:val="17"/>
              </w:rPr>
            </w:pPr>
            <w:r>
              <w:rPr>
                <w:sz w:val="17"/>
                <w:szCs w:val="17"/>
              </w:rPr>
              <w:t>RCO85</w:t>
            </w:r>
          </w:p>
        </w:tc>
        <w:tc>
          <w:tcPr>
            <w:tcW w:w="2272" w:type="dxa"/>
            <w:shd w:val="clear" w:color="auto" w:fill="auto"/>
          </w:tcPr>
          <w:p w14:paraId="2CBB85E7" w14:textId="77777777" w:rsidR="004D1F9C" w:rsidRPr="00716193" w:rsidRDefault="00A42F95" w:rsidP="00607E61">
            <w:pPr>
              <w:pStyle w:val="Text1"/>
              <w:spacing w:before="60" w:after="60"/>
              <w:ind w:left="0"/>
              <w:jc w:val="left"/>
              <w:rPr>
                <w:rFonts w:eastAsia="'Times New Roman'" w:cs="Times New Roman"/>
                <w:sz w:val="17"/>
                <w:szCs w:val="17"/>
              </w:rPr>
            </w:pPr>
            <w:r>
              <w:rPr>
                <w:sz w:val="17"/>
                <w:szCs w:val="17"/>
              </w:rPr>
              <w:t>Udział we wspólnych programach szkoleniowych</w:t>
            </w:r>
          </w:p>
        </w:tc>
        <w:tc>
          <w:tcPr>
            <w:tcW w:w="1230" w:type="dxa"/>
          </w:tcPr>
          <w:p w14:paraId="310CC1DD" w14:textId="2C338C58" w:rsidR="00A42F95" w:rsidRPr="00716193" w:rsidRDefault="00341FDC" w:rsidP="00E73281">
            <w:pPr>
              <w:pStyle w:val="Text1"/>
              <w:spacing w:before="60" w:after="60"/>
              <w:ind w:left="0"/>
              <w:jc w:val="left"/>
              <w:rPr>
                <w:rFonts w:cs="Times New Roman"/>
                <w:noProof/>
                <w:sz w:val="17"/>
                <w:szCs w:val="17"/>
              </w:rPr>
            </w:pPr>
            <w:r>
              <w:rPr>
                <w:sz w:val="17"/>
                <w:szCs w:val="17"/>
              </w:rPr>
              <w:t>Liczba</w:t>
            </w:r>
          </w:p>
        </w:tc>
        <w:tc>
          <w:tcPr>
            <w:tcW w:w="1245" w:type="dxa"/>
            <w:shd w:val="clear" w:color="auto" w:fill="auto"/>
          </w:tcPr>
          <w:p w14:paraId="5176180C" w14:textId="06A700F9" w:rsidR="00A42F95" w:rsidRPr="00716193" w:rsidRDefault="00A659C3" w:rsidP="00E73281">
            <w:pPr>
              <w:pStyle w:val="Text1"/>
              <w:spacing w:before="60" w:after="60"/>
              <w:ind w:left="0"/>
              <w:jc w:val="right"/>
              <w:rPr>
                <w:rFonts w:cs="Times New Roman"/>
                <w:noProof/>
                <w:sz w:val="17"/>
                <w:szCs w:val="17"/>
              </w:rPr>
            </w:pPr>
            <w:r>
              <w:rPr>
                <w:sz w:val="17"/>
                <w:szCs w:val="17"/>
              </w:rPr>
              <w:t>612</w:t>
            </w:r>
          </w:p>
        </w:tc>
        <w:tc>
          <w:tcPr>
            <w:tcW w:w="1485" w:type="dxa"/>
            <w:shd w:val="clear" w:color="auto" w:fill="auto"/>
          </w:tcPr>
          <w:p w14:paraId="3A855941" w14:textId="4FDCFBC4" w:rsidR="00A42F95" w:rsidRPr="00716193" w:rsidRDefault="00A659C3" w:rsidP="00E73281">
            <w:pPr>
              <w:pStyle w:val="Text1"/>
              <w:spacing w:before="60" w:after="60"/>
              <w:ind w:left="0"/>
              <w:jc w:val="right"/>
              <w:rPr>
                <w:rFonts w:cs="Times New Roman"/>
                <w:noProof/>
                <w:sz w:val="17"/>
                <w:szCs w:val="17"/>
              </w:rPr>
            </w:pPr>
            <w:r>
              <w:rPr>
                <w:sz w:val="17"/>
                <w:szCs w:val="17"/>
              </w:rPr>
              <w:t>2 380</w:t>
            </w:r>
          </w:p>
        </w:tc>
      </w:tr>
      <w:tr w:rsidR="00A42F95" w14:paraId="7E62E0A2" w14:textId="77777777" w:rsidTr="00607E61">
        <w:trPr>
          <w:cantSplit/>
        </w:trPr>
        <w:tc>
          <w:tcPr>
            <w:tcW w:w="796" w:type="dxa"/>
          </w:tcPr>
          <w:p w14:paraId="17FCDD23" w14:textId="77777777" w:rsidR="00A42F95" w:rsidRPr="00716193" w:rsidRDefault="00A42F95" w:rsidP="00E73281">
            <w:pPr>
              <w:pStyle w:val="Text1"/>
              <w:spacing w:before="60" w:after="60"/>
              <w:ind w:left="0"/>
              <w:jc w:val="left"/>
              <w:rPr>
                <w:noProof/>
                <w:sz w:val="17"/>
                <w:szCs w:val="17"/>
              </w:rPr>
            </w:pPr>
            <w:r>
              <w:rPr>
                <w:sz w:val="17"/>
                <w:szCs w:val="17"/>
              </w:rPr>
              <w:t>Dostawa usługi</w:t>
            </w:r>
          </w:p>
        </w:tc>
        <w:tc>
          <w:tcPr>
            <w:tcW w:w="1184" w:type="dxa"/>
          </w:tcPr>
          <w:p w14:paraId="5ABC3D36" w14:textId="77777777" w:rsidR="004D1F9C" w:rsidRPr="00716193" w:rsidRDefault="00C86107">
            <w:pPr>
              <w:pStyle w:val="Text1"/>
              <w:spacing w:before="60" w:after="60"/>
              <w:ind w:left="0"/>
              <w:jc w:val="left"/>
              <w:rPr>
                <w:rFonts w:cs="Times New Roman"/>
                <w:sz w:val="17"/>
                <w:szCs w:val="17"/>
              </w:rPr>
            </w:pPr>
            <w:r>
              <w:rPr>
                <w:sz w:val="17"/>
                <w:szCs w:val="17"/>
              </w:rPr>
              <w:t>Zdolności instytucjonalne władz publicznych</w:t>
            </w:r>
          </w:p>
        </w:tc>
        <w:tc>
          <w:tcPr>
            <w:tcW w:w="850" w:type="dxa"/>
          </w:tcPr>
          <w:p w14:paraId="028534FC" w14:textId="77777777" w:rsidR="00A42F95" w:rsidRPr="00716193" w:rsidRDefault="00A42F95" w:rsidP="00E73281">
            <w:pPr>
              <w:pStyle w:val="Text1"/>
              <w:spacing w:before="60" w:after="60"/>
              <w:ind w:left="0"/>
              <w:jc w:val="left"/>
              <w:rPr>
                <w:rFonts w:cs="Times New Roman"/>
                <w:noProof/>
                <w:sz w:val="17"/>
                <w:szCs w:val="17"/>
              </w:rPr>
            </w:pPr>
            <w:r>
              <w:rPr>
                <w:sz w:val="17"/>
                <w:szCs w:val="17"/>
              </w:rPr>
              <w:t>RCO116</w:t>
            </w:r>
          </w:p>
        </w:tc>
        <w:tc>
          <w:tcPr>
            <w:tcW w:w="2272" w:type="dxa"/>
            <w:shd w:val="clear" w:color="auto" w:fill="auto"/>
          </w:tcPr>
          <w:p w14:paraId="4B4E5E65" w14:textId="77777777" w:rsidR="004D1F9C" w:rsidRPr="00716193" w:rsidRDefault="00C86107">
            <w:pPr>
              <w:pStyle w:val="Text1"/>
              <w:spacing w:before="60" w:after="60"/>
              <w:ind w:left="0"/>
              <w:jc w:val="left"/>
              <w:rPr>
                <w:rFonts w:cs="Times New Roman"/>
                <w:sz w:val="17"/>
                <w:szCs w:val="17"/>
              </w:rPr>
            </w:pPr>
            <w:r>
              <w:rPr>
                <w:sz w:val="17"/>
                <w:szCs w:val="17"/>
              </w:rPr>
              <w:t>Wspólnie opracowane rozwiązania</w:t>
            </w:r>
          </w:p>
        </w:tc>
        <w:tc>
          <w:tcPr>
            <w:tcW w:w="1230" w:type="dxa"/>
          </w:tcPr>
          <w:p w14:paraId="18882109" w14:textId="509BE07D" w:rsidR="00A42F95" w:rsidRPr="00716193" w:rsidRDefault="00341FDC" w:rsidP="00E73281">
            <w:pPr>
              <w:pStyle w:val="Text1"/>
              <w:spacing w:before="60" w:after="60"/>
              <w:ind w:left="0"/>
              <w:jc w:val="left"/>
              <w:rPr>
                <w:rFonts w:cs="Times New Roman"/>
                <w:noProof/>
                <w:sz w:val="17"/>
                <w:szCs w:val="17"/>
              </w:rPr>
            </w:pPr>
            <w:r>
              <w:rPr>
                <w:sz w:val="17"/>
                <w:szCs w:val="17"/>
              </w:rPr>
              <w:t>Liczba</w:t>
            </w:r>
          </w:p>
        </w:tc>
        <w:tc>
          <w:tcPr>
            <w:tcW w:w="1245" w:type="dxa"/>
            <w:shd w:val="clear" w:color="auto" w:fill="auto"/>
          </w:tcPr>
          <w:p w14:paraId="396826AB" w14:textId="6BB36797" w:rsidR="00A42F95" w:rsidRPr="00716193" w:rsidRDefault="00A659C3" w:rsidP="00E73281">
            <w:pPr>
              <w:pStyle w:val="Text1"/>
              <w:spacing w:before="60" w:after="60"/>
              <w:ind w:left="0"/>
              <w:jc w:val="right"/>
              <w:rPr>
                <w:rFonts w:cs="Times New Roman"/>
                <w:noProof/>
                <w:sz w:val="17"/>
                <w:szCs w:val="17"/>
              </w:rPr>
            </w:pPr>
            <w:r>
              <w:rPr>
                <w:sz w:val="17"/>
                <w:szCs w:val="17"/>
              </w:rPr>
              <w:t>90</w:t>
            </w:r>
          </w:p>
        </w:tc>
        <w:tc>
          <w:tcPr>
            <w:tcW w:w="1485" w:type="dxa"/>
            <w:shd w:val="clear" w:color="auto" w:fill="auto"/>
          </w:tcPr>
          <w:p w14:paraId="6BA04423" w14:textId="5C9A0071" w:rsidR="00A42F95" w:rsidRPr="00716193" w:rsidRDefault="00A659C3" w:rsidP="00E73281">
            <w:pPr>
              <w:pStyle w:val="Text1"/>
              <w:spacing w:before="60" w:after="60"/>
              <w:ind w:left="0"/>
              <w:jc w:val="right"/>
              <w:rPr>
                <w:rFonts w:cs="Times New Roman"/>
                <w:noProof/>
                <w:sz w:val="17"/>
                <w:szCs w:val="17"/>
              </w:rPr>
            </w:pPr>
            <w:r>
              <w:rPr>
                <w:sz w:val="17"/>
                <w:szCs w:val="17"/>
              </w:rPr>
              <w:t>350</w:t>
            </w:r>
          </w:p>
        </w:tc>
      </w:tr>
    </w:tbl>
    <w:p w14:paraId="325092AD" w14:textId="77777777" w:rsidR="00A42F95" w:rsidRDefault="00A42F95" w:rsidP="00671B0E">
      <w:pPr>
        <w:keepNext/>
        <w:spacing w:before="240" w:after="240" w:line="240" w:lineRule="auto"/>
        <w:rPr>
          <w:rFonts w:eastAsia="Times New Roman" w:cs="Times New Roman"/>
          <w:iCs/>
          <w:noProof/>
          <w:szCs w:val="24"/>
        </w:rPr>
      </w:pPr>
      <w:r>
        <w:t>Tabela 3: Wskaźniki rezultatów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16"/>
        <w:gridCol w:w="1042"/>
        <w:gridCol w:w="993"/>
        <w:gridCol w:w="1275"/>
        <w:gridCol w:w="993"/>
        <w:gridCol w:w="850"/>
        <w:gridCol w:w="709"/>
        <w:gridCol w:w="850"/>
        <w:gridCol w:w="993"/>
        <w:gridCol w:w="765"/>
      </w:tblGrid>
      <w:tr w:rsidR="006226E1" w14:paraId="6E9D1515" w14:textId="77777777" w:rsidTr="006744E4">
        <w:trPr>
          <w:cantSplit/>
          <w:tblHeader/>
        </w:trPr>
        <w:tc>
          <w:tcPr>
            <w:tcW w:w="716" w:type="dxa"/>
          </w:tcPr>
          <w:p w14:paraId="5817B902" w14:textId="77777777" w:rsidR="00A42F95" w:rsidRPr="00577B07" w:rsidRDefault="00A42F95" w:rsidP="00E73281">
            <w:pPr>
              <w:pStyle w:val="Text1"/>
              <w:keepNext/>
              <w:spacing w:before="60" w:after="60"/>
              <w:ind w:left="0"/>
              <w:jc w:val="left"/>
              <w:rPr>
                <w:rFonts w:cs="Times New Roman"/>
                <w:b/>
                <w:noProof/>
                <w:sz w:val="17"/>
                <w:szCs w:val="17"/>
              </w:rPr>
            </w:pPr>
            <w:r>
              <w:rPr>
                <w:b/>
                <w:sz w:val="17"/>
                <w:szCs w:val="17"/>
              </w:rPr>
              <w:t xml:space="preserve">Priorytet </w:t>
            </w:r>
          </w:p>
        </w:tc>
        <w:tc>
          <w:tcPr>
            <w:tcW w:w="1042" w:type="dxa"/>
          </w:tcPr>
          <w:p w14:paraId="21216A7B" w14:textId="77777777" w:rsidR="00A42F95" w:rsidRPr="00577B07" w:rsidRDefault="00A42F95" w:rsidP="00E73281">
            <w:pPr>
              <w:pStyle w:val="Text1"/>
              <w:spacing w:before="60" w:after="60"/>
              <w:ind w:left="0"/>
              <w:jc w:val="left"/>
              <w:rPr>
                <w:rFonts w:cs="Times New Roman"/>
                <w:b/>
                <w:noProof/>
                <w:sz w:val="17"/>
                <w:szCs w:val="17"/>
              </w:rPr>
            </w:pPr>
            <w:r>
              <w:rPr>
                <w:b/>
                <w:sz w:val="17"/>
                <w:szCs w:val="17"/>
              </w:rPr>
              <w:t>Cel szczegółowy</w:t>
            </w:r>
          </w:p>
        </w:tc>
        <w:tc>
          <w:tcPr>
            <w:tcW w:w="993" w:type="dxa"/>
          </w:tcPr>
          <w:p w14:paraId="19FEA19D" w14:textId="06FFF10F" w:rsidR="00A42F95" w:rsidRPr="00577B07" w:rsidRDefault="009D7B92" w:rsidP="00E73281">
            <w:pPr>
              <w:pStyle w:val="Text1"/>
              <w:spacing w:before="60" w:after="60"/>
              <w:ind w:left="0"/>
              <w:jc w:val="left"/>
              <w:rPr>
                <w:rFonts w:cs="Times New Roman"/>
                <w:b/>
                <w:noProof/>
                <w:sz w:val="17"/>
                <w:szCs w:val="17"/>
              </w:rPr>
            </w:pPr>
            <w:r>
              <w:rPr>
                <w:b/>
                <w:sz w:val="17"/>
                <w:szCs w:val="17"/>
              </w:rPr>
              <w:t>Nr identyfikacyjny</w:t>
            </w:r>
          </w:p>
        </w:tc>
        <w:tc>
          <w:tcPr>
            <w:tcW w:w="1275" w:type="dxa"/>
            <w:shd w:val="clear" w:color="auto" w:fill="auto"/>
          </w:tcPr>
          <w:p w14:paraId="588ACEF6" w14:textId="77777777" w:rsidR="00A42F95" w:rsidRPr="00577B07" w:rsidRDefault="00A42F95" w:rsidP="00E73281">
            <w:pPr>
              <w:pStyle w:val="Text1"/>
              <w:spacing w:before="60" w:after="60"/>
              <w:ind w:left="0"/>
              <w:jc w:val="left"/>
              <w:rPr>
                <w:rFonts w:cs="Times New Roman"/>
                <w:b/>
                <w:noProof/>
                <w:sz w:val="17"/>
                <w:szCs w:val="17"/>
              </w:rPr>
            </w:pPr>
            <w:r>
              <w:rPr>
                <w:b/>
                <w:sz w:val="17"/>
                <w:szCs w:val="17"/>
              </w:rPr>
              <w:t xml:space="preserve">Wskaźnik </w:t>
            </w:r>
          </w:p>
        </w:tc>
        <w:tc>
          <w:tcPr>
            <w:tcW w:w="993" w:type="dxa"/>
          </w:tcPr>
          <w:p w14:paraId="6032A5C8" w14:textId="77777777" w:rsidR="00A42F95" w:rsidRPr="00577B07" w:rsidRDefault="00A42F95" w:rsidP="00E73281">
            <w:pPr>
              <w:pStyle w:val="Text1"/>
              <w:spacing w:before="60" w:after="60"/>
              <w:ind w:left="0"/>
              <w:jc w:val="left"/>
              <w:rPr>
                <w:rFonts w:cs="Times New Roman"/>
                <w:b/>
                <w:noProof/>
                <w:sz w:val="17"/>
                <w:szCs w:val="17"/>
              </w:rPr>
            </w:pPr>
            <w:r>
              <w:rPr>
                <w:b/>
                <w:sz w:val="17"/>
                <w:szCs w:val="17"/>
              </w:rPr>
              <w:t>Jednostka miary</w:t>
            </w:r>
          </w:p>
        </w:tc>
        <w:tc>
          <w:tcPr>
            <w:tcW w:w="850" w:type="dxa"/>
          </w:tcPr>
          <w:p w14:paraId="120ED183" w14:textId="23CF712B" w:rsidR="00A42F95" w:rsidRPr="00577B07" w:rsidRDefault="009D7B92" w:rsidP="00E73281">
            <w:pPr>
              <w:pStyle w:val="Text1"/>
              <w:spacing w:before="60" w:after="60"/>
              <w:ind w:left="0"/>
              <w:jc w:val="left"/>
              <w:rPr>
                <w:rFonts w:cs="Times New Roman"/>
                <w:b/>
                <w:noProof/>
                <w:sz w:val="17"/>
                <w:szCs w:val="17"/>
              </w:rPr>
            </w:pPr>
            <w:r>
              <w:rPr>
                <w:b/>
                <w:sz w:val="17"/>
                <w:szCs w:val="17"/>
              </w:rPr>
              <w:t xml:space="preserve">Wartość </w:t>
            </w:r>
            <w:r w:rsidR="00A42F95">
              <w:rPr>
                <w:b/>
                <w:sz w:val="17"/>
                <w:szCs w:val="17"/>
              </w:rPr>
              <w:t>bazowa</w:t>
            </w:r>
          </w:p>
        </w:tc>
        <w:tc>
          <w:tcPr>
            <w:tcW w:w="709" w:type="dxa"/>
          </w:tcPr>
          <w:p w14:paraId="5D8838A0" w14:textId="6835323F" w:rsidR="00A42F95" w:rsidRPr="00577B07" w:rsidRDefault="00A42F95" w:rsidP="009D7B92">
            <w:pPr>
              <w:pStyle w:val="Text1"/>
              <w:spacing w:before="60" w:after="60"/>
              <w:ind w:left="0"/>
              <w:jc w:val="left"/>
              <w:rPr>
                <w:rFonts w:cs="Times New Roman"/>
                <w:b/>
                <w:noProof/>
                <w:sz w:val="17"/>
                <w:szCs w:val="17"/>
              </w:rPr>
            </w:pPr>
            <w:r>
              <w:rPr>
                <w:b/>
                <w:sz w:val="17"/>
                <w:szCs w:val="17"/>
              </w:rPr>
              <w:t xml:space="preserve">Rok </w:t>
            </w:r>
            <w:r w:rsidR="009D7B92">
              <w:rPr>
                <w:b/>
                <w:sz w:val="17"/>
                <w:szCs w:val="17"/>
              </w:rPr>
              <w:t>referencyjny</w:t>
            </w:r>
          </w:p>
        </w:tc>
        <w:tc>
          <w:tcPr>
            <w:tcW w:w="850" w:type="dxa"/>
            <w:shd w:val="clear" w:color="auto" w:fill="auto"/>
          </w:tcPr>
          <w:p w14:paraId="4DF12824" w14:textId="6F9E0483" w:rsidR="00A42F95" w:rsidRPr="00577B07" w:rsidRDefault="00A42F95" w:rsidP="009D7B92">
            <w:pPr>
              <w:pStyle w:val="Text1"/>
              <w:spacing w:before="60" w:after="60"/>
              <w:ind w:left="0"/>
              <w:jc w:val="left"/>
              <w:rPr>
                <w:rFonts w:cs="Times New Roman"/>
                <w:b/>
                <w:noProof/>
                <w:sz w:val="17"/>
                <w:szCs w:val="17"/>
              </w:rPr>
            </w:pPr>
            <w:r>
              <w:rPr>
                <w:b/>
                <w:sz w:val="17"/>
                <w:szCs w:val="17"/>
              </w:rPr>
              <w:t xml:space="preserve">Cel </w:t>
            </w:r>
            <w:r w:rsidR="009D7B92">
              <w:rPr>
                <w:b/>
                <w:sz w:val="17"/>
                <w:szCs w:val="17"/>
              </w:rPr>
              <w:t>końcowy</w:t>
            </w:r>
            <w:r w:rsidR="00524F51">
              <w:rPr>
                <w:b/>
                <w:sz w:val="17"/>
                <w:szCs w:val="17"/>
              </w:rPr>
              <w:t xml:space="preserve"> </w:t>
            </w:r>
            <w:r>
              <w:rPr>
                <w:b/>
                <w:sz w:val="17"/>
                <w:szCs w:val="17"/>
              </w:rPr>
              <w:t>(2029)</w:t>
            </w:r>
          </w:p>
        </w:tc>
        <w:tc>
          <w:tcPr>
            <w:tcW w:w="993" w:type="dxa"/>
            <w:shd w:val="clear" w:color="auto" w:fill="auto"/>
          </w:tcPr>
          <w:p w14:paraId="379DDB00" w14:textId="77777777" w:rsidR="00A42F95" w:rsidRPr="00577B07" w:rsidRDefault="00A42F95" w:rsidP="00E73281">
            <w:pPr>
              <w:pStyle w:val="Text1"/>
              <w:spacing w:before="60" w:after="60"/>
              <w:ind w:left="0"/>
              <w:jc w:val="left"/>
              <w:rPr>
                <w:rFonts w:cs="Times New Roman"/>
                <w:b/>
                <w:noProof/>
                <w:sz w:val="17"/>
                <w:szCs w:val="17"/>
              </w:rPr>
            </w:pPr>
            <w:r>
              <w:rPr>
                <w:b/>
                <w:sz w:val="17"/>
                <w:szCs w:val="17"/>
              </w:rPr>
              <w:t>Źródło danych</w:t>
            </w:r>
          </w:p>
        </w:tc>
        <w:tc>
          <w:tcPr>
            <w:tcW w:w="765" w:type="dxa"/>
          </w:tcPr>
          <w:p w14:paraId="3DE75462" w14:textId="77777777" w:rsidR="00A42F95" w:rsidRPr="00577B07" w:rsidRDefault="00A42F95" w:rsidP="00E73281">
            <w:pPr>
              <w:pStyle w:val="Text1"/>
              <w:spacing w:before="60" w:after="60"/>
              <w:ind w:left="0"/>
              <w:jc w:val="left"/>
              <w:rPr>
                <w:rFonts w:cs="Times New Roman"/>
                <w:b/>
                <w:noProof/>
                <w:sz w:val="17"/>
                <w:szCs w:val="17"/>
              </w:rPr>
            </w:pPr>
            <w:r>
              <w:rPr>
                <w:b/>
                <w:sz w:val="17"/>
                <w:szCs w:val="17"/>
              </w:rPr>
              <w:t>Uwagi</w:t>
            </w:r>
          </w:p>
        </w:tc>
      </w:tr>
      <w:tr w:rsidR="006226E1" w14:paraId="322FFE0C" w14:textId="77777777" w:rsidTr="006744E4">
        <w:trPr>
          <w:cantSplit/>
        </w:trPr>
        <w:tc>
          <w:tcPr>
            <w:tcW w:w="716" w:type="dxa"/>
          </w:tcPr>
          <w:p w14:paraId="1B3EAC89" w14:textId="77777777" w:rsidR="00A42F95" w:rsidRPr="00577B07" w:rsidRDefault="00A42F95" w:rsidP="00E73281">
            <w:pPr>
              <w:pStyle w:val="Text1"/>
              <w:spacing w:before="60" w:after="60"/>
              <w:ind w:left="0"/>
              <w:jc w:val="left"/>
              <w:rPr>
                <w:rFonts w:cs="Times New Roman"/>
                <w:noProof/>
                <w:sz w:val="17"/>
                <w:szCs w:val="17"/>
              </w:rPr>
            </w:pPr>
            <w:r>
              <w:rPr>
                <w:sz w:val="17"/>
                <w:szCs w:val="17"/>
              </w:rPr>
              <w:t>Dostawa usługi</w:t>
            </w:r>
          </w:p>
        </w:tc>
        <w:tc>
          <w:tcPr>
            <w:tcW w:w="1042" w:type="dxa"/>
          </w:tcPr>
          <w:p w14:paraId="4E6DB872" w14:textId="77777777" w:rsidR="004D1F9C" w:rsidRPr="00577B07" w:rsidRDefault="00C86107">
            <w:pPr>
              <w:pStyle w:val="Text1"/>
              <w:spacing w:before="60" w:after="60"/>
              <w:ind w:left="0"/>
              <w:jc w:val="left"/>
              <w:rPr>
                <w:rFonts w:cs="Times New Roman"/>
                <w:sz w:val="17"/>
                <w:szCs w:val="17"/>
              </w:rPr>
            </w:pPr>
            <w:r>
              <w:rPr>
                <w:sz w:val="17"/>
                <w:szCs w:val="17"/>
              </w:rPr>
              <w:t>Zdolności instytucjonalne władz publicznych</w:t>
            </w:r>
          </w:p>
        </w:tc>
        <w:tc>
          <w:tcPr>
            <w:tcW w:w="993" w:type="dxa"/>
          </w:tcPr>
          <w:p w14:paraId="6249BB7D" w14:textId="77777777" w:rsidR="00A42F95" w:rsidRPr="00577B07" w:rsidRDefault="00A42F95" w:rsidP="00E73281">
            <w:pPr>
              <w:pStyle w:val="Text1"/>
              <w:spacing w:before="60" w:after="60"/>
              <w:ind w:left="0"/>
              <w:jc w:val="left"/>
              <w:rPr>
                <w:rFonts w:cs="Times New Roman"/>
                <w:noProof/>
                <w:sz w:val="17"/>
                <w:szCs w:val="17"/>
              </w:rPr>
            </w:pPr>
            <w:r>
              <w:rPr>
                <w:sz w:val="17"/>
                <w:szCs w:val="17"/>
              </w:rPr>
              <w:t>RCR81</w:t>
            </w:r>
          </w:p>
        </w:tc>
        <w:tc>
          <w:tcPr>
            <w:tcW w:w="1275" w:type="dxa"/>
            <w:shd w:val="clear" w:color="auto" w:fill="auto"/>
          </w:tcPr>
          <w:p w14:paraId="41AA8E97" w14:textId="77777777" w:rsidR="004D1F9C" w:rsidRPr="00577B07" w:rsidRDefault="00C86107">
            <w:pPr>
              <w:pStyle w:val="Text1"/>
              <w:spacing w:before="60" w:after="60"/>
              <w:ind w:left="0"/>
              <w:jc w:val="left"/>
              <w:rPr>
                <w:rFonts w:cs="Times New Roman"/>
                <w:sz w:val="17"/>
                <w:szCs w:val="17"/>
              </w:rPr>
            </w:pPr>
            <w:r>
              <w:rPr>
                <w:sz w:val="17"/>
                <w:szCs w:val="17"/>
              </w:rPr>
              <w:t>Ukończenie wspólnych programów szkoleniowych</w:t>
            </w:r>
          </w:p>
        </w:tc>
        <w:tc>
          <w:tcPr>
            <w:tcW w:w="993" w:type="dxa"/>
          </w:tcPr>
          <w:p w14:paraId="472D0B13" w14:textId="27C92B49" w:rsidR="00A42F95" w:rsidRPr="00577B07" w:rsidRDefault="002B2906" w:rsidP="00E73281">
            <w:pPr>
              <w:pStyle w:val="Text1"/>
              <w:spacing w:before="60" w:after="60"/>
              <w:ind w:left="0"/>
              <w:jc w:val="left"/>
              <w:rPr>
                <w:rFonts w:cs="Times New Roman"/>
                <w:noProof/>
                <w:sz w:val="17"/>
                <w:szCs w:val="17"/>
              </w:rPr>
            </w:pPr>
            <w:r>
              <w:rPr>
                <w:sz w:val="17"/>
                <w:szCs w:val="17"/>
              </w:rPr>
              <w:t>Liczba</w:t>
            </w:r>
          </w:p>
        </w:tc>
        <w:tc>
          <w:tcPr>
            <w:tcW w:w="850" w:type="dxa"/>
          </w:tcPr>
          <w:p w14:paraId="260EB80A" w14:textId="1B0FE12B" w:rsidR="00A42F95" w:rsidRPr="00577B07" w:rsidRDefault="00A659C3" w:rsidP="00577B07">
            <w:pPr>
              <w:pStyle w:val="Text1"/>
              <w:spacing w:before="60" w:after="60"/>
              <w:ind w:left="0"/>
              <w:jc w:val="right"/>
              <w:rPr>
                <w:rFonts w:cs="Times New Roman"/>
                <w:noProof/>
                <w:sz w:val="17"/>
                <w:szCs w:val="17"/>
              </w:rPr>
            </w:pPr>
            <w:r>
              <w:rPr>
                <w:sz w:val="17"/>
                <w:szCs w:val="17"/>
              </w:rPr>
              <w:t>0</w:t>
            </w:r>
          </w:p>
        </w:tc>
        <w:tc>
          <w:tcPr>
            <w:tcW w:w="709" w:type="dxa"/>
          </w:tcPr>
          <w:p w14:paraId="1DB70CD6" w14:textId="45979FF1" w:rsidR="00A42F95" w:rsidRPr="00577B07" w:rsidRDefault="006226E1" w:rsidP="00E73281">
            <w:pPr>
              <w:pStyle w:val="Text1"/>
              <w:spacing w:before="60" w:after="60"/>
              <w:ind w:left="0"/>
              <w:jc w:val="left"/>
              <w:rPr>
                <w:rFonts w:cs="Times New Roman"/>
                <w:noProof/>
                <w:sz w:val="17"/>
                <w:szCs w:val="17"/>
              </w:rPr>
            </w:pPr>
            <w:r>
              <w:rPr>
                <w:sz w:val="17"/>
                <w:szCs w:val="17"/>
              </w:rPr>
              <w:t>2020</w:t>
            </w:r>
          </w:p>
        </w:tc>
        <w:tc>
          <w:tcPr>
            <w:tcW w:w="850" w:type="dxa"/>
            <w:shd w:val="clear" w:color="auto" w:fill="auto"/>
          </w:tcPr>
          <w:p w14:paraId="12741FDF" w14:textId="4B3DFA99" w:rsidR="00A42F95" w:rsidRPr="00577B07" w:rsidRDefault="00A659C3" w:rsidP="00577B07">
            <w:pPr>
              <w:pStyle w:val="Text1"/>
              <w:spacing w:before="60" w:after="60"/>
              <w:ind w:left="0"/>
              <w:jc w:val="right"/>
              <w:rPr>
                <w:rFonts w:cs="Times New Roman"/>
                <w:noProof/>
                <w:sz w:val="17"/>
                <w:szCs w:val="17"/>
              </w:rPr>
            </w:pPr>
            <w:r>
              <w:rPr>
                <w:sz w:val="17"/>
                <w:szCs w:val="17"/>
              </w:rPr>
              <w:t>2 009</w:t>
            </w:r>
          </w:p>
        </w:tc>
        <w:tc>
          <w:tcPr>
            <w:tcW w:w="993" w:type="dxa"/>
            <w:shd w:val="clear" w:color="auto" w:fill="auto"/>
          </w:tcPr>
          <w:p w14:paraId="0BF77559" w14:textId="5E849F80" w:rsidR="00A42F95" w:rsidRPr="00577B07" w:rsidRDefault="006226E1" w:rsidP="00E73281">
            <w:pPr>
              <w:pStyle w:val="Text1"/>
              <w:spacing w:before="60" w:after="60"/>
              <w:ind w:left="0"/>
              <w:jc w:val="left"/>
              <w:rPr>
                <w:rFonts w:cs="Times New Roman"/>
                <w:noProof/>
                <w:sz w:val="17"/>
                <w:szCs w:val="17"/>
              </w:rPr>
            </w:pPr>
            <w:r>
              <w:rPr>
                <w:sz w:val="17"/>
                <w:szCs w:val="17"/>
              </w:rPr>
              <w:t xml:space="preserve">Narzędzia monitorujące </w:t>
            </w:r>
            <w:proofErr w:type="spellStart"/>
            <w:r>
              <w:rPr>
                <w:sz w:val="17"/>
                <w:szCs w:val="17"/>
              </w:rPr>
              <w:t>Interact</w:t>
            </w:r>
            <w:proofErr w:type="spellEnd"/>
            <w:r>
              <w:rPr>
                <w:sz w:val="17"/>
                <w:szCs w:val="17"/>
              </w:rPr>
              <w:t xml:space="preserve"> IV (baza danych)</w:t>
            </w:r>
          </w:p>
        </w:tc>
        <w:tc>
          <w:tcPr>
            <w:tcW w:w="765" w:type="dxa"/>
          </w:tcPr>
          <w:p w14:paraId="2F5D87D0" w14:textId="77777777" w:rsidR="00A42F95" w:rsidRPr="00577B07" w:rsidRDefault="00A42F95" w:rsidP="00E73281">
            <w:pPr>
              <w:spacing w:before="60" w:after="60" w:line="240" w:lineRule="auto"/>
              <w:rPr>
                <w:rFonts w:cs="Times New Roman"/>
                <w:noProof/>
                <w:sz w:val="17"/>
                <w:szCs w:val="17"/>
              </w:rPr>
            </w:pPr>
          </w:p>
        </w:tc>
      </w:tr>
      <w:tr w:rsidR="006226E1" w14:paraId="650DDC57" w14:textId="77777777" w:rsidTr="006744E4">
        <w:trPr>
          <w:cantSplit/>
        </w:trPr>
        <w:tc>
          <w:tcPr>
            <w:tcW w:w="716" w:type="dxa"/>
          </w:tcPr>
          <w:p w14:paraId="7631D0C6" w14:textId="77777777" w:rsidR="00A42F95" w:rsidRPr="00577B07" w:rsidRDefault="00A42F95" w:rsidP="00E73281">
            <w:pPr>
              <w:pStyle w:val="Text1"/>
              <w:spacing w:before="60" w:after="60"/>
              <w:ind w:left="0"/>
              <w:jc w:val="left"/>
              <w:rPr>
                <w:rFonts w:cs="Times New Roman"/>
                <w:noProof/>
                <w:sz w:val="17"/>
                <w:szCs w:val="17"/>
              </w:rPr>
            </w:pPr>
            <w:r>
              <w:rPr>
                <w:sz w:val="17"/>
                <w:szCs w:val="17"/>
              </w:rPr>
              <w:t>Dostawa usługi</w:t>
            </w:r>
          </w:p>
        </w:tc>
        <w:tc>
          <w:tcPr>
            <w:tcW w:w="1042" w:type="dxa"/>
          </w:tcPr>
          <w:p w14:paraId="70232188" w14:textId="77777777" w:rsidR="004D1F9C" w:rsidRPr="00577B07" w:rsidRDefault="00C86107">
            <w:pPr>
              <w:pStyle w:val="Text1"/>
              <w:spacing w:before="60" w:after="60"/>
              <w:ind w:left="0"/>
              <w:jc w:val="left"/>
              <w:rPr>
                <w:rFonts w:cs="Times New Roman"/>
                <w:sz w:val="17"/>
                <w:szCs w:val="17"/>
              </w:rPr>
            </w:pPr>
            <w:r>
              <w:rPr>
                <w:sz w:val="17"/>
                <w:szCs w:val="17"/>
              </w:rPr>
              <w:t>Zdolności instytucjonalne władz publicznych</w:t>
            </w:r>
          </w:p>
        </w:tc>
        <w:tc>
          <w:tcPr>
            <w:tcW w:w="993" w:type="dxa"/>
          </w:tcPr>
          <w:p w14:paraId="0ECA43F0" w14:textId="77777777" w:rsidR="004D1F9C" w:rsidRPr="00577B07" w:rsidRDefault="00C86107">
            <w:pPr>
              <w:pStyle w:val="Text1"/>
              <w:spacing w:before="60" w:after="60"/>
              <w:ind w:left="0"/>
              <w:jc w:val="left"/>
              <w:rPr>
                <w:rFonts w:cs="Times New Roman"/>
                <w:sz w:val="17"/>
                <w:szCs w:val="17"/>
              </w:rPr>
            </w:pPr>
            <w:r>
              <w:rPr>
                <w:sz w:val="17"/>
                <w:szCs w:val="17"/>
              </w:rPr>
              <w:t xml:space="preserve">Specyficzny wskaźnik </w:t>
            </w:r>
            <w:proofErr w:type="spellStart"/>
            <w:r>
              <w:rPr>
                <w:sz w:val="17"/>
                <w:szCs w:val="17"/>
              </w:rPr>
              <w:t>Interact</w:t>
            </w:r>
            <w:proofErr w:type="spellEnd"/>
          </w:p>
        </w:tc>
        <w:tc>
          <w:tcPr>
            <w:tcW w:w="1275" w:type="dxa"/>
            <w:shd w:val="clear" w:color="auto" w:fill="auto"/>
          </w:tcPr>
          <w:p w14:paraId="009D0676" w14:textId="1C1F51E7" w:rsidR="004D1F9C" w:rsidRPr="00577B07" w:rsidRDefault="00C86107">
            <w:pPr>
              <w:pStyle w:val="Text1"/>
              <w:spacing w:before="60" w:after="60"/>
              <w:ind w:left="0"/>
              <w:jc w:val="left"/>
              <w:rPr>
                <w:rFonts w:cs="Times New Roman"/>
                <w:sz w:val="17"/>
                <w:szCs w:val="17"/>
              </w:rPr>
            </w:pPr>
            <w:r>
              <w:rPr>
                <w:sz w:val="17"/>
                <w:szCs w:val="17"/>
              </w:rPr>
              <w:t>Instytucje wykorzystujące wiedzę</w:t>
            </w:r>
            <w:r w:rsidR="006744E4">
              <w:rPr>
                <w:sz w:val="17"/>
                <w:szCs w:val="17"/>
              </w:rPr>
              <w:t xml:space="preserve"> </w:t>
            </w:r>
            <w:r>
              <w:rPr>
                <w:sz w:val="17"/>
                <w:szCs w:val="17"/>
              </w:rPr>
              <w:t xml:space="preserve">/umiejętności zdobyte dzięki usługom </w:t>
            </w:r>
            <w:proofErr w:type="spellStart"/>
            <w:r>
              <w:rPr>
                <w:sz w:val="17"/>
                <w:szCs w:val="17"/>
              </w:rPr>
              <w:t>Interact</w:t>
            </w:r>
            <w:proofErr w:type="spellEnd"/>
          </w:p>
        </w:tc>
        <w:tc>
          <w:tcPr>
            <w:tcW w:w="993" w:type="dxa"/>
          </w:tcPr>
          <w:p w14:paraId="230DA028" w14:textId="77777777" w:rsidR="00A42F95" w:rsidRPr="00577B07" w:rsidRDefault="00A42F95" w:rsidP="00E73281">
            <w:pPr>
              <w:pStyle w:val="Text1"/>
              <w:spacing w:before="60" w:after="60"/>
              <w:ind w:left="0"/>
              <w:jc w:val="left"/>
              <w:rPr>
                <w:rFonts w:cs="Times New Roman"/>
                <w:noProof/>
                <w:sz w:val="17"/>
                <w:szCs w:val="17"/>
              </w:rPr>
            </w:pPr>
            <w:r>
              <w:rPr>
                <w:sz w:val="17"/>
                <w:szCs w:val="17"/>
              </w:rPr>
              <w:t>Odsetek (%)</w:t>
            </w:r>
          </w:p>
        </w:tc>
        <w:tc>
          <w:tcPr>
            <w:tcW w:w="850" w:type="dxa"/>
          </w:tcPr>
          <w:p w14:paraId="5CC5D65A" w14:textId="23C3A077" w:rsidR="00A42F95" w:rsidRPr="00577B07" w:rsidRDefault="00A659C3" w:rsidP="00577B07">
            <w:pPr>
              <w:pStyle w:val="Text1"/>
              <w:spacing w:before="60" w:after="60"/>
              <w:ind w:left="0"/>
              <w:jc w:val="right"/>
              <w:rPr>
                <w:rFonts w:cs="Times New Roman"/>
                <w:noProof/>
                <w:sz w:val="17"/>
                <w:szCs w:val="17"/>
              </w:rPr>
            </w:pPr>
            <w:r>
              <w:rPr>
                <w:sz w:val="17"/>
                <w:szCs w:val="17"/>
              </w:rPr>
              <w:t>0</w:t>
            </w:r>
          </w:p>
        </w:tc>
        <w:tc>
          <w:tcPr>
            <w:tcW w:w="709" w:type="dxa"/>
          </w:tcPr>
          <w:p w14:paraId="2CBD2C67" w14:textId="1742E8E9" w:rsidR="00A42F95" w:rsidRPr="00577B07" w:rsidRDefault="00A618CF" w:rsidP="00E73281">
            <w:pPr>
              <w:pStyle w:val="Text1"/>
              <w:spacing w:before="60" w:after="60"/>
              <w:ind w:left="0"/>
              <w:jc w:val="left"/>
              <w:rPr>
                <w:rFonts w:cs="Times New Roman"/>
                <w:noProof/>
                <w:sz w:val="17"/>
                <w:szCs w:val="17"/>
              </w:rPr>
            </w:pPr>
            <w:r>
              <w:rPr>
                <w:sz w:val="17"/>
                <w:szCs w:val="17"/>
              </w:rPr>
              <w:t>2020</w:t>
            </w:r>
          </w:p>
        </w:tc>
        <w:tc>
          <w:tcPr>
            <w:tcW w:w="850" w:type="dxa"/>
            <w:shd w:val="clear" w:color="auto" w:fill="auto"/>
          </w:tcPr>
          <w:p w14:paraId="705D2436" w14:textId="22EFC9C0" w:rsidR="00A42F95" w:rsidRPr="00577B07" w:rsidRDefault="00A659C3" w:rsidP="00577B07">
            <w:pPr>
              <w:pStyle w:val="Text1"/>
              <w:spacing w:before="60" w:after="60"/>
              <w:ind w:left="0"/>
              <w:jc w:val="right"/>
              <w:rPr>
                <w:rFonts w:cs="Times New Roman"/>
                <w:noProof/>
                <w:sz w:val="17"/>
                <w:szCs w:val="17"/>
              </w:rPr>
            </w:pPr>
            <w:r>
              <w:rPr>
                <w:sz w:val="17"/>
                <w:szCs w:val="17"/>
              </w:rPr>
              <w:t>70%</w:t>
            </w:r>
          </w:p>
        </w:tc>
        <w:tc>
          <w:tcPr>
            <w:tcW w:w="993" w:type="dxa"/>
            <w:shd w:val="clear" w:color="auto" w:fill="auto"/>
          </w:tcPr>
          <w:p w14:paraId="40431FAE" w14:textId="49AE468D" w:rsidR="00A42F95" w:rsidRPr="00577B07" w:rsidRDefault="00A618CF" w:rsidP="00E73281">
            <w:pPr>
              <w:pStyle w:val="Text1"/>
              <w:spacing w:before="60" w:after="60"/>
              <w:ind w:left="0"/>
              <w:jc w:val="left"/>
              <w:rPr>
                <w:rFonts w:cs="Times New Roman"/>
                <w:noProof/>
                <w:sz w:val="17"/>
                <w:szCs w:val="17"/>
              </w:rPr>
            </w:pPr>
            <w:r>
              <w:rPr>
                <w:sz w:val="17"/>
                <w:szCs w:val="17"/>
              </w:rPr>
              <w:t>Ankieta</w:t>
            </w:r>
          </w:p>
        </w:tc>
        <w:tc>
          <w:tcPr>
            <w:tcW w:w="765" w:type="dxa"/>
          </w:tcPr>
          <w:p w14:paraId="6A233DFC" w14:textId="77777777" w:rsidR="00A42F95" w:rsidRPr="00577B07" w:rsidRDefault="00A42F95" w:rsidP="00E73281">
            <w:pPr>
              <w:spacing w:before="60" w:after="60" w:line="240" w:lineRule="auto"/>
              <w:rPr>
                <w:rFonts w:cs="Times New Roman"/>
                <w:noProof/>
                <w:sz w:val="17"/>
                <w:szCs w:val="17"/>
              </w:rPr>
            </w:pPr>
          </w:p>
        </w:tc>
      </w:tr>
      <w:tr w:rsidR="006226E1" w14:paraId="2A72DC3E" w14:textId="77777777" w:rsidTr="006744E4">
        <w:trPr>
          <w:cantSplit/>
        </w:trPr>
        <w:tc>
          <w:tcPr>
            <w:tcW w:w="716" w:type="dxa"/>
          </w:tcPr>
          <w:p w14:paraId="5FCACFBE" w14:textId="77777777" w:rsidR="00A42F95" w:rsidRPr="00577B07" w:rsidRDefault="00A42F95" w:rsidP="00E73281">
            <w:pPr>
              <w:pStyle w:val="Text1"/>
              <w:spacing w:before="60" w:after="60"/>
              <w:ind w:left="0"/>
              <w:jc w:val="left"/>
              <w:rPr>
                <w:rFonts w:cs="Times New Roman"/>
                <w:noProof/>
                <w:sz w:val="17"/>
                <w:szCs w:val="17"/>
              </w:rPr>
            </w:pPr>
            <w:r>
              <w:rPr>
                <w:sz w:val="17"/>
                <w:szCs w:val="17"/>
              </w:rPr>
              <w:t>Dostawa usługi</w:t>
            </w:r>
          </w:p>
        </w:tc>
        <w:tc>
          <w:tcPr>
            <w:tcW w:w="1042" w:type="dxa"/>
          </w:tcPr>
          <w:p w14:paraId="02909993" w14:textId="77777777" w:rsidR="004D1F9C" w:rsidRPr="00577B07" w:rsidRDefault="00C86107">
            <w:pPr>
              <w:pStyle w:val="Text1"/>
              <w:spacing w:before="60" w:after="60"/>
              <w:ind w:left="0"/>
              <w:jc w:val="left"/>
              <w:rPr>
                <w:rFonts w:cs="Times New Roman"/>
                <w:sz w:val="17"/>
                <w:szCs w:val="17"/>
              </w:rPr>
            </w:pPr>
            <w:r>
              <w:rPr>
                <w:sz w:val="17"/>
                <w:szCs w:val="17"/>
              </w:rPr>
              <w:t>Zdolności instytucjonalne władz publicznych</w:t>
            </w:r>
          </w:p>
        </w:tc>
        <w:tc>
          <w:tcPr>
            <w:tcW w:w="993" w:type="dxa"/>
          </w:tcPr>
          <w:p w14:paraId="00603EF3" w14:textId="77777777" w:rsidR="00A42F95" w:rsidRPr="00577B07" w:rsidRDefault="00A42F95" w:rsidP="00E73281">
            <w:pPr>
              <w:pStyle w:val="Text1"/>
              <w:spacing w:before="60" w:after="60"/>
              <w:ind w:left="0"/>
              <w:jc w:val="left"/>
              <w:rPr>
                <w:rFonts w:cs="Times New Roman"/>
                <w:noProof/>
                <w:sz w:val="17"/>
                <w:szCs w:val="17"/>
              </w:rPr>
            </w:pPr>
            <w:r>
              <w:rPr>
                <w:sz w:val="17"/>
                <w:szCs w:val="17"/>
              </w:rPr>
              <w:t xml:space="preserve">Specyficzny wskaźnik </w:t>
            </w:r>
            <w:proofErr w:type="spellStart"/>
            <w:r>
              <w:rPr>
                <w:sz w:val="17"/>
                <w:szCs w:val="17"/>
              </w:rPr>
              <w:t>Interact</w:t>
            </w:r>
            <w:proofErr w:type="spellEnd"/>
          </w:p>
        </w:tc>
        <w:tc>
          <w:tcPr>
            <w:tcW w:w="1275" w:type="dxa"/>
            <w:shd w:val="clear" w:color="auto" w:fill="auto"/>
          </w:tcPr>
          <w:p w14:paraId="075B99A5" w14:textId="77777777" w:rsidR="00A42F95" w:rsidRPr="00577B07" w:rsidRDefault="00A42F95" w:rsidP="00E73281">
            <w:pPr>
              <w:pStyle w:val="Text1"/>
              <w:spacing w:before="60" w:after="60"/>
              <w:ind w:left="0"/>
              <w:jc w:val="left"/>
              <w:rPr>
                <w:rFonts w:cs="Times New Roman"/>
                <w:noProof/>
                <w:sz w:val="17"/>
                <w:szCs w:val="17"/>
              </w:rPr>
            </w:pPr>
            <w:r>
              <w:rPr>
                <w:sz w:val="17"/>
                <w:szCs w:val="17"/>
              </w:rPr>
              <w:t xml:space="preserve">Instytucje korzystające z rozwiązań opracowanych w ramach usług </w:t>
            </w:r>
            <w:proofErr w:type="spellStart"/>
            <w:r>
              <w:rPr>
                <w:sz w:val="17"/>
                <w:szCs w:val="17"/>
              </w:rPr>
              <w:t>Interact</w:t>
            </w:r>
            <w:proofErr w:type="spellEnd"/>
          </w:p>
        </w:tc>
        <w:tc>
          <w:tcPr>
            <w:tcW w:w="993" w:type="dxa"/>
          </w:tcPr>
          <w:p w14:paraId="6021FD3D" w14:textId="77777777" w:rsidR="004D1F9C" w:rsidRPr="00577B07" w:rsidRDefault="00C86107">
            <w:pPr>
              <w:pStyle w:val="Text1"/>
              <w:spacing w:before="60" w:after="60"/>
              <w:ind w:left="0"/>
              <w:jc w:val="left"/>
              <w:rPr>
                <w:rFonts w:cs="Times New Roman"/>
                <w:sz w:val="17"/>
                <w:szCs w:val="17"/>
              </w:rPr>
            </w:pPr>
            <w:r>
              <w:rPr>
                <w:sz w:val="17"/>
                <w:szCs w:val="17"/>
              </w:rPr>
              <w:t>Odsetek (%)</w:t>
            </w:r>
          </w:p>
        </w:tc>
        <w:tc>
          <w:tcPr>
            <w:tcW w:w="850" w:type="dxa"/>
          </w:tcPr>
          <w:p w14:paraId="12FD06DB" w14:textId="641BA064" w:rsidR="00A42F95" w:rsidRPr="00577B07" w:rsidRDefault="00A659C3" w:rsidP="00577B07">
            <w:pPr>
              <w:pStyle w:val="Text1"/>
              <w:spacing w:before="60" w:after="60"/>
              <w:ind w:left="0"/>
              <w:jc w:val="right"/>
              <w:rPr>
                <w:rFonts w:cs="Times New Roman"/>
                <w:noProof/>
                <w:sz w:val="17"/>
                <w:szCs w:val="17"/>
              </w:rPr>
            </w:pPr>
            <w:r>
              <w:rPr>
                <w:sz w:val="17"/>
                <w:szCs w:val="17"/>
              </w:rPr>
              <w:t>0</w:t>
            </w:r>
          </w:p>
        </w:tc>
        <w:tc>
          <w:tcPr>
            <w:tcW w:w="709" w:type="dxa"/>
          </w:tcPr>
          <w:p w14:paraId="0FFCC1B9" w14:textId="1494EB1C" w:rsidR="00A42F95" w:rsidRPr="00577B07" w:rsidRDefault="00A618CF" w:rsidP="00E73281">
            <w:pPr>
              <w:pStyle w:val="Text1"/>
              <w:spacing w:before="60" w:after="60"/>
              <w:ind w:left="0"/>
              <w:jc w:val="left"/>
              <w:rPr>
                <w:rFonts w:cs="Times New Roman"/>
                <w:noProof/>
                <w:sz w:val="17"/>
                <w:szCs w:val="17"/>
              </w:rPr>
            </w:pPr>
            <w:r>
              <w:rPr>
                <w:sz w:val="17"/>
                <w:szCs w:val="17"/>
              </w:rPr>
              <w:t>2020</w:t>
            </w:r>
          </w:p>
        </w:tc>
        <w:tc>
          <w:tcPr>
            <w:tcW w:w="850" w:type="dxa"/>
            <w:shd w:val="clear" w:color="auto" w:fill="auto"/>
          </w:tcPr>
          <w:p w14:paraId="6EA09897" w14:textId="12E50DC6" w:rsidR="00A42F95" w:rsidRPr="00577B07" w:rsidRDefault="00A659C3" w:rsidP="00577B07">
            <w:pPr>
              <w:pStyle w:val="Text1"/>
              <w:spacing w:before="60" w:after="60"/>
              <w:ind w:left="0"/>
              <w:jc w:val="right"/>
              <w:rPr>
                <w:rFonts w:cs="Times New Roman"/>
                <w:noProof/>
                <w:sz w:val="17"/>
                <w:szCs w:val="17"/>
              </w:rPr>
            </w:pPr>
            <w:r>
              <w:rPr>
                <w:sz w:val="17"/>
                <w:szCs w:val="17"/>
              </w:rPr>
              <w:t xml:space="preserve">70% </w:t>
            </w:r>
          </w:p>
        </w:tc>
        <w:tc>
          <w:tcPr>
            <w:tcW w:w="993" w:type="dxa"/>
            <w:shd w:val="clear" w:color="auto" w:fill="auto"/>
          </w:tcPr>
          <w:p w14:paraId="220AD683" w14:textId="659ACD65" w:rsidR="00A42F95" w:rsidRPr="00577B07" w:rsidRDefault="00A618CF" w:rsidP="00E73281">
            <w:pPr>
              <w:pStyle w:val="Text1"/>
              <w:spacing w:before="60" w:after="60"/>
              <w:ind w:left="0"/>
              <w:jc w:val="left"/>
              <w:rPr>
                <w:rFonts w:cs="Times New Roman"/>
                <w:noProof/>
                <w:sz w:val="17"/>
                <w:szCs w:val="17"/>
              </w:rPr>
            </w:pPr>
            <w:r>
              <w:rPr>
                <w:sz w:val="17"/>
                <w:szCs w:val="17"/>
              </w:rPr>
              <w:t>Ankieta</w:t>
            </w:r>
          </w:p>
        </w:tc>
        <w:tc>
          <w:tcPr>
            <w:tcW w:w="765" w:type="dxa"/>
          </w:tcPr>
          <w:p w14:paraId="14D42A99" w14:textId="77777777" w:rsidR="00A42F95" w:rsidRPr="00577B07" w:rsidRDefault="00A42F95" w:rsidP="00E73281">
            <w:pPr>
              <w:spacing w:before="60" w:after="60" w:line="240" w:lineRule="auto"/>
              <w:rPr>
                <w:rFonts w:cs="Times New Roman"/>
                <w:noProof/>
                <w:sz w:val="17"/>
                <w:szCs w:val="17"/>
              </w:rPr>
            </w:pPr>
          </w:p>
        </w:tc>
      </w:tr>
    </w:tbl>
    <w:p w14:paraId="1377F3E5" w14:textId="77777777" w:rsidR="00C75F93" w:rsidRDefault="00C75F93" w:rsidP="00C75F93">
      <w:pPr>
        <w:ind w:left="709" w:hanging="709"/>
        <w:jc w:val="both"/>
        <w:rPr>
          <w:rFonts w:eastAsia="Times New Roman"/>
          <w:b/>
        </w:rPr>
      </w:pPr>
    </w:p>
    <w:p w14:paraId="7BD44299" w14:textId="3BFA7D10" w:rsidR="00C75F93" w:rsidRDefault="00C75F93" w:rsidP="00671B0E">
      <w:pPr>
        <w:keepNext/>
        <w:ind w:left="709" w:hanging="709"/>
        <w:jc w:val="both"/>
      </w:pPr>
      <w:r>
        <w:rPr>
          <w:b/>
        </w:rPr>
        <w:t>2.1.4</w:t>
      </w:r>
      <w:r>
        <w:rPr>
          <w:b/>
        </w:rPr>
        <w:tab/>
        <w:t>Główne grupy docelowe</w:t>
      </w:r>
    </w:p>
    <w:p w14:paraId="190BE072" w14:textId="77777777" w:rsidR="00C75F93" w:rsidRDefault="00C75F93" w:rsidP="00671B0E">
      <w:pPr>
        <w:keepNext/>
        <w:jc w:val="both"/>
      </w:pPr>
      <w:r>
        <w:rPr>
          <w:i/>
          <w:color w:val="000000"/>
        </w:rPr>
        <w:t>Odniesienie: Art. 17(4)(e)(iii), Art. 17(9)(c)(iv)</w:t>
      </w:r>
    </w:p>
    <w:p w14:paraId="6F524546" w14:textId="3BEDF10D" w:rsidR="004D1F9C" w:rsidRDefault="00C86107" w:rsidP="00607E61">
      <w:pPr>
        <w:pStyle w:val="Normalpararaph"/>
      </w:pPr>
      <w:proofErr w:type="spellStart"/>
      <w:r>
        <w:t>Interact</w:t>
      </w:r>
      <w:proofErr w:type="spellEnd"/>
      <w:r>
        <w:t xml:space="preserve"> służył społeczności </w:t>
      </w:r>
      <w:proofErr w:type="spellStart"/>
      <w:r>
        <w:t>Interreg</w:t>
      </w:r>
      <w:proofErr w:type="spellEnd"/>
      <w:r>
        <w:t xml:space="preserve"> już od pierwszej </w:t>
      </w:r>
      <w:r w:rsidR="00125B61">
        <w:t xml:space="preserve">edycji </w:t>
      </w:r>
      <w:proofErr w:type="spellStart"/>
      <w:r>
        <w:t>Interact</w:t>
      </w:r>
      <w:proofErr w:type="spellEnd"/>
      <w:r>
        <w:t xml:space="preserve"> (</w:t>
      </w:r>
      <w:proofErr w:type="spellStart"/>
      <w:r>
        <w:t>Interact</w:t>
      </w:r>
      <w:proofErr w:type="spellEnd"/>
      <w:r>
        <w:t xml:space="preserve"> I). Jednak to właśnie podczas </w:t>
      </w:r>
      <w:proofErr w:type="spellStart"/>
      <w:r>
        <w:t>Interact</w:t>
      </w:r>
      <w:proofErr w:type="spellEnd"/>
      <w:r>
        <w:t xml:space="preserve"> III wprowadzono nowe, szersze grupy docelowe. Było to zjawiskiem naturalnym, ponieważ strategiczne zaangażowanie </w:t>
      </w:r>
      <w:proofErr w:type="spellStart"/>
      <w:r>
        <w:t>Interact</w:t>
      </w:r>
      <w:proofErr w:type="spellEnd"/>
      <w:r>
        <w:t xml:space="preserve"> </w:t>
      </w:r>
      <w:r w:rsidR="002B2906">
        <w:t xml:space="preserve">powiązało </w:t>
      </w:r>
      <w:r>
        <w:t xml:space="preserve">program </w:t>
      </w:r>
      <w:r w:rsidR="002B2906">
        <w:t xml:space="preserve">z </w:t>
      </w:r>
      <w:r>
        <w:t>now</w:t>
      </w:r>
      <w:r w:rsidR="002B2906">
        <w:t>ymi</w:t>
      </w:r>
      <w:r>
        <w:t xml:space="preserve"> grup</w:t>
      </w:r>
      <w:r w:rsidR="002B2906">
        <w:t>ami</w:t>
      </w:r>
      <w:r>
        <w:t xml:space="preserve"> docelow</w:t>
      </w:r>
      <w:r w:rsidR="002B2906">
        <w:t>ymi,</w:t>
      </w:r>
      <w:r>
        <w:t xml:space="preserve"> </w:t>
      </w:r>
      <w:r w:rsidR="002B2906">
        <w:t>posiadającymi</w:t>
      </w:r>
      <w:r>
        <w:t xml:space="preserve"> zakres tematyczny lub interesariuszy poza </w:t>
      </w:r>
      <w:proofErr w:type="spellStart"/>
      <w:r>
        <w:t>Interreg</w:t>
      </w:r>
      <w:proofErr w:type="spellEnd"/>
      <w:r>
        <w:t xml:space="preserve">. Strategiczne zaangażowanie tychże </w:t>
      </w:r>
      <w:r w:rsidR="00037266">
        <w:t xml:space="preserve">interesariuszy </w:t>
      </w:r>
      <w:r>
        <w:t xml:space="preserve">było szczególnie ważne, ponieważ pozwoliło im podzielić się szerszym obrazem współpracy europejskiej, a w przyszłości znów będzie miało kluczowe znaczenie dla powodzenia działań w ramach </w:t>
      </w:r>
      <w:proofErr w:type="spellStart"/>
      <w:r>
        <w:t>Interact</w:t>
      </w:r>
      <w:proofErr w:type="spellEnd"/>
      <w:r>
        <w:t xml:space="preserve"> i </w:t>
      </w:r>
      <w:proofErr w:type="spellStart"/>
      <w:r>
        <w:t>Interreg</w:t>
      </w:r>
      <w:proofErr w:type="spellEnd"/>
      <w:r>
        <w:t>.</w:t>
      </w:r>
    </w:p>
    <w:p w14:paraId="4238808C" w14:textId="484F8FCF" w:rsidR="004D1F9C" w:rsidRDefault="00C86107" w:rsidP="00607E61">
      <w:pPr>
        <w:pStyle w:val="Normalpararaph"/>
      </w:pPr>
      <w:r>
        <w:lastRenderedPageBreak/>
        <w:t xml:space="preserve">Dobrym tego przykładem są prace </w:t>
      </w:r>
      <w:proofErr w:type="spellStart"/>
      <w:r>
        <w:t>Interact</w:t>
      </w:r>
      <w:proofErr w:type="spellEnd"/>
      <w:r>
        <w:t xml:space="preserve"> </w:t>
      </w:r>
      <w:r w:rsidR="00037266">
        <w:t xml:space="preserve">nad przyszłością </w:t>
      </w:r>
      <w:r>
        <w:t xml:space="preserve">po 2020 r., kiedy to </w:t>
      </w:r>
      <w:r w:rsidR="00125B61">
        <w:t xml:space="preserve">połączono wysiłki </w:t>
      </w:r>
      <w:r>
        <w:t>program</w:t>
      </w:r>
      <w:r w:rsidR="00125B61">
        <w:t>ów</w:t>
      </w:r>
      <w:r>
        <w:t xml:space="preserve"> </w:t>
      </w:r>
      <w:proofErr w:type="spellStart"/>
      <w:r>
        <w:t>Interreg</w:t>
      </w:r>
      <w:proofErr w:type="spellEnd"/>
      <w:r>
        <w:t>, państw członkowski</w:t>
      </w:r>
      <w:r w:rsidR="00125B61">
        <w:t>ch</w:t>
      </w:r>
      <w:r>
        <w:t>, Komisj</w:t>
      </w:r>
      <w:r w:rsidR="00037266">
        <w:t>i</w:t>
      </w:r>
      <w:r>
        <w:t xml:space="preserve"> i inn</w:t>
      </w:r>
      <w:r w:rsidR="00125B61">
        <w:t>ych</w:t>
      </w:r>
      <w:r>
        <w:t xml:space="preserve"> zainteresowan</w:t>
      </w:r>
      <w:r w:rsidR="00125B61">
        <w:t>ych</w:t>
      </w:r>
      <w:r>
        <w:t xml:space="preserve"> stron pod jednym sztandarem „lepszej przyszłości” i współpracy europejskiej. Istnieje jednak również wiele innych równie dobrych przykładów, w których rozwój i ewolucja relacji </w:t>
      </w:r>
      <w:proofErr w:type="spellStart"/>
      <w:r>
        <w:t>Interact</w:t>
      </w:r>
      <w:proofErr w:type="spellEnd"/>
      <w:r>
        <w:t xml:space="preserve"> z nowymi grupami interesariuszy przyniosła pozytywne rezultaty. Na przykład: działania związane z pracą nad strategiami makroregionalnymi, wspólnym elektronicznym systemem monitorowania, zharmonizowanym</w:t>
      </w:r>
      <w:r w:rsidR="00037266">
        <w:t>i</w:t>
      </w:r>
      <w:r>
        <w:t xml:space="preserve"> </w:t>
      </w:r>
      <w:r w:rsidR="00037266">
        <w:t xml:space="preserve">narzędziami </w:t>
      </w:r>
      <w:r>
        <w:t>wdr</w:t>
      </w:r>
      <w:r w:rsidR="00037266">
        <w:t>a</w:t>
      </w:r>
      <w:r>
        <w:t>ż</w:t>
      </w:r>
      <w:r w:rsidR="00037266">
        <w:t>a</w:t>
      </w:r>
      <w:r>
        <w:t>ni</w:t>
      </w:r>
      <w:r w:rsidR="00037266">
        <w:t>a</w:t>
      </w:r>
      <w:r>
        <w:t xml:space="preserve"> (HIT), portalem </w:t>
      </w:r>
      <w:proofErr w:type="spellStart"/>
      <w:r>
        <w:t>Interreg</w:t>
      </w:r>
      <w:proofErr w:type="spellEnd"/>
      <w:r>
        <w:t xml:space="preserve">, keep.eu, Dniem </w:t>
      </w:r>
      <w:r w:rsidR="00037266">
        <w:t xml:space="preserve">Współpracy Europejskiej </w:t>
      </w:r>
      <w:r>
        <w:t>i prac</w:t>
      </w:r>
      <w:r w:rsidR="00037266">
        <w:t>e</w:t>
      </w:r>
      <w:r>
        <w:t xml:space="preserve"> związan</w:t>
      </w:r>
      <w:r w:rsidR="00037266">
        <w:t>e</w:t>
      </w:r>
      <w:r>
        <w:t xml:space="preserve"> z</w:t>
      </w:r>
      <w:r w:rsidR="00AA3BCD">
        <w:t xml:space="preserve"> art</w:t>
      </w:r>
      <w:r>
        <w:t xml:space="preserve">. 96.6.b </w:t>
      </w:r>
      <w:r w:rsidR="00942D90">
        <w:t>rozporządzenia ogólnego</w:t>
      </w:r>
      <w:r>
        <w:t>.</w:t>
      </w:r>
    </w:p>
    <w:p w14:paraId="0CA846EA" w14:textId="7E32E673" w:rsidR="004D1F9C" w:rsidRDefault="00C86107" w:rsidP="00607E61">
      <w:pPr>
        <w:pStyle w:val="Normalpararaph"/>
      </w:pPr>
      <w:r>
        <w:t xml:space="preserve">Program </w:t>
      </w:r>
      <w:proofErr w:type="spellStart"/>
      <w:r>
        <w:t>Interact</w:t>
      </w:r>
      <w:proofErr w:type="spellEnd"/>
      <w:r>
        <w:t xml:space="preserve"> IV będzie nadal skoncentrowany na świadczeniu usług dla swoich głównych grup docelowych – </w:t>
      </w:r>
      <w:r w:rsidR="00AA3BCD">
        <w:t xml:space="preserve">instytucji </w:t>
      </w:r>
      <w:r>
        <w:t xml:space="preserve"> program</w:t>
      </w:r>
      <w:r w:rsidR="00AA3BCD">
        <w:t>owych</w:t>
      </w:r>
      <w:r>
        <w:t xml:space="preserve"> </w:t>
      </w:r>
      <w:proofErr w:type="spellStart"/>
      <w:r>
        <w:t>Interreg</w:t>
      </w:r>
      <w:proofErr w:type="spellEnd"/>
      <w:r>
        <w:t xml:space="preserve"> – gdzie już w poprzednich okresach programowania zbudowane zostały silne powiązania, zaufanie i zaangażowanie. Wraz z rozszerzaniem się rodziny </w:t>
      </w:r>
      <w:proofErr w:type="spellStart"/>
      <w:r>
        <w:t>Interreg</w:t>
      </w:r>
      <w:proofErr w:type="spellEnd"/>
      <w:r>
        <w:t xml:space="preserve">, oprócz </w:t>
      </w:r>
      <w:proofErr w:type="spellStart"/>
      <w:r>
        <w:t>Interreg</w:t>
      </w:r>
      <w:proofErr w:type="spellEnd"/>
      <w:r>
        <w:t xml:space="preserve"> i IPA CBC, do usług </w:t>
      </w:r>
      <w:proofErr w:type="spellStart"/>
      <w:r>
        <w:t>Interact</w:t>
      </w:r>
      <w:proofErr w:type="spellEnd"/>
      <w:r>
        <w:t xml:space="preserve"> będą jeszcze intensywniej włączane programy </w:t>
      </w:r>
      <w:proofErr w:type="spellStart"/>
      <w:r>
        <w:t>Interreg</w:t>
      </w:r>
      <w:proofErr w:type="spellEnd"/>
      <w:r>
        <w:t xml:space="preserve"> NEXT (obecnie ENI CBC). Zatem grupa docelowa, w związku z poszerzaniem społeczności </w:t>
      </w:r>
      <w:proofErr w:type="spellStart"/>
      <w:r>
        <w:t>Interreg</w:t>
      </w:r>
      <w:proofErr w:type="spellEnd"/>
      <w:r>
        <w:t xml:space="preserve">, będzie stawała się coraz większa. Jednocześnie </w:t>
      </w:r>
      <w:proofErr w:type="spellStart"/>
      <w:r>
        <w:t>Interact</w:t>
      </w:r>
      <w:proofErr w:type="spellEnd"/>
      <w:r>
        <w:t xml:space="preserve"> wybiega naprzeciw nowym ambicjom i wyzwaniom, ponieważ w projekcie rozporządzenia </w:t>
      </w:r>
      <w:r w:rsidR="00942D90">
        <w:t>ogólnego</w:t>
      </w:r>
      <w:r w:rsidR="00037266">
        <w:t xml:space="preserve"> </w:t>
      </w:r>
      <w:r>
        <w:t xml:space="preserve">oficjalnie wzywa się organizację do wspierania współpracy w szerszej perspektywie, w tym podmiotów </w:t>
      </w:r>
      <w:r w:rsidR="00942D90">
        <w:t>zaangażowanych w realizacj</w:t>
      </w:r>
      <w:r w:rsidR="00037266">
        <w:t>ę</w:t>
      </w:r>
      <w:r w:rsidR="00942D90">
        <w:t xml:space="preserve"> programów krajowych i regionalnych</w:t>
      </w:r>
      <w:r w:rsidR="00037266">
        <w:t>,</w:t>
      </w:r>
      <w:r>
        <w:t xml:space="preserve"> w ramach portfolio usług </w:t>
      </w:r>
      <w:proofErr w:type="spellStart"/>
      <w:r>
        <w:t>Interact</w:t>
      </w:r>
      <w:proofErr w:type="spellEnd"/>
      <w:r>
        <w:t>, w wyraźnie i starannie dobranych ukierunkowanych działaniach.</w:t>
      </w:r>
    </w:p>
    <w:p w14:paraId="2EB5407F" w14:textId="01BFD573" w:rsidR="004D1F9C" w:rsidRDefault="00C86107" w:rsidP="00607E61">
      <w:pPr>
        <w:pStyle w:val="Normalpararaph"/>
      </w:pPr>
      <w:r>
        <w:t>Ogólnie rzecz</w:t>
      </w:r>
      <w:r>
        <w:rPr>
          <w:rFonts w:ascii="'Times New Roman'" w:hAnsi="'Times New Roman'"/>
        </w:rPr>
        <w:t xml:space="preserve"> </w:t>
      </w:r>
      <w:r>
        <w:t xml:space="preserve">biorąc, grupy docelowe w kontekście </w:t>
      </w:r>
      <w:proofErr w:type="spellStart"/>
      <w:r>
        <w:t>Interact</w:t>
      </w:r>
      <w:proofErr w:type="spellEnd"/>
      <w:r>
        <w:t xml:space="preserve"> są uważane za najbardziej odpowiednie podmioty, które albo otrzymają usługę </w:t>
      </w:r>
      <w:proofErr w:type="spellStart"/>
      <w:r>
        <w:t>Interact</w:t>
      </w:r>
      <w:proofErr w:type="spellEnd"/>
      <w:r>
        <w:t xml:space="preserve">, albo zostaną zaangażowane przez </w:t>
      </w:r>
      <w:proofErr w:type="spellStart"/>
      <w:r>
        <w:t>Interact</w:t>
      </w:r>
      <w:proofErr w:type="spellEnd"/>
      <w:r>
        <w:t xml:space="preserve"> w ten czy inny sposób, stając się częścią społeczności agentów zmiany. Dlatego oprócz roli odbiorcy usługi, istnieją również dwie inne, równie istotne role dla grup docelowych – </w:t>
      </w:r>
      <w:proofErr w:type="spellStart"/>
      <w:r>
        <w:t>influencerów</w:t>
      </w:r>
      <w:proofErr w:type="spellEnd"/>
      <w:r>
        <w:t xml:space="preserve"> lub ambasadorów. Grupy docelowe w naturalny sposób odzwierciedlają charakter i kontekst tego, co </w:t>
      </w:r>
      <w:proofErr w:type="spellStart"/>
      <w:r>
        <w:t>Interact</w:t>
      </w:r>
      <w:proofErr w:type="spellEnd"/>
      <w:r>
        <w:t xml:space="preserve"> planuje dostarczyć w ramach swojego portfolio usług na lata 2021-2027.</w:t>
      </w:r>
    </w:p>
    <w:p w14:paraId="7A781888" w14:textId="4EE2BB39" w:rsidR="004D1F9C" w:rsidRDefault="00C86107" w:rsidP="00607E61">
      <w:pPr>
        <w:pStyle w:val="Normalpararaph"/>
        <w:keepNext/>
      </w:pPr>
      <w:r>
        <w:t xml:space="preserve">Program </w:t>
      </w:r>
      <w:proofErr w:type="spellStart"/>
      <w:r>
        <w:t>Interact</w:t>
      </w:r>
      <w:proofErr w:type="spellEnd"/>
      <w:r>
        <w:t xml:space="preserve"> IV proponuje trzy perspektywy świadczenia usług</w:t>
      </w:r>
      <w:r w:rsidR="0063787D">
        <w:t xml:space="preserve"> </w:t>
      </w:r>
      <w:r w:rsidR="00AB3EA7">
        <w:t>na lata 2021-2027</w:t>
      </w:r>
      <w:r>
        <w:t>, koncentrując się na:</w:t>
      </w:r>
    </w:p>
    <w:p w14:paraId="6C5215C9" w14:textId="1C0A1D47" w:rsidR="004D1F9C" w:rsidRDefault="00C86107" w:rsidP="00607E61">
      <w:pPr>
        <w:pStyle w:val="Bulletedlist1"/>
      </w:pPr>
      <w:r>
        <w:t>Perspektywa 1: Wzmocnienie zdolności zarządzania</w:t>
      </w:r>
      <w:r w:rsidR="0063787D">
        <w:t xml:space="preserve"> w</w:t>
      </w:r>
      <w:r>
        <w:t xml:space="preserve"> programa</w:t>
      </w:r>
      <w:r w:rsidR="0063787D">
        <w:t>ch</w:t>
      </w:r>
      <w:r>
        <w:t xml:space="preserve"> </w:t>
      </w:r>
      <w:proofErr w:type="spellStart"/>
      <w:r>
        <w:t>Interreg</w:t>
      </w:r>
      <w:proofErr w:type="spellEnd"/>
      <w:r>
        <w:t xml:space="preserve"> i</w:t>
      </w:r>
      <w:r w:rsidR="0063787D">
        <w:t xml:space="preserve"> wśród</w:t>
      </w:r>
      <w:r>
        <w:t xml:space="preserve"> inny</w:t>
      </w:r>
      <w:r w:rsidR="0063787D">
        <w:t>ch</w:t>
      </w:r>
      <w:r>
        <w:t xml:space="preserve"> podmiot</w:t>
      </w:r>
      <w:r w:rsidR="0063787D">
        <w:t>ów</w:t>
      </w:r>
      <w:r>
        <w:t xml:space="preserve"> współpracy</w:t>
      </w:r>
    </w:p>
    <w:p w14:paraId="241AADF1" w14:textId="6D656629" w:rsidR="004D1F9C" w:rsidRDefault="00C86107" w:rsidP="00607E61">
      <w:pPr>
        <w:pStyle w:val="Bulletedlist1"/>
      </w:pPr>
      <w:r>
        <w:t xml:space="preserve">Perspektywa 2: Wzmocnienie zdolności programów </w:t>
      </w:r>
      <w:proofErr w:type="spellStart"/>
      <w:r>
        <w:t>Interreg</w:t>
      </w:r>
      <w:proofErr w:type="spellEnd"/>
      <w:r>
        <w:t xml:space="preserve"> i innych podmiotów współpracujących do pracy w program</w:t>
      </w:r>
      <w:r w:rsidR="0063787D">
        <w:t>ach</w:t>
      </w:r>
      <w:r>
        <w:t xml:space="preserve"> </w:t>
      </w:r>
      <w:r w:rsidR="0063787D">
        <w:t>współpracy i w kontekście współpracy</w:t>
      </w:r>
    </w:p>
    <w:p w14:paraId="2E8FBC03" w14:textId="660D363E" w:rsidR="004D1F9C" w:rsidRDefault="00C86107" w:rsidP="00607E61">
      <w:pPr>
        <w:pStyle w:val="Bulletedlist1"/>
      </w:pPr>
      <w:r>
        <w:t xml:space="preserve">Perspektywa 3: Wzmocnienie zdolności programów </w:t>
      </w:r>
      <w:proofErr w:type="spellStart"/>
      <w:r>
        <w:t>Interreg</w:t>
      </w:r>
      <w:proofErr w:type="spellEnd"/>
      <w:r>
        <w:t xml:space="preserve"> do </w:t>
      </w:r>
      <w:r w:rsidR="0063787D">
        <w:t xml:space="preserve">utrwalania </w:t>
      </w:r>
      <w:r>
        <w:t>i komunikowania wyników programu oraz do zwiększania ich widoczności</w:t>
      </w:r>
    </w:p>
    <w:p w14:paraId="5B2C812D" w14:textId="77777777" w:rsidR="004D1F9C" w:rsidRDefault="00FF146B" w:rsidP="00FF146B">
      <w:pPr>
        <w:pStyle w:val="Normalpararaph"/>
      </w:pPr>
      <w:r>
        <w:lastRenderedPageBreak/>
        <w:t xml:space="preserve">W trzech powyższych perspektywach znajduje odzwierciedlenie zaangażowanie grup docelowych w przyszłe świadczenie usług. Niektóre grupy docelowe będą mocno zaangażowane we wszystkie trzy perspektywy jednocześnie, pełniąc różne role (odbiorcy, </w:t>
      </w:r>
      <w:proofErr w:type="spellStart"/>
      <w:r>
        <w:t>influencera</w:t>
      </w:r>
      <w:proofErr w:type="spellEnd"/>
      <w:r>
        <w:t>, ambasadora). Z drugiej strony, niektóre grupy docelowe będą miały ograniczone zaangażowanie w pewnych perspektywach, lub nie będą go posiadać w ogóle.</w:t>
      </w:r>
    </w:p>
    <w:p w14:paraId="55647D21" w14:textId="77777777" w:rsidR="004D1F9C" w:rsidRPr="00524C8A" w:rsidRDefault="00C86107" w:rsidP="00FF146B">
      <w:pPr>
        <w:pStyle w:val="Normalpararaph"/>
      </w:pPr>
      <w:r>
        <w:t xml:space="preserve">Na potrzeby </w:t>
      </w:r>
      <w:proofErr w:type="spellStart"/>
      <w:r>
        <w:t>Interact</w:t>
      </w:r>
      <w:proofErr w:type="spellEnd"/>
      <w:r>
        <w:t xml:space="preserve"> IV angażowane będą trzy główne grupy interesariuszy:</w:t>
      </w:r>
    </w:p>
    <w:p w14:paraId="19976824" w14:textId="692691A5" w:rsidR="00AC2033" w:rsidRPr="00577B07" w:rsidRDefault="00AB3EA7" w:rsidP="00577B07">
      <w:pPr>
        <w:pStyle w:val="Letterlist"/>
      </w:pPr>
      <w:r>
        <w:t>instytucje</w:t>
      </w:r>
      <w:r w:rsidR="00AC2033">
        <w:t xml:space="preserve"> programu </w:t>
      </w:r>
      <w:proofErr w:type="spellStart"/>
      <w:r w:rsidR="00AC2033">
        <w:t>Interreg</w:t>
      </w:r>
      <w:proofErr w:type="spellEnd"/>
      <w:r w:rsidR="00AC2033">
        <w:t xml:space="preserve"> (</w:t>
      </w:r>
      <w:proofErr w:type="spellStart"/>
      <w:r w:rsidR="00AC2033">
        <w:t>Interreg</w:t>
      </w:r>
      <w:proofErr w:type="spellEnd"/>
      <w:r w:rsidR="00AC2033">
        <w:t xml:space="preserve">, IPA CBC, </w:t>
      </w:r>
      <w:proofErr w:type="spellStart"/>
      <w:r w:rsidR="00AC2033">
        <w:t>Interreg</w:t>
      </w:r>
      <w:proofErr w:type="spellEnd"/>
      <w:r w:rsidR="00AC2033">
        <w:t xml:space="preserve"> NEXT); przy czym ich szczególną rolą</w:t>
      </w:r>
      <w:r w:rsidR="00C14BF5">
        <w:t xml:space="preserve"> będzie bycie odbiorcą świadczonych przez </w:t>
      </w:r>
      <w:proofErr w:type="spellStart"/>
      <w:r w:rsidR="00C14BF5">
        <w:t>Interact</w:t>
      </w:r>
      <w:proofErr w:type="spellEnd"/>
      <w:r w:rsidR="00C14BF5">
        <w:t xml:space="preserve"> usług</w:t>
      </w:r>
      <w:r w:rsidR="00AC2033">
        <w:t>, jako swoistych „sparing partnerów”  w wymian</w:t>
      </w:r>
      <w:r w:rsidR="00C14BF5">
        <w:t>ie</w:t>
      </w:r>
      <w:r w:rsidR="00AC2033">
        <w:t xml:space="preserve"> doświadczeń i </w:t>
      </w:r>
      <w:r w:rsidR="00BC27E0">
        <w:t>powiązanych z rezultatami polityki strategicznej</w:t>
      </w:r>
      <w:r w:rsidR="00AC2033">
        <w:t>. Ta grupa docelowa obejmuje bardziej szczegółowo:</w:t>
      </w:r>
    </w:p>
    <w:p w14:paraId="6082DD1B" w14:textId="150FCC98" w:rsidR="00AC2033" w:rsidRPr="00524C8A" w:rsidRDefault="00AC2033" w:rsidP="00577B07">
      <w:pPr>
        <w:pStyle w:val="Bulletedlist1"/>
        <w:ind w:left="680"/>
        <w:rPr>
          <w:rFonts w:eastAsiaTheme="minorHAnsi"/>
        </w:rPr>
      </w:pPr>
      <w:r>
        <w:t xml:space="preserve">Instytucje Zarządzające – główny odbiorca usług </w:t>
      </w:r>
      <w:proofErr w:type="spellStart"/>
      <w:r>
        <w:t>Interact</w:t>
      </w:r>
      <w:proofErr w:type="spellEnd"/>
      <w:r>
        <w:t>, duże zaangażowanie w świadczenie usług, także jako sparing partner</w:t>
      </w:r>
    </w:p>
    <w:p w14:paraId="17693F36" w14:textId="79A2AA7A" w:rsidR="00AC2033" w:rsidRPr="00524C8A" w:rsidRDefault="00AC2033" w:rsidP="00577B07">
      <w:pPr>
        <w:pStyle w:val="Bulletedlist1"/>
        <w:ind w:left="680"/>
        <w:rPr>
          <w:rFonts w:eastAsiaTheme="minorHAnsi"/>
        </w:rPr>
      </w:pPr>
      <w:r>
        <w:t xml:space="preserve">Wspólne Sekretariaty - główny odbiorca usług </w:t>
      </w:r>
      <w:proofErr w:type="spellStart"/>
      <w:r>
        <w:t>Interact</w:t>
      </w:r>
      <w:proofErr w:type="spellEnd"/>
      <w:r>
        <w:t>, duże zaangażowanie w świadczenie usług, także jako partner sparingowy</w:t>
      </w:r>
    </w:p>
    <w:p w14:paraId="3BAAAB65" w14:textId="64A949BA" w:rsidR="00AC2033" w:rsidRPr="00524C8A" w:rsidRDefault="00AC2033" w:rsidP="00577B07">
      <w:pPr>
        <w:pStyle w:val="Bulletedlist1"/>
        <w:ind w:left="680"/>
        <w:rPr>
          <w:rFonts w:eastAsiaTheme="minorHAnsi"/>
        </w:rPr>
      </w:pPr>
      <w:r>
        <w:t>Kontrolerzy krajowi – odbiorca usług, a także znacząca rola jako partner sparingowy</w:t>
      </w:r>
    </w:p>
    <w:p w14:paraId="1D7E250C" w14:textId="47EBB14C" w:rsidR="00AC2033" w:rsidRPr="00524C8A" w:rsidRDefault="00AC2033" w:rsidP="00577B07">
      <w:pPr>
        <w:pStyle w:val="Bulletedlist1"/>
        <w:ind w:left="680"/>
        <w:rPr>
          <w:rFonts w:eastAsiaTheme="minorHAnsi"/>
        </w:rPr>
      </w:pPr>
      <w:r>
        <w:t xml:space="preserve">Podmioty odpowiedzialne za </w:t>
      </w:r>
      <w:r w:rsidR="00591996">
        <w:t xml:space="preserve">zadania w zakresie </w:t>
      </w:r>
      <w:r>
        <w:t>księgow</w:t>
      </w:r>
      <w:r w:rsidR="00591996">
        <w:t xml:space="preserve">ania wydatków </w:t>
      </w:r>
      <w:r>
        <w:t xml:space="preserve"> – odbiorca usług, a także znacząca rola jako partner sparingowy</w:t>
      </w:r>
    </w:p>
    <w:p w14:paraId="0B6011A8" w14:textId="03540A2D" w:rsidR="00AC2033" w:rsidRPr="00524C8A" w:rsidRDefault="00AC2033" w:rsidP="00577B07">
      <w:pPr>
        <w:pStyle w:val="Bulletedlist1"/>
        <w:ind w:left="680"/>
        <w:rPr>
          <w:rFonts w:eastAsiaTheme="minorHAnsi"/>
        </w:rPr>
      </w:pPr>
      <w:r>
        <w:t>Instytucje Audytowe – odbiorca usług, a także znacząca rola jako partner sparingowy</w:t>
      </w:r>
    </w:p>
    <w:p w14:paraId="7F921AC4" w14:textId="22D1B5FB" w:rsidR="00AC2033" w:rsidRPr="00524C8A" w:rsidRDefault="00AC2033" w:rsidP="00577B07">
      <w:pPr>
        <w:pStyle w:val="Bulletedlist1"/>
        <w:ind w:left="680"/>
        <w:rPr>
          <w:rFonts w:eastAsiaTheme="minorHAnsi"/>
        </w:rPr>
      </w:pPr>
      <w:r>
        <w:t xml:space="preserve">Przedstawiciele Komitetów Monitorujących, odbiorcy i ambasadorzy usług </w:t>
      </w:r>
      <w:proofErr w:type="spellStart"/>
      <w:r>
        <w:t>Interact</w:t>
      </w:r>
      <w:proofErr w:type="spellEnd"/>
      <w:r>
        <w:t>.</w:t>
      </w:r>
    </w:p>
    <w:p w14:paraId="302758AB" w14:textId="37FD7BB0" w:rsidR="00AC2033" w:rsidRPr="00577B07" w:rsidRDefault="00AC2033" w:rsidP="00577B07">
      <w:pPr>
        <w:pStyle w:val="Letterlist"/>
      </w:pPr>
      <w:r>
        <w:t xml:space="preserve">Współpracujący krajowi/regionalni interesariusze, pełniący taką samą rolę jak grupa powyżej (odbiorcy usług </w:t>
      </w:r>
      <w:proofErr w:type="spellStart"/>
      <w:r>
        <w:t>Interact</w:t>
      </w:r>
      <w:proofErr w:type="spellEnd"/>
      <w:r>
        <w:t>, sparing partnerzy w ramach wymiany doświadczeń, powiązani z rezultatami polityki strategicznej). Ta grupa docelowa obejmuje w szczególności:</w:t>
      </w:r>
    </w:p>
    <w:p w14:paraId="708162E6" w14:textId="7B3A190C" w:rsidR="00AC2033" w:rsidRPr="00524C8A" w:rsidRDefault="0030017E" w:rsidP="00577B07">
      <w:pPr>
        <w:pStyle w:val="Bulletedlist1"/>
        <w:ind w:left="680"/>
        <w:rPr>
          <w:rFonts w:eastAsiaTheme="minorHAnsi"/>
        </w:rPr>
      </w:pPr>
      <w:r>
        <w:t xml:space="preserve">Podmioty </w:t>
      </w:r>
      <w:r w:rsidR="00942D90">
        <w:t xml:space="preserve">zaangażowane w realizację </w:t>
      </w:r>
      <w:r>
        <w:t>program</w:t>
      </w:r>
      <w:r w:rsidR="00942D90">
        <w:t>ów</w:t>
      </w:r>
      <w:r>
        <w:t xml:space="preserve"> krajow</w:t>
      </w:r>
      <w:r w:rsidR="00942D90">
        <w:t>ych</w:t>
      </w:r>
      <w:r>
        <w:t xml:space="preserve"> i regionaln</w:t>
      </w:r>
      <w:r w:rsidR="00942D90">
        <w:t>ych</w:t>
      </w:r>
      <w:r>
        <w:t xml:space="preserve"> – ograniczone zaangażowanie, odbiorca usług </w:t>
      </w:r>
      <w:proofErr w:type="spellStart"/>
      <w:r>
        <w:t>Interact</w:t>
      </w:r>
      <w:proofErr w:type="spellEnd"/>
      <w:r>
        <w:t xml:space="preserve"> w ograniczonym zakresie na podstawie działań pilotażowych</w:t>
      </w:r>
    </w:p>
    <w:p w14:paraId="2EBBF609" w14:textId="379F2C4E" w:rsidR="00AC2033" w:rsidRPr="00524C8A" w:rsidRDefault="00AC2033" w:rsidP="00577B07">
      <w:pPr>
        <w:pStyle w:val="Bulletedlist1"/>
        <w:ind w:left="680"/>
        <w:rPr>
          <w:rFonts w:eastAsiaTheme="minorHAnsi"/>
        </w:rPr>
      </w:pPr>
      <w:r>
        <w:t xml:space="preserve">Krajowe/regionalne organy koordynacyjne, krajowe osoby/punkty kontaktowe – </w:t>
      </w:r>
      <w:proofErr w:type="spellStart"/>
      <w:r>
        <w:t>influencerzy</w:t>
      </w:r>
      <w:proofErr w:type="spellEnd"/>
      <w:r>
        <w:t xml:space="preserve"> i ambasadorzy serwisu </w:t>
      </w:r>
      <w:proofErr w:type="spellStart"/>
      <w:r>
        <w:t>Interact</w:t>
      </w:r>
      <w:proofErr w:type="spellEnd"/>
    </w:p>
    <w:p w14:paraId="7BDA8112" w14:textId="0D560234" w:rsidR="00AC2033" w:rsidRPr="00524C8A" w:rsidRDefault="00AC2033" w:rsidP="00577B07">
      <w:pPr>
        <w:pStyle w:val="Bulletedlist1"/>
        <w:ind w:left="680"/>
        <w:rPr>
          <w:rFonts w:eastAsiaTheme="minorHAnsi"/>
        </w:rPr>
      </w:pPr>
      <w:r>
        <w:t xml:space="preserve">Podmioty zaangażowane w strategie makroregionalne / strategie dla basenów morskich i inne podmioty zaangażowane w instrumenty współpracy – zaangażowani jako odbiorcy i </w:t>
      </w:r>
      <w:proofErr w:type="spellStart"/>
      <w:r>
        <w:t>influencerzy</w:t>
      </w:r>
      <w:proofErr w:type="spellEnd"/>
    </w:p>
    <w:p w14:paraId="08968C86" w14:textId="7EDFDEC9" w:rsidR="00AC2033" w:rsidRPr="00524C8A" w:rsidRDefault="00AC2033" w:rsidP="00577B07">
      <w:pPr>
        <w:pStyle w:val="Bulletedlist1"/>
        <w:ind w:left="680"/>
        <w:rPr>
          <w:rFonts w:eastAsiaTheme="minorHAnsi"/>
        </w:rPr>
      </w:pPr>
      <w:r>
        <w:t>Europejskie ugrupowani</w:t>
      </w:r>
      <w:r w:rsidR="00AB3EA7">
        <w:t>a</w:t>
      </w:r>
      <w:r>
        <w:t xml:space="preserve"> współpracy terytorialnej (EUWT) – tu zaangażowanie zamyka się głównie w wymianie praktyk</w:t>
      </w:r>
    </w:p>
    <w:p w14:paraId="1299A342" w14:textId="57474BDA" w:rsidR="00AC2033" w:rsidRPr="00524C8A" w:rsidRDefault="00AC2033" w:rsidP="00577B07">
      <w:pPr>
        <w:pStyle w:val="Bulletedlist1"/>
        <w:ind w:left="680"/>
        <w:rPr>
          <w:rFonts w:eastAsiaTheme="minorHAnsi"/>
        </w:rPr>
      </w:pPr>
      <w:r>
        <w:t>Kluczowi partnerzy do współpracy w określonych tematach, RLKS, ZIT – ograniczone zaangażowanie, głównie w dzielenie się praktykami i promowanie osiągnięć współpracy.</w:t>
      </w:r>
    </w:p>
    <w:p w14:paraId="75330197" w14:textId="5EF4FCD6" w:rsidR="00AC2033" w:rsidRPr="00577B07" w:rsidRDefault="00AC2033" w:rsidP="00577B07">
      <w:pPr>
        <w:pStyle w:val="Letterlist"/>
      </w:pPr>
      <w:r>
        <w:lastRenderedPageBreak/>
        <w:t>Szersze podmioty polityczne, pełniące określone role jako ambasadorzy strategiczni, dostawcy interpretacji polityki i partnerzy w zmianach strategicznych. Bardziej szczegółowe przykłady niektórych z tych podmiotów obejmują:</w:t>
      </w:r>
    </w:p>
    <w:p w14:paraId="40D0EDF3" w14:textId="20D04768" w:rsidR="00AC2033" w:rsidRPr="00524C8A" w:rsidRDefault="00AC2033" w:rsidP="00577B07">
      <w:pPr>
        <w:pStyle w:val="Bulletedlist1"/>
        <w:ind w:left="680"/>
        <w:rPr>
          <w:rFonts w:eastAsiaTheme="minorHAnsi"/>
        </w:rPr>
      </w:pPr>
      <w:r>
        <w:t>Komisja Europejska DG REGIO i inne jednostki (np.</w:t>
      </w:r>
      <w:r w:rsidR="00AB3EA7">
        <w:t xml:space="preserve"> </w:t>
      </w:r>
      <w:r>
        <w:t xml:space="preserve">Audyt, Ewaluacja, Lepsze Wdrażanie) – </w:t>
      </w:r>
      <w:proofErr w:type="spellStart"/>
      <w:r>
        <w:t>influencerzy</w:t>
      </w:r>
      <w:proofErr w:type="spellEnd"/>
      <w:r>
        <w:t xml:space="preserve"> i ambasadorowie, kluczowi interesariusze w świadczeniu usług </w:t>
      </w:r>
      <w:proofErr w:type="spellStart"/>
      <w:r>
        <w:t>Interact</w:t>
      </w:r>
      <w:proofErr w:type="spellEnd"/>
    </w:p>
    <w:p w14:paraId="2A4552EE" w14:textId="046E1ED6" w:rsidR="00AC2033" w:rsidRPr="00524C8A" w:rsidRDefault="00AC2033" w:rsidP="00577B07">
      <w:pPr>
        <w:pStyle w:val="Bulletedlist1"/>
        <w:ind w:left="680"/>
        <w:rPr>
          <w:rFonts w:eastAsiaTheme="minorHAnsi"/>
        </w:rPr>
      </w:pPr>
      <w:r>
        <w:t xml:space="preserve">Komisja Europejska, inne DG – </w:t>
      </w:r>
      <w:proofErr w:type="spellStart"/>
      <w:r>
        <w:t>influencerzy</w:t>
      </w:r>
      <w:proofErr w:type="spellEnd"/>
      <w:r>
        <w:t xml:space="preserve"> i ambasadorzy posiadający ważne kompetencje w określonych obszarach tematycznych</w:t>
      </w:r>
    </w:p>
    <w:p w14:paraId="408B2B29" w14:textId="4910BB76" w:rsidR="00AC2033" w:rsidRPr="00524C8A" w:rsidRDefault="00AC2033" w:rsidP="00577B07">
      <w:pPr>
        <w:pStyle w:val="Bulletedlist1"/>
        <w:ind w:left="680"/>
        <w:rPr>
          <w:rFonts w:eastAsiaTheme="minorHAnsi"/>
        </w:rPr>
      </w:pPr>
      <w:r>
        <w:t>Inne instytucje UE – ograniczone zaangażowanie</w:t>
      </w:r>
    </w:p>
    <w:p w14:paraId="36038E4D" w14:textId="37E6DA99" w:rsidR="00AC2033" w:rsidRPr="00524C8A" w:rsidRDefault="00AC2033" w:rsidP="00577B07">
      <w:pPr>
        <w:pStyle w:val="Bulletedlist1"/>
        <w:ind w:left="680"/>
        <w:rPr>
          <w:rFonts w:eastAsiaTheme="minorHAnsi"/>
        </w:rPr>
      </w:pPr>
      <w:r>
        <w:t>Stowarzyszenia ogólnoeuropejskie, organizacje transgraniczne – ograniczone zaangażowanie</w:t>
      </w:r>
    </w:p>
    <w:p w14:paraId="4176E19C" w14:textId="1D4E05A0" w:rsidR="00AC2033" w:rsidRPr="00524C8A" w:rsidRDefault="00AC2033" w:rsidP="00577B07">
      <w:pPr>
        <w:pStyle w:val="Bulletedlist1"/>
        <w:ind w:left="680"/>
        <w:rPr>
          <w:rFonts w:eastAsiaTheme="minorHAnsi"/>
        </w:rPr>
      </w:pPr>
      <w:proofErr w:type="spellStart"/>
      <w:r>
        <w:t>Ogólnounijne</w:t>
      </w:r>
      <w:proofErr w:type="spellEnd"/>
      <w:r>
        <w:t xml:space="preserve"> instytucje i programy finansujące, </w:t>
      </w:r>
      <w:proofErr w:type="spellStart"/>
      <w:r>
        <w:t>ogólnounijne</w:t>
      </w:r>
      <w:proofErr w:type="spellEnd"/>
      <w:r>
        <w:t xml:space="preserve"> zainteresowane strony z zakresu inżynierii finansowej – ograniczone zaangażowanie</w:t>
      </w:r>
    </w:p>
    <w:p w14:paraId="08B9FC03" w14:textId="6D72C7EB" w:rsidR="00AC2033" w:rsidRPr="00524C8A" w:rsidRDefault="00AC2033" w:rsidP="00577B07">
      <w:pPr>
        <w:pStyle w:val="Bulletedlist1"/>
        <w:ind w:left="680"/>
        <w:rPr>
          <w:rFonts w:eastAsiaTheme="minorHAnsi"/>
        </w:rPr>
      </w:pPr>
      <w:r>
        <w:t>Partnerzy projekt</w:t>
      </w:r>
      <w:r w:rsidR="00AB3EA7">
        <w:t>ów w ramach</w:t>
      </w:r>
      <w:r>
        <w:t xml:space="preserve"> </w:t>
      </w:r>
      <w:proofErr w:type="spellStart"/>
      <w:r>
        <w:t>Interreg</w:t>
      </w:r>
      <w:proofErr w:type="spellEnd"/>
      <w:r>
        <w:t>, EUWT zarządzające projektami – zaangażowanie ograniczone i często pośrednie</w:t>
      </w:r>
    </w:p>
    <w:p w14:paraId="6205A680" w14:textId="62D33BCB" w:rsidR="00AC2033" w:rsidRPr="00524C8A" w:rsidRDefault="00AC2033" w:rsidP="00AC2033">
      <w:pPr>
        <w:pStyle w:val="Bulletedlist1"/>
        <w:ind w:left="680"/>
        <w:rPr>
          <w:rFonts w:eastAsiaTheme="minorHAnsi"/>
        </w:rPr>
      </w:pPr>
      <w:r>
        <w:t>Grupy docelowe promocji współpracy (np. władze lokalne, obywatele, szersza publiczność, media, uczelnie) – ograniczone zaangażowanie, odbiorca w zakresie promocji i podnoszenia świadomości wyników współpracy.</w:t>
      </w:r>
    </w:p>
    <w:p w14:paraId="5CB86AA0" w14:textId="7952BF1E" w:rsidR="00C75F93" w:rsidRPr="00F50542" w:rsidRDefault="00C75F93" w:rsidP="00671B0E">
      <w:pPr>
        <w:keepNext/>
        <w:spacing w:before="240" w:after="240" w:line="240" w:lineRule="auto"/>
        <w:ind w:left="709" w:hanging="709"/>
        <w:jc w:val="both"/>
        <w:rPr>
          <w:rFonts w:eastAsia="Times New Roman" w:cs="Times New Roman"/>
          <w:b/>
          <w:iCs/>
          <w:noProof/>
          <w:szCs w:val="24"/>
        </w:rPr>
      </w:pPr>
      <w:r>
        <w:rPr>
          <w:b/>
          <w:iCs/>
          <w:szCs w:val="24"/>
        </w:rPr>
        <w:t>2.1.5</w:t>
      </w:r>
      <w:r>
        <w:rPr>
          <w:b/>
          <w:iCs/>
          <w:szCs w:val="24"/>
        </w:rPr>
        <w:tab/>
        <w:t>Wskazanie konkretnych terytoriów docelowych, w tym planowane wykorzystanie ZIT, RLKS lub innych narzędzi terytorialnych</w:t>
      </w:r>
    </w:p>
    <w:p w14:paraId="29DF7416" w14:textId="77777777" w:rsidR="00C75F93" w:rsidRPr="00F50542" w:rsidRDefault="00C75F93" w:rsidP="00671B0E">
      <w:pPr>
        <w:keepNext/>
        <w:spacing w:after="200" w:line="240" w:lineRule="auto"/>
        <w:jc w:val="both"/>
        <w:rPr>
          <w:rFonts w:eastAsia="Times New Roman" w:cs="Times New Roman"/>
          <w:i/>
          <w:noProof/>
          <w:color w:val="000000"/>
          <w:szCs w:val="24"/>
        </w:rPr>
      </w:pPr>
      <w:r>
        <w:rPr>
          <w:i/>
          <w:color w:val="000000"/>
          <w:szCs w:val="24"/>
        </w:rPr>
        <w:t>Odniesienie: Art. 17(4)(e)(iv)</w:t>
      </w:r>
    </w:p>
    <w:p w14:paraId="3981AEDB" w14:textId="77777777" w:rsidR="00C75F93" w:rsidRPr="00F45A3E" w:rsidRDefault="00C75F93" w:rsidP="00C75F93">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Cs w:val="24"/>
        </w:rPr>
      </w:pPr>
      <w:r>
        <w:rPr>
          <w:i/>
          <w:color w:val="000000"/>
          <w:szCs w:val="24"/>
        </w:rPr>
        <w:t xml:space="preserve">Nie dotyczy </w:t>
      </w:r>
      <w:proofErr w:type="spellStart"/>
      <w:r>
        <w:rPr>
          <w:i/>
          <w:color w:val="000000"/>
          <w:szCs w:val="24"/>
        </w:rPr>
        <w:t>Interact</w:t>
      </w:r>
      <w:proofErr w:type="spellEnd"/>
    </w:p>
    <w:p w14:paraId="3F1DD303" w14:textId="77777777" w:rsidR="00F45A3E" w:rsidRPr="00643B66" w:rsidRDefault="00F45A3E" w:rsidP="00C75F93">
      <w:pPr>
        <w:spacing w:before="240" w:after="240" w:line="240" w:lineRule="auto"/>
        <w:ind w:left="709" w:hanging="709"/>
        <w:jc w:val="both"/>
        <w:rPr>
          <w:rFonts w:eastAsia="Times New Roman" w:cs="Times New Roman"/>
          <w:b/>
          <w:iCs/>
          <w:noProof/>
          <w:szCs w:val="24"/>
          <w:lang w:eastAsia="en-GB"/>
        </w:rPr>
      </w:pPr>
    </w:p>
    <w:p w14:paraId="7634F08E" w14:textId="60B16EAD" w:rsidR="00C75F93" w:rsidRPr="00F50542" w:rsidRDefault="00C75F93" w:rsidP="00671B0E">
      <w:pPr>
        <w:keepNext/>
        <w:spacing w:before="240" w:after="240" w:line="240" w:lineRule="auto"/>
        <w:ind w:left="709" w:hanging="709"/>
        <w:jc w:val="both"/>
        <w:rPr>
          <w:rFonts w:eastAsia="Times New Roman" w:cs="Times New Roman"/>
          <w:b/>
          <w:iCs/>
          <w:noProof/>
          <w:szCs w:val="24"/>
        </w:rPr>
      </w:pPr>
      <w:r>
        <w:rPr>
          <w:b/>
          <w:iCs/>
          <w:szCs w:val="24"/>
        </w:rPr>
        <w:t>2.1.6</w:t>
      </w:r>
      <w:r>
        <w:rPr>
          <w:b/>
          <w:iCs/>
          <w:szCs w:val="24"/>
        </w:rPr>
        <w:tab/>
        <w:t>Planowane wykorzystanie instrumentów finansowych</w:t>
      </w:r>
    </w:p>
    <w:p w14:paraId="67FD68F3" w14:textId="77777777" w:rsidR="00C75F93" w:rsidRPr="00F50542" w:rsidRDefault="00C75F93" w:rsidP="00671B0E">
      <w:pPr>
        <w:keepNext/>
        <w:spacing w:after="200" w:line="240" w:lineRule="auto"/>
        <w:jc w:val="both"/>
        <w:rPr>
          <w:rFonts w:eastAsia="Times New Roman" w:cs="Times New Roman"/>
          <w:i/>
          <w:noProof/>
          <w:color w:val="000000"/>
          <w:szCs w:val="24"/>
        </w:rPr>
      </w:pPr>
      <w:r>
        <w:rPr>
          <w:i/>
          <w:color w:val="000000"/>
          <w:szCs w:val="24"/>
        </w:rPr>
        <w:t>Odniesienie: Art. 17(4)(e)(v)</w:t>
      </w:r>
    </w:p>
    <w:p w14:paraId="248AB5FF" w14:textId="77777777" w:rsidR="00C75F93" w:rsidRPr="00F45A3E" w:rsidRDefault="00C75F93" w:rsidP="00C75F93">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Cs w:val="24"/>
        </w:rPr>
      </w:pPr>
      <w:r>
        <w:rPr>
          <w:i/>
          <w:color w:val="000000"/>
          <w:szCs w:val="24"/>
        </w:rPr>
        <w:t xml:space="preserve">Nie dotyczy </w:t>
      </w:r>
      <w:proofErr w:type="spellStart"/>
      <w:r>
        <w:rPr>
          <w:i/>
          <w:color w:val="000000"/>
          <w:szCs w:val="24"/>
        </w:rPr>
        <w:t>Interact</w:t>
      </w:r>
      <w:proofErr w:type="spellEnd"/>
    </w:p>
    <w:p w14:paraId="7874C449" w14:textId="77777777" w:rsidR="004421D3" w:rsidRPr="00643B66" w:rsidRDefault="004421D3" w:rsidP="007120BB">
      <w:pPr>
        <w:spacing w:before="240" w:after="240" w:line="240" w:lineRule="auto"/>
        <w:ind w:left="709" w:hanging="709"/>
        <w:jc w:val="both"/>
        <w:rPr>
          <w:rFonts w:eastAsia="Times New Roman" w:cs="Times New Roman"/>
          <w:b/>
          <w:iCs/>
          <w:noProof/>
          <w:szCs w:val="24"/>
          <w:highlight w:val="yellow"/>
          <w:u w:val="single"/>
          <w:lang w:eastAsia="en-GB"/>
        </w:rPr>
      </w:pPr>
    </w:p>
    <w:p w14:paraId="329B1DC1" w14:textId="38F7D1A4" w:rsidR="00F50542" w:rsidRPr="00052A93" w:rsidRDefault="00F50542" w:rsidP="00671B0E">
      <w:pPr>
        <w:keepNext/>
        <w:spacing w:before="240" w:after="240" w:line="240" w:lineRule="auto"/>
        <w:ind w:left="709" w:hanging="709"/>
        <w:jc w:val="both"/>
        <w:rPr>
          <w:rFonts w:eastAsia="Times New Roman" w:cs="Times New Roman"/>
          <w:b/>
          <w:iCs/>
          <w:noProof/>
          <w:szCs w:val="24"/>
        </w:rPr>
      </w:pPr>
      <w:r>
        <w:rPr>
          <w:b/>
          <w:iCs/>
          <w:szCs w:val="24"/>
        </w:rPr>
        <w:lastRenderedPageBreak/>
        <w:t>2.1.7</w:t>
      </w:r>
      <w:r>
        <w:rPr>
          <w:b/>
          <w:iCs/>
          <w:szCs w:val="24"/>
        </w:rPr>
        <w:tab/>
        <w:t>Orientacyjny podział zaprogramowanych zasobów UE według rodzaju interwencji</w:t>
      </w:r>
    </w:p>
    <w:p w14:paraId="03D14B0F" w14:textId="77777777" w:rsidR="00F50542" w:rsidRPr="001113F4" w:rsidRDefault="00F50542" w:rsidP="00671B0E">
      <w:pPr>
        <w:keepNext/>
        <w:spacing w:after="200" w:line="240" w:lineRule="auto"/>
        <w:jc w:val="both"/>
        <w:rPr>
          <w:rFonts w:eastAsia="Times New Roman" w:cs="Times New Roman"/>
          <w:i/>
          <w:noProof/>
          <w:color w:val="000000"/>
          <w:szCs w:val="24"/>
        </w:rPr>
      </w:pPr>
      <w:r>
        <w:rPr>
          <w:i/>
          <w:color w:val="000000"/>
          <w:szCs w:val="24"/>
        </w:rPr>
        <w:t>Odniesienie: Art. 17(4)(e)(vi), Art. 17(9)(c)(v)</w:t>
      </w:r>
    </w:p>
    <w:p w14:paraId="0F393F0A" w14:textId="77777777" w:rsidR="00F50542" w:rsidRPr="009B0AA5" w:rsidRDefault="00F50542" w:rsidP="00671B0E">
      <w:pPr>
        <w:keepNext/>
        <w:spacing w:before="240" w:after="240" w:line="240" w:lineRule="auto"/>
        <w:rPr>
          <w:rFonts w:eastAsia="Times New Roman" w:cs="Times New Roman"/>
          <w:iCs/>
          <w:noProof/>
          <w:szCs w:val="24"/>
        </w:rPr>
      </w:pPr>
      <w:r>
        <w:t>Tabela 4: Wymiar 1 – obszar interwencji</w:t>
      </w:r>
    </w:p>
    <w:tbl>
      <w:tblPr>
        <w:tblStyle w:val="TableGrid1"/>
        <w:tblW w:w="0" w:type="auto"/>
        <w:tblLayout w:type="fixed"/>
        <w:tblCellMar>
          <w:top w:w="28" w:type="dxa"/>
          <w:left w:w="57" w:type="dxa"/>
          <w:bottom w:w="28" w:type="dxa"/>
          <w:right w:w="57" w:type="dxa"/>
        </w:tblCellMar>
        <w:tblLook w:val="04A0" w:firstRow="1" w:lastRow="0" w:firstColumn="1" w:lastColumn="0" w:noHBand="0" w:noVBand="1"/>
      </w:tblPr>
      <w:tblGrid>
        <w:gridCol w:w="1875"/>
        <w:gridCol w:w="1650"/>
        <w:gridCol w:w="2010"/>
        <w:gridCol w:w="1095"/>
        <w:gridCol w:w="2655"/>
      </w:tblGrid>
      <w:tr w:rsidR="00F50542" w:rsidRPr="000E01AC" w14:paraId="1049D36C" w14:textId="77777777" w:rsidTr="00F45A3E">
        <w:trPr>
          <w:cantSplit/>
          <w:tblHeader/>
        </w:trPr>
        <w:tc>
          <w:tcPr>
            <w:tcW w:w="1875" w:type="dxa"/>
          </w:tcPr>
          <w:p w14:paraId="22342C24" w14:textId="77777777" w:rsidR="00F50542" w:rsidRPr="00E73281" w:rsidRDefault="00F50542" w:rsidP="00E73281">
            <w:pPr>
              <w:keepNext/>
              <w:spacing w:before="60" w:after="60" w:line="240" w:lineRule="auto"/>
              <w:jc w:val="both"/>
              <w:rPr>
                <w:rFonts w:eastAsia="Times New Roman" w:cs="Times New Roman"/>
                <w:b/>
                <w:iCs/>
                <w:noProof/>
                <w:sz w:val="20"/>
                <w:szCs w:val="20"/>
              </w:rPr>
            </w:pPr>
            <w:r>
              <w:rPr>
                <w:b/>
                <w:iCs/>
                <w:sz w:val="20"/>
                <w:szCs w:val="20"/>
              </w:rPr>
              <w:t>Nr priorytetu</w:t>
            </w:r>
          </w:p>
        </w:tc>
        <w:tc>
          <w:tcPr>
            <w:tcW w:w="1650" w:type="dxa"/>
          </w:tcPr>
          <w:p w14:paraId="468E1BD2" w14:textId="77777777" w:rsidR="00F50542" w:rsidRPr="00E73281" w:rsidRDefault="00F50542" w:rsidP="00E73281">
            <w:pPr>
              <w:spacing w:before="60" w:after="60" w:line="240" w:lineRule="auto"/>
              <w:jc w:val="both"/>
              <w:rPr>
                <w:rFonts w:eastAsia="Times New Roman" w:cs="Times New Roman"/>
                <w:b/>
                <w:iCs/>
                <w:noProof/>
                <w:sz w:val="20"/>
                <w:szCs w:val="20"/>
              </w:rPr>
            </w:pPr>
            <w:r>
              <w:rPr>
                <w:b/>
                <w:iCs/>
                <w:sz w:val="20"/>
                <w:szCs w:val="20"/>
              </w:rPr>
              <w:t>Fundusz</w:t>
            </w:r>
          </w:p>
        </w:tc>
        <w:tc>
          <w:tcPr>
            <w:tcW w:w="2010" w:type="dxa"/>
          </w:tcPr>
          <w:p w14:paraId="54CE30B6" w14:textId="77777777" w:rsidR="00795900" w:rsidRPr="004C4703" w:rsidRDefault="00F50542" w:rsidP="00E73281">
            <w:pPr>
              <w:spacing w:before="60" w:after="60" w:line="240" w:lineRule="auto"/>
              <w:jc w:val="both"/>
              <w:rPr>
                <w:rFonts w:eastAsia="Times New Roman" w:cs="Times New Roman"/>
                <w:b/>
                <w:iCs/>
                <w:noProof/>
                <w:sz w:val="20"/>
                <w:szCs w:val="20"/>
              </w:rPr>
            </w:pPr>
            <w:r>
              <w:rPr>
                <w:b/>
                <w:iCs/>
                <w:sz w:val="20"/>
                <w:szCs w:val="20"/>
              </w:rPr>
              <w:t>Cel szczegółowy</w:t>
            </w:r>
          </w:p>
        </w:tc>
        <w:tc>
          <w:tcPr>
            <w:tcW w:w="1095" w:type="dxa"/>
          </w:tcPr>
          <w:p w14:paraId="052FA5C4" w14:textId="77777777" w:rsidR="00F50542" w:rsidRPr="00E73281" w:rsidRDefault="00F50542" w:rsidP="00E73281">
            <w:pPr>
              <w:spacing w:before="60" w:after="60" w:line="240" w:lineRule="auto"/>
              <w:jc w:val="both"/>
              <w:rPr>
                <w:rFonts w:eastAsia="Times New Roman" w:cs="Times New Roman"/>
                <w:b/>
                <w:iCs/>
                <w:noProof/>
                <w:sz w:val="20"/>
                <w:szCs w:val="20"/>
              </w:rPr>
            </w:pPr>
            <w:r>
              <w:rPr>
                <w:b/>
                <w:iCs/>
                <w:sz w:val="20"/>
                <w:szCs w:val="20"/>
              </w:rPr>
              <w:t xml:space="preserve">Kod </w:t>
            </w:r>
          </w:p>
        </w:tc>
        <w:tc>
          <w:tcPr>
            <w:tcW w:w="2655" w:type="dxa"/>
          </w:tcPr>
          <w:p w14:paraId="0FF6F60C" w14:textId="77777777" w:rsidR="00F50542" w:rsidRPr="00E73281" w:rsidRDefault="00F50542" w:rsidP="00E73281">
            <w:pPr>
              <w:spacing w:before="60" w:after="60" w:line="240" w:lineRule="auto"/>
              <w:jc w:val="both"/>
              <w:rPr>
                <w:rFonts w:eastAsia="Times New Roman" w:cs="Times New Roman"/>
                <w:b/>
                <w:iCs/>
                <w:noProof/>
                <w:sz w:val="20"/>
                <w:szCs w:val="20"/>
              </w:rPr>
            </w:pPr>
            <w:r>
              <w:rPr>
                <w:b/>
                <w:iCs/>
                <w:sz w:val="20"/>
                <w:szCs w:val="20"/>
              </w:rPr>
              <w:t>Kwota (w EUR)</w:t>
            </w:r>
          </w:p>
        </w:tc>
      </w:tr>
      <w:tr w:rsidR="00F50542" w:rsidRPr="000E01AC" w14:paraId="301326D8" w14:textId="77777777" w:rsidTr="00F45A3E">
        <w:trPr>
          <w:cantSplit/>
        </w:trPr>
        <w:tc>
          <w:tcPr>
            <w:tcW w:w="1875" w:type="dxa"/>
          </w:tcPr>
          <w:p w14:paraId="7B409E63" w14:textId="77777777" w:rsidR="00F50542" w:rsidRPr="00E73281" w:rsidRDefault="00F50542" w:rsidP="00E73281">
            <w:pPr>
              <w:spacing w:before="60" w:after="60" w:line="240" w:lineRule="auto"/>
              <w:jc w:val="both"/>
              <w:rPr>
                <w:rFonts w:eastAsia="Times New Roman" w:cs="Times New Roman"/>
                <w:iCs/>
                <w:noProof/>
                <w:sz w:val="20"/>
                <w:szCs w:val="20"/>
              </w:rPr>
            </w:pPr>
            <w:r>
              <w:rPr>
                <w:sz w:val="20"/>
              </w:rPr>
              <w:t>1 – Dostawa usługi</w:t>
            </w:r>
          </w:p>
        </w:tc>
        <w:tc>
          <w:tcPr>
            <w:tcW w:w="1650" w:type="dxa"/>
          </w:tcPr>
          <w:p w14:paraId="79093918" w14:textId="77777777" w:rsidR="00F50542" w:rsidRPr="00E73281" w:rsidRDefault="00F50542" w:rsidP="00E73281">
            <w:pPr>
              <w:spacing w:before="60" w:after="60" w:line="240" w:lineRule="auto"/>
              <w:jc w:val="both"/>
              <w:rPr>
                <w:rFonts w:eastAsia="Times New Roman" w:cs="Times New Roman"/>
                <w:b/>
                <w:iCs/>
                <w:noProof/>
                <w:sz w:val="20"/>
                <w:szCs w:val="20"/>
              </w:rPr>
            </w:pPr>
            <w:r>
              <w:rPr>
                <w:b/>
                <w:sz w:val="20"/>
              </w:rPr>
              <w:t>EFRR</w:t>
            </w:r>
          </w:p>
        </w:tc>
        <w:tc>
          <w:tcPr>
            <w:tcW w:w="2010" w:type="dxa"/>
          </w:tcPr>
          <w:p w14:paraId="71E034BE" w14:textId="77777777" w:rsidR="00F50542" w:rsidRPr="00E73281" w:rsidRDefault="00F50542" w:rsidP="00E73281">
            <w:pPr>
              <w:spacing w:before="60" w:after="60" w:line="240" w:lineRule="auto"/>
              <w:jc w:val="both"/>
              <w:rPr>
                <w:rFonts w:eastAsia="Times New Roman" w:cs="Times New Roman"/>
                <w:b/>
                <w:iCs/>
                <w:noProof/>
                <w:sz w:val="20"/>
                <w:szCs w:val="20"/>
                <w:lang w:eastAsia="en-GB"/>
              </w:rPr>
            </w:pPr>
          </w:p>
        </w:tc>
        <w:tc>
          <w:tcPr>
            <w:tcW w:w="1095" w:type="dxa"/>
          </w:tcPr>
          <w:p w14:paraId="415453EF" w14:textId="77777777" w:rsidR="00F50542" w:rsidRPr="00E73281" w:rsidRDefault="00F50542" w:rsidP="00E73281">
            <w:pPr>
              <w:spacing w:before="60" w:after="60" w:line="240" w:lineRule="auto"/>
              <w:jc w:val="both"/>
              <w:rPr>
                <w:rFonts w:eastAsia="Times New Roman" w:cs="Times New Roman"/>
                <w:b/>
                <w:iCs/>
                <w:noProof/>
                <w:sz w:val="20"/>
                <w:szCs w:val="20"/>
              </w:rPr>
            </w:pPr>
            <w:r>
              <w:rPr>
                <w:b/>
                <w:sz w:val="20"/>
              </w:rPr>
              <w:t>096</w:t>
            </w:r>
            <w:r w:rsidR="009B0AA5" w:rsidRPr="00E73281">
              <w:rPr>
                <w:rStyle w:val="Odwoanieprzypisudolnego"/>
                <w:rFonts w:eastAsia="'Times New Roman'" w:cs="Times New Roman"/>
                <w:b/>
                <w:sz w:val="20"/>
              </w:rPr>
              <w:footnoteReference w:id="2"/>
            </w:r>
          </w:p>
        </w:tc>
        <w:tc>
          <w:tcPr>
            <w:tcW w:w="2655" w:type="dxa"/>
          </w:tcPr>
          <w:p w14:paraId="5B24DBDA" w14:textId="77777777" w:rsidR="00F50542" w:rsidRPr="00E73281" w:rsidRDefault="00F50542" w:rsidP="00E73281">
            <w:pPr>
              <w:spacing w:before="60" w:after="60" w:line="240" w:lineRule="auto"/>
              <w:jc w:val="both"/>
              <w:rPr>
                <w:rFonts w:eastAsia="Times New Roman" w:cs="Times New Roman"/>
                <w:b/>
                <w:iCs/>
                <w:noProof/>
                <w:sz w:val="20"/>
                <w:szCs w:val="20"/>
                <w:lang w:eastAsia="en-GB"/>
              </w:rPr>
            </w:pPr>
          </w:p>
        </w:tc>
      </w:tr>
    </w:tbl>
    <w:p w14:paraId="69C5EE7A" w14:textId="77777777" w:rsidR="00F50542" w:rsidRPr="00052A93" w:rsidRDefault="00F50542" w:rsidP="00F50542">
      <w:pPr>
        <w:spacing w:after="200" w:line="276" w:lineRule="auto"/>
        <w:rPr>
          <w:rFonts w:eastAsia="Times New Roman" w:cs="Times New Roman"/>
          <w:iCs/>
          <w:noProof/>
          <w:szCs w:val="24"/>
          <w:lang w:val="en-GB" w:eastAsia="en-GB"/>
        </w:rPr>
      </w:pPr>
    </w:p>
    <w:p w14:paraId="695ABF7F" w14:textId="77777777" w:rsidR="00F50542" w:rsidRPr="009B0AA5" w:rsidRDefault="00F50542" w:rsidP="00B31553">
      <w:pPr>
        <w:keepNext/>
        <w:spacing w:before="240" w:after="240" w:line="240" w:lineRule="auto"/>
        <w:rPr>
          <w:rFonts w:eastAsia="Times New Roman" w:cs="Times New Roman"/>
          <w:iCs/>
          <w:noProof/>
          <w:szCs w:val="24"/>
        </w:rPr>
      </w:pPr>
      <w:r>
        <w:t>Tabela 5: Wymiar 2 – forma finansowania</w:t>
      </w:r>
    </w:p>
    <w:tbl>
      <w:tblPr>
        <w:tblStyle w:val="TableGrid1"/>
        <w:tblW w:w="0" w:type="auto"/>
        <w:tblLayout w:type="fixed"/>
        <w:tblCellMar>
          <w:top w:w="28" w:type="dxa"/>
          <w:left w:w="57" w:type="dxa"/>
          <w:bottom w:w="28" w:type="dxa"/>
          <w:right w:w="57" w:type="dxa"/>
        </w:tblCellMar>
        <w:tblLook w:val="04A0" w:firstRow="1" w:lastRow="0" w:firstColumn="1" w:lastColumn="0" w:noHBand="0" w:noVBand="1"/>
      </w:tblPr>
      <w:tblGrid>
        <w:gridCol w:w="1870"/>
        <w:gridCol w:w="1657"/>
        <w:gridCol w:w="1898"/>
        <w:gridCol w:w="1204"/>
        <w:gridCol w:w="2659"/>
      </w:tblGrid>
      <w:tr w:rsidR="00F50542" w:rsidRPr="000E01AC" w14:paraId="34284557" w14:textId="77777777" w:rsidTr="00B31553">
        <w:trPr>
          <w:cantSplit/>
          <w:tblHeader/>
        </w:trPr>
        <w:tc>
          <w:tcPr>
            <w:tcW w:w="1870" w:type="dxa"/>
          </w:tcPr>
          <w:p w14:paraId="59714AAB" w14:textId="77777777" w:rsidR="00F50542" w:rsidRPr="007F6D0A" w:rsidRDefault="00F50542" w:rsidP="00E73281">
            <w:pPr>
              <w:keepNext/>
              <w:spacing w:before="60" w:after="60" w:line="240" w:lineRule="auto"/>
              <w:rPr>
                <w:rFonts w:eastAsia="Times New Roman" w:cs="Times New Roman"/>
                <w:b/>
                <w:iCs/>
                <w:noProof/>
                <w:sz w:val="20"/>
                <w:szCs w:val="20"/>
              </w:rPr>
            </w:pPr>
            <w:r>
              <w:rPr>
                <w:b/>
                <w:iCs/>
                <w:sz w:val="20"/>
                <w:szCs w:val="20"/>
              </w:rPr>
              <w:t>Nr priorytetu</w:t>
            </w:r>
          </w:p>
        </w:tc>
        <w:tc>
          <w:tcPr>
            <w:tcW w:w="1657" w:type="dxa"/>
          </w:tcPr>
          <w:p w14:paraId="6A4A72A9" w14:textId="77777777" w:rsidR="00F50542" w:rsidRPr="007F6D0A" w:rsidRDefault="00F50542" w:rsidP="00E73281">
            <w:pPr>
              <w:spacing w:before="60" w:after="60" w:line="240" w:lineRule="auto"/>
              <w:rPr>
                <w:rFonts w:eastAsia="Times New Roman" w:cs="Times New Roman"/>
                <w:b/>
                <w:iCs/>
                <w:noProof/>
                <w:sz w:val="20"/>
                <w:szCs w:val="20"/>
              </w:rPr>
            </w:pPr>
            <w:r>
              <w:rPr>
                <w:b/>
                <w:iCs/>
                <w:sz w:val="20"/>
                <w:szCs w:val="20"/>
              </w:rPr>
              <w:t>Fundusz</w:t>
            </w:r>
          </w:p>
        </w:tc>
        <w:tc>
          <w:tcPr>
            <w:tcW w:w="1898" w:type="dxa"/>
          </w:tcPr>
          <w:p w14:paraId="451DB6DA" w14:textId="77777777" w:rsidR="00F50542" w:rsidRPr="007F6D0A" w:rsidRDefault="00F50542" w:rsidP="00E73281">
            <w:pPr>
              <w:spacing w:before="60" w:after="60" w:line="240" w:lineRule="auto"/>
              <w:rPr>
                <w:rFonts w:eastAsia="Times New Roman" w:cs="Times New Roman"/>
                <w:b/>
                <w:iCs/>
                <w:noProof/>
                <w:sz w:val="20"/>
                <w:szCs w:val="20"/>
              </w:rPr>
            </w:pPr>
            <w:r>
              <w:rPr>
                <w:b/>
                <w:iCs/>
                <w:sz w:val="20"/>
                <w:szCs w:val="20"/>
              </w:rPr>
              <w:t>Cel szczegółowy</w:t>
            </w:r>
          </w:p>
        </w:tc>
        <w:tc>
          <w:tcPr>
            <w:tcW w:w="1204" w:type="dxa"/>
          </w:tcPr>
          <w:p w14:paraId="1FFCB3E5" w14:textId="77777777" w:rsidR="00F50542" w:rsidRPr="007F6D0A" w:rsidRDefault="00F50542" w:rsidP="00E73281">
            <w:pPr>
              <w:spacing w:before="60" w:after="60" w:line="240" w:lineRule="auto"/>
              <w:rPr>
                <w:rFonts w:eastAsia="Times New Roman" w:cs="Times New Roman"/>
                <w:b/>
                <w:iCs/>
                <w:noProof/>
                <w:sz w:val="20"/>
                <w:szCs w:val="20"/>
              </w:rPr>
            </w:pPr>
            <w:r>
              <w:rPr>
                <w:b/>
                <w:iCs/>
                <w:sz w:val="20"/>
                <w:szCs w:val="20"/>
              </w:rPr>
              <w:t xml:space="preserve">Kod </w:t>
            </w:r>
          </w:p>
        </w:tc>
        <w:tc>
          <w:tcPr>
            <w:tcW w:w="2659" w:type="dxa"/>
          </w:tcPr>
          <w:p w14:paraId="3C8E24D8" w14:textId="77777777" w:rsidR="00F50542" w:rsidRPr="007F6D0A" w:rsidRDefault="00F50542" w:rsidP="00E73281">
            <w:pPr>
              <w:spacing w:before="60" w:after="60" w:line="240" w:lineRule="auto"/>
              <w:rPr>
                <w:rFonts w:eastAsia="Times New Roman" w:cs="Times New Roman"/>
                <w:b/>
                <w:iCs/>
                <w:noProof/>
                <w:sz w:val="20"/>
                <w:szCs w:val="20"/>
              </w:rPr>
            </w:pPr>
            <w:r>
              <w:rPr>
                <w:b/>
                <w:iCs/>
                <w:sz w:val="20"/>
                <w:szCs w:val="20"/>
              </w:rPr>
              <w:t>Kwota (w EUR)</w:t>
            </w:r>
          </w:p>
        </w:tc>
      </w:tr>
      <w:tr w:rsidR="00F50542" w:rsidRPr="000E01AC" w14:paraId="528A477C" w14:textId="77777777" w:rsidTr="00B31553">
        <w:trPr>
          <w:cantSplit/>
        </w:trPr>
        <w:tc>
          <w:tcPr>
            <w:tcW w:w="1870" w:type="dxa"/>
          </w:tcPr>
          <w:p w14:paraId="07F8F067" w14:textId="77777777" w:rsidR="00F50542" w:rsidRPr="00F8585E" w:rsidRDefault="00F50542" w:rsidP="00E73281">
            <w:pPr>
              <w:spacing w:before="60" w:after="60" w:line="240" w:lineRule="auto"/>
              <w:rPr>
                <w:rFonts w:eastAsia="Times New Roman" w:cs="Times New Roman"/>
                <w:bCs/>
                <w:iCs/>
                <w:noProof/>
                <w:sz w:val="20"/>
                <w:szCs w:val="20"/>
              </w:rPr>
            </w:pPr>
            <w:r>
              <w:rPr>
                <w:bCs/>
                <w:sz w:val="20"/>
              </w:rPr>
              <w:t>1 – Dostawa usługi</w:t>
            </w:r>
          </w:p>
        </w:tc>
        <w:tc>
          <w:tcPr>
            <w:tcW w:w="1657" w:type="dxa"/>
          </w:tcPr>
          <w:p w14:paraId="742B5211" w14:textId="77777777" w:rsidR="00F50542" w:rsidRPr="007F6D0A" w:rsidRDefault="00F50542" w:rsidP="00E73281">
            <w:pPr>
              <w:spacing w:before="60" w:after="60" w:line="240" w:lineRule="auto"/>
              <w:rPr>
                <w:rFonts w:eastAsia="Times New Roman" w:cs="Times New Roman"/>
                <w:b/>
                <w:iCs/>
                <w:noProof/>
                <w:sz w:val="20"/>
                <w:szCs w:val="20"/>
              </w:rPr>
            </w:pPr>
            <w:r>
              <w:rPr>
                <w:b/>
                <w:sz w:val="20"/>
              </w:rPr>
              <w:t>EFRR</w:t>
            </w:r>
          </w:p>
        </w:tc>
        <w:tc>
          <w:tcPr>
            <w:tcW w:w="1898" w:type="dxa"/>
          </w:tcPr>
          <w:p w14:paraId="3CF84E49" w14:textId="77777777" w:rsidR="00F50542" w:rsidRPr="007F6D0A" w:rsidRDefault="00F50542" w:rsidP="00E73281">
            <w:pPr>
              <w:spacing w:before="60" w:after="60" w:line="240" w:lineRule="auto"/>
              <w:rPr>
                <w:rFonts w:eastAsia="Times New Roman" w:cs="Times New Roman"/>
                <w:b/>
                <w:iCs/>
                <w:noProof/>
                <w:sz w:val="20"/>
                <w:szCs w:val="20"/>
                <w:lang w:eastAsia="en-GB"/>
              </w:rPr>
            </w:pPr>
          </w:p>
        </w:tc>
        <w:tc>
          <w:tcPr>
            <w:tcW w:w="1204" w:type="dxa"/>
          </w:tcPr>
          <w:p w14:paraId="1CE026F4" w14:textId="77777777" w:rsidR="00F50542" w:rsidRPr="007F6D0A" w:rsidRDefault="00F50542" w:rsidP="00E73281">
            <w:pPr>
              <w:spacing w:before="60" w:after="60" w:line="240" w:lineRule="auto"/>
              <w:rPr>
                <w:rFonts w:eastAsia="Times New Roman" w:cs="Times New Roman"/>
                <w:b/>
                <w:iCs/>
                <w:noProof/>
                <w:sz w:val="20"/>
                <w:szCs w:val="20"/>
              </w:rPr>
            </w:pPr>
            <w:r>
              <w:rPr>
                <w:b/>
                <w:sz w:val="20"/>
              </w:rPr>
              <w:t xml:space="preserve">01 – Dotacja bezzwrotna </w:t>
            </w:r>
          </w:p>
        </w:tc>
        <w:tc>
          <w:tcPr>
            <w:tcW w:w="2659" w:type="dxa"/>
          </w:tcPr>
          <w:p w14:paraId="5E432FB6" w14:textId="77777777" w:rsidR="00F50542" w:rsidRPr="007F6D0A" w:rsidRDefault="00F50542" w:rsidP="00E73281">
            <w:pPr>
              <w:spacing w:before="60" w:after="60" w:line="240" w:lineRule="auto"/>
              <w:rPr>
                <w:rFonts w:eastAsia="Times New Roman" w:cs="Times New Roman"/>
                <w:b/>
                <w:iCs/>
                <w:noProof/>
                <w:sz w:val="20"/>
                <w:szCs w:val="20"/>
                <w:lang w:eastAsia="en-GB"/>
              </w:rPr>
            </w:pPr>
          </w:p>
        </w:tc>
      </w:tr>
    </w:tbl>
    <w:p w14:paraId="1DE54F3E" w14:textId="77777777" w:rsidR="00795900" w:rsidRDefault="00795900"/>
    <w:p w14:paraId="011DC648" w14:textId="77777777" w:rsidR="00F50542" w:rsidRPr="009B0AA5" w:rsidRDefault="00F50542" w:rsidP="00B31553">
      <w:pPr>
        <w:keepNext/>
        <w:spacing w:before="240" w:after="240" w:line="240" w:lineRule="auto"/>
        <w:rPr>
          <w:rFonts w:eastAsia="Times New Roman" w:cs="Times New Roman"/>
          <w:iCs/>
          <w:noProof/>
          <w:szCs w:val="24"/>
        </w:rPr>
      </w:pPr>
      <w:r>
        <w:t>Tabela 6: Wymiar 3 – terytorialny mechanizm realizacji i koncentracja terytorialna</w:t>
      </w:r>
    </w:p>
    <w:tbl>
      <w:tblPr>
        <w:tblStyle w:val="TableGrid1"/>
        <w:tblW w:w="0" w:type="auto"/>
        <w:tblLayout w:type="fixed"/>
        <w:tblCellMar>
          <w:top w:w="28" w:type="dxa"/>
          <w:left w:w="57" w:type="dxa"/>
          <w:bottom w:w="28" w:type="dxa"/>
          <w:right w:w="57" w:type="dxa"/>
        </w:tblCellMar>
        <w:tblLook w:val="04A0" w:firstRow="1" w:lastRow="0" w:firstColumn="1" w:lastColumn="0" w:noHBand="0" w:noVBand="1"/>
      </w:tblPr>
      <w:tblGrid>
        <w:gridCol w:w="1870"/>
        <w:gridCol w:w="1657"/>
        <w:gridCol w:w="1898"/>
        <w:gridCol w:w="1204"/>
        <w:gridCol w:w="2659"/>
      </w:tblGrid>
      <w:tr w:rsidR="00F50542" w:rsidRPr="000E01AC" w14:paraId="66C30C9D" w14:textId="77777777" w:rsidTr="007F6D0A">
        <w:trPr>
          <w:cantSplit/>
          <w:tblHeader/>
        </w:trPr>
        <w:tc>
          <w:tcPr>
            <w:tcW w:w="1870" w:type="dxa"/>
          </w:tcPr>
          <w:p w14:paraId="6E4C79F1" w14:textId="77777777" w:rsidR="00F50542" w:rsidRPr="007F6D0A" w:rsidRDefault="00F50542" w:rsidP="00E73281">
            <w:pPr>
              <w:keepNext/>
              <w:spacing w:before="60" w:after="60" w:line="240" w:lineRule="auto"/>
              <w:rPr>
                <w:rFonts w:eastAsia="Times New Roman" w:cs="Times New Roman"/>
                <w:b/>
                <w:iCs/>
                <w:noProof/>
                <w:sz w:val="20"/>
                <w:szCs w:val="20"/>
              </w:rPr>
            </w:pPr>
            <w:r>
              <w:rPr>
                <w:b/>
                <w:iCs/>
                <w:sz w:val="20"/>
                <w:szCs w:val="20"/>
              </w:rPr>
              <w:t>Nr priorytetu</w:t>
            </w:r>
          </w:p>
        </w:tc>
        <w:tc>
          <w:tcPr>
            <w:tcW w:w="1657" w:type="dxa"/>
          </w:tcPr>
          <w:p w14:paraId="06EEFED4" w14:textId="77777777" w:rsidR="00F50542" w:rsidRPr="007F6D0A" w:rsidRDefault="00F50542" w:rsidP="00E73281">
            <w:pPr>
              <w:spacing w:before="60" w:after="60" w:line="240" w:lineRule="auto"/>
              <w:rPr>
                <w:rFonts w:eastAsia="Times New Roman" w:cs="Times New Roman"/>
                <w:b/>
                <w:iCs/>
                <w:noProof/>
                <w:sz w:val="20"/>
                <w:szCs w:val="20"/>
              </w:rPr>
            </w:pPr>
            <w:r>
              <w:rPr>
                <w:b/>
                <w:iCs/>
                <w:sz w:val="20"/>
                <w:szCs w:val="20"/>
              </w:rPr>
              <w:t>Fundusz</w:t>
            </w:r>
          </w:p>
        </w:tc>
        <w:tc>
          <w:tcPr>
            <w:tcW w:w="1898" w:type="dxa"/>
          </w:tcPr>
          <w:p w14:paraId="19B2B5CD" w14:textId="77777777" w:rsidR="00F50542" w:rsidRPr="007F6D0A" w:rsidRDefault="00F50542" w:rsidP="00E73281">
            <w:pPr>
              <w:spacing w:before="60" w:after="60" w:line="240" w:lineRule="auto"/>
              <w:rPr>
                <w:rFonts w:eastAsia="Times New Roman" w:cs="Times New Roman"/>
                <w:b/>
                <w:iCs/>
                <w:noProof/>
                <w:sz w:val="20"/>
                <w:szCs w:val="20"/>
              </w:rPr>
            </w:pPr>
            <w:r>
              <w:rPr>
                <w:b/>
                <w:iCs/>
                <w:sz w:val="20"/>
                <w:szCs w:val="20"/>
              </w:rPr>
              <w:t>Cel szczegółowy</w:t>
            </w:r>
          </w:p>
        </w:tc>
        <w:tc>
          <w:tcPr>
            <w:tcW w:w="1204" w:type="dxa"/>
          </w:tcPr>
          <w:p w14:paraId="77F54872" w14:textId="77777777" w:rsidR="00F50542" w:rsidRPr="007F6D0A" w:rsidRDefault="00F50542" w:rsidP="00E73281">
            <w:pPr>
              <w:spacing w:before="60" w:after="60" w:line="240" w:lineRule="auto"/>
              <w:rPr>
                <w:rFonts w:eastAsia="Times New Roman" w:cs="Times New Roman"/>
                <w:b/>
                <w:iCs/>
                <w:noProof/>
                <w:sz w:val="20"/>
                <w:szCs w:val="20"/>
              </w:rPr>
            </w:pPr>
            <w:r>
              <w:rPr>
                <w:b/>
                <w:iCs/>
                <w:sz w:val="20"/>
                <w:szCs w:val="20"/>
              </w:rPr>
              <w:t xml:space="preserve">Kod </w:t>
            </w:r>
          </w:p>
        </w:tc>
        <w:tc>
          <w:tcPr>
            <w:tcW w:w="2659" w:type="dxa"/>
          </w:tcPr>
          <w:p w14:paraId="17E9287D" w14:textId="77777777" w:rsidR="00F50542" w:rsidRPr="007F6D0A" w:rsidRDefault="00F50542" w:rsidP="00E73281">
            <w:pPr>
              <w:spacing w:before="60" w:after="60" w:line="240" w:lineRule="auto"/>
              <w:rPr>
                <w:rFonts w:eastAsia="Times New Roman" w:cs="Times New Roman"/>
                <w:b/>
                <w:iCs/>
                <w:noProof/>
                <w:sz w:val="20"/>
                <w:szCs w:val="20"/>
              </w:rPr>
            </w:pPr>
            <w:r>
              <w:rPr>
                <w:b/>
                <w:iCs/>
                <w:sz w:val="20"/>
                <w:szCs w:val="20"/>
              </w:rPr>
              <w:t>Kwota (w EUR)</w:t>
            </w:r>
          </w:p>
        </w:tc>
      </w:tr>
      <w:tr w:rsidR="00F50542" w:rsidRPr="000E01AC" w14:paraId="36585D88" w14:textId="77777777" w:rsidTr="007F6D0A">
        <w:trPr>
          <w:cantSplit/>
        </w:trPr>
        <w:tc>
          <w:tcPr>
            <w:tcW w:w="1870" w:type="dxa"/>
          </w:tcPr>
          <w:p w14:paraId="63C7CEA1" w14:textId="77777777" w:rsidR="00F50542" w:rsidRPr="00F8585E" w:rsidRDefault="00F50542" w:rsidP="00E73281">
            <w:pPr>
              <w:spacing w:before="60" w:after="60" w:line="240" w:lineRule="auto"/>
              <w:rPr>
                <w:rFonts w:eastAsia="Times New Roman" w:cs="Times New Roman"/>
                <w:bCs/>
                <w:iCs/>
                <w:noProof/>
                <w:sz w:val="20"/>
                <w:szCs w:val="20"/>
              </w:rPr>
            </w:pPr>
            <w:r>
              <w:rPr>
                <w:bCs/>
                <w:sz w:val="20"/>
              </w:rPr>
              <w:t>1 – Dostawa usługi</w:t>
            </w:r>
          </w:p>
        </w:tc>
        <w:tc>
          <w:tcPr>
            <w:tcW w:w="1657" w:type="dxa"/>
          </w:tcPr>
          <w:p w14:paraId="034EF067" w14:textId="77777777" w:rsidR="00F50542" w:rsidRPr="007F6D0A" w:rsidRDefault="00F50542" w:rsidP="00E73281">
            <w:pPr>
              <w:spacing w:before="60" w:after="60" w:line="240" w:lineRule="auto"/>
              <w:rPr>
                <w:rFonts w:eastAsia="Times New Roman" w:cs="Times New Roman"/>
                <w:b/>
                <w:iCs/>
                <w:noProof/>
                <w:sz w:val="20"/>
                <w:szCs w:val="20"/>
              </w:rPr>
            </w:pPr>
            <w:r>
              <w:rPr>
                <w:b/>
                <w:sz w:val="20"/>
              </w:rPr>
              <w:t>EFRR</w:t>
            </w:r>
          </w:p>
        </w:tc>
        <w:tc>
          <w:tcPr>
            <w:tcW w:w="1898" w:type="dxa"/>
          </w:tcPr>
          <w:p w14:paraId="066940D7" w14:textId="77777777" w:rsidR="00F50542" w:rsidRPr="007F6D0A" w:rsidRDefault="00F50542" w:rsidP="00E73281">
            <w:pPr>
              <w:spacing w:before="60" w:after="60" w:line="240" w:lineRule="auto"/>
              <w:rPr>
                <w:rFonts w:eastAsia="Times New Roman" w:cs="Times New Roman"/>
                <w:b/>
                <w:iCs/>
                <w:noProof/>
                <w:sz w:val="20"/>
                <w:szCs w:val="20"/>
                <w:lang w:eastAsia="en-GB"/>
              </w:rPr>
            </w:pPr>
          </w:p>
        </w:tc>
        <w:tc>
          <w:tcPr>
            <w:tcW w:w="1204" w:type="dxa"/>
          </w:tcPr>
          <w:p w14:paraId="0EE92C09" w14:textId="77777777" w:rsidR="00F50542" w:rsidRPr="007F6D0A" w:rsidRDefault="00F50542" w:rsidP="00E73281">
            <w:pPr>
              <w:spacing w:before="60" w:after="60" w:line="240" w:lineRule="auto"/>
              <w:rPr>
                <w:rFonts w:eastAsia="Times New Roman" w:cs="Times New Roman"/>
                <w:b/>
                <w:iCs/>
                <w:noProof/>
                <w:sz w:val="20"/>
                <w:szCs w:val="20"/>
              </w:rPr>
            </w:pPr>
            <w:r>
              <w:rPr>
                <w:b/>
                <w:sz w:val="20"/>
              </w:rPr>
              <w:t>01 – N/D</w:t>
            </w:r>
          </w:p>
        </w:tc>
        <w:tc>
          <w:tcPr>
            <w:tcW w:w="2659" w:type="dxa"/>
          </w:tcPr>
          <w:p w14:paraId="224B1B05" w14:textId="77777777" w:rsidR="00795900" w:rsidRPr="007F6D0A" w:rsidRDefault="00795900" w:rsidP="00E73281">
            <w:pPr>
              <w:spacing w:before="60" w:after="60" w:line="240" w:lineRule="auto"/>
              <w:rPr>
                <w:rFonts w:eastAsia="'Times New Roman'" w:cs="Times New Roman"/>
                <w:b/>
                <w:sz w:val="20"/>
              </w:rPr>
            </w:pPr>
          </w:p>
        </w:tc>
      </w:tr>
    </w:tbl>
    <w:p w14:paraId="7708E9E8" w14:textId="77777777" w:rsidR="00795900" w:rsidRDefault="00795900">
      <w:pPr>
        <w:ind w:left="709" w:hanging="709"/>
        <w:jc w:val="both"/>
      </w:pPr>
    </w:p>
    <w:p w14:paraId="2C0253FB" w14:textId="77777777" w:rsidR="00795900" w:rsidRPr="00E73281" w:rsidRDefault="00A42F95" w:rsidP="00671B0E">
      <w:pPr>
        <w:keepNext/>
        <w:numPr>
          <w:ilvl w:val="0"/>
          <w:numId w:val="12"/>
        </w:numPr>
        <w:spacing w:before="240" w:after="240" w:line="240" w:lineRule="auto"/>
        <w:jc w:val="both"/>
        <w:rPr>
          <w:rFonts w:eastAsia="'Times New Roman'" w:cs="Times New Roman"/>
          <w:b/>
        </w:rPr>
      </w:pPr>
      <w:r>
        <w:rPr>
          <w:b/>
        </w:rPr>
        <w:t>Plan finansowania</w:t>
      </w:r>
    </w:p>
    <w:p w14:paraId="705C90D5" w14:textId="77777777" w:rsidR="00F50542" w:rsidRPr="00F50542" w:rsidRDefault="00F50542" w:rsidP="00671B0E">
      <w:pPr>
        <w:keepNext/>
        <w:spacing w:after="200" w:line="240" w:lineRule="auto"/>
        <w:jc w:val="both"/>
        <w:rPr>
          <w:rFonts w:eastAsia="Times New Roman" w:cs="Times New Roman"/>
          <w:i/>
          <w:noProof/>
          <w:color w:val="000000"/>
          <w:szCs w:val="24"/>
        </w:rPr>
      </w:pPr>
      <w:r>
        <w:rPr>
          <w:i/>
          <w:color w:val="000000"/>
          <w:szCs w:val="24"/>
        </w:rPr>
        <w:t>Odniesienie: Art. 17(4)(g)</w:t>
      </w:r>
    </w:p>
    <w:p w14:paraId="2A2D349D" w14:textId="77777777" w:rsidR="00F50542" w:rsidRPr="00F50542" w:rsidRDefault="00F50542" w:rsidP="00671B0E">
      <w:pPr>
        <w:keepNext/>
        <w:spacing w:before="240" w:after="240" w:line="240" w:lineRule="auto"/>
        <w:ind w:left="709" w:hanging="709"/>
        <w:jc w:val="both"/>
        <w:rPr>
          <w:rFonts w:eastAsia="Times New Roman" w:cs="Times New Roman"/>
          <w:b/>
          <w:iCs/>
          <w:noProof/>
          <w:szCs w:val="24"/>
        </w:rPr>
      </w:pPr>
      <w:r>
        <w:rPr>
          <w:b/>
          <w:iCs/>
          <w:szCs w:val="24"/>
        </w:rPr>
        <w:t>3.1</w:t>
      </w:r>
      <w:r>
        <w:rPr>
          <w:b/>
          <w:iCs/>
          <w:szCs w:val="24"/>
        </w:rPr>
        <w:tab/>
        <w:t>Środki finansowe według roku</w:t>
      </w:r>
    </w:p>
    <w:p w14:paraId="234840FB" w14:textId="77777777" w:rsidR="00F50542" w:rsidRPr="00F50542" w:rsidRDefault="00F50542" w:rsidP="00671B0E">
      <w:pPr>
        <w:keepNext/>
        <w:spacing w:after="200" w:line="240" w:lineRule="auto"/>
        <w:jc w:val="both"/>
        <w:rPr>
          <w:rFonts w:eastAsia="Times New Roman" w:cs="Times New Roman"/>
          <w:i/>
          <w:noProof/>
          <w:color w:val="000000"/>
          <w:szCs w:val="24"/>
        </w:rPr>
      </w:pPr>
      <w:r>
        <w:rPr>
          <w:i/>
          <w:color w:val="000000"/>
          <w:szCs w:val="24"/>
        </w:rPr>
        <w:t>Odniesienie: Art. 17(4)(g)(i), Art. 17(5)(a)-(d)</w:t>
      </w:r>
    </w:p>
    <w:p w14:paraId="25F19DC6" w14:textId="77777777" w:rsidR="00F50542" w:rsidRPr="00027E8B" w:rsidRDefault="00F50542" w:rsidP="00027E8B">
      <w:pPr>
        <w:keepNext/>
        <w:spacing w:before="240" w:after="240" w:line="240" w:lineRule="auto"/>
        <w:rPr>
          <w:rFonts w:eastAsia="Times New Roman" w:cs="Times New Roman"/>
          <w:iCs/>
          <w:noProof/>
          <w:szCs w:val="24"/>
        </w:rPr>
      </w:pPr>
      <w:r>
        <w:t>Tabela 7</w:t>
      </w:r>
    </w:p>
    <w:tbl>
      <w:tblPr>
        <w:tblStyle w:val="TableGrid1"/>
        <w:tblW w:w="5081" w:type="pct"/>
        <w:tblLayout w:type="fixed"/>
        <w:tblCellMar>
          <w:top w:w="28" w:type="dxa"/>
          <w:left w:w="57" w:type="dxa"/>
          <w:bottom w:w="28" w:type="dxa"/>
          <w:right w:w="57" w:type="dxa"/>
        </w:tblCellMar>
        <w:tblLook w:val="04A0" w:firstRow="1" w:lastRow="0" w:firstColumn="1" w:lastColumn="0" w:noHBand="0" w:noVBand="1"/>
      </w:tblPr>
      <w:tblGrid>
        <w:gridCol w:w="1450"/>
        <w:gridCol w:w="964"/>
        <w:gridCol w:w="966"/>
        <w:gridCol w:w="966"/>
        <w:gridCol w:w="966"/>
        <w:gridCol w:w="967"/>
        <w:gridCol w:w="968"/>
        <w:gridCol w:w="968"/>
        <w:gridCol w:w="1120"/>
      </w:tblGrid>
      <w:tr w:rsidR="00F50542" w:rsidRPr="00F50542" w14:paraId="3879E33B" w14:textId="77777777" w:rsidTr="00961DA7">
        <w:trPr>
          <w:cantSplit/>
          <w:tblHeader/>
        </w:trPr>
        <w:tc>
          <w:tcPr>
            <w:tcW w:w="1430" w:type="dxa"/>
          </w:tcPr>
          <w:p w14:paraId="413E7E6F" w14:textId="77777777" w:rsidR="00F50542" w:rsidRPr="00F50542" w:rsidRDefault="00F50542" w:rsidP="00961DA7">
            <w:pPr>
              <w:keepNext/>
              <w:spacing w:line="240" w:lineRule="auto"/>
              <w:rPr>
                <w:rFonts w:cs="Times New Roman"/>
                <w:b/>
                <w:i/>
                <w:noProof/>
                <w:sz w:val="20"/>
                <w:szCs w:val="20"/>
              </w:rPr>
            </w:pPr>
            <w:r>
              <w:rPr>
                <w:b/>
                <w:i/>
                <w:sz w:val="20"/>
                <w:szCs w:val="20"/>
              </w:rPr>
              <w:t>Fundusz</w:t>
            </w:r>
          </w:p>
        </w:tc>
        <w:tc>
          <w:tcPr>
            <w:tcW w:w="951" w:type="dxa"/>
          </w:tcPr>
          <w:p w14:paraId="1585496F" w14:textId="77777777" w:rsidR="00F50542" w:rsidRPr="00F50542" w:rsidRDefault="00F50542" w:rsidP="00961DA7">
            <w:pPr>
              <w:spacing w:line="240" w:lineRule="auto"/>
              <w:jc w:val="right"/>
              <w:rPr>
                <w:rFonts w:cs="Times New Roman"/>
                <w:b/>
                <w:i/>
                <w:noProof/>
                <w:sz w:val="20"/>
                <w:szCs w:val="20"/>
              </w:rPr>
            </w:pPr>
            <w:r>
              <w:rPr>
                <w:b/>
                <w:i/>
                <w:sz w:val="20"/>
                <w:szCs w:val="20"/>
              </w:rPr>
              <w:t>2021</w:t>
            </w:r>
          </w:p>
        </w:tc>
        <w:tc>
          <w:tcPr>
            <w:tcW w:w="953" w:type="dxa"/>
          </w:tcPr>
          <w:p w14:paraId="355EEA63" w14:textId="77777777" w:rsidR="00F50542" w:rsidRPr="00F50542" w:rsidRDefault="00F50542" w:rsidP="00961DA7">
            <w:pPr>
              <w:spacing w:line="240" w:lineRule="auto"/>
              <w:jc w:val="right"/>
              <w:rPr>
                <w:rFonts w:cs="Times New Roman"/>
                <w:b/>
                <w:i/>
                <w:noProof/>
                <w:sz w:val="20"/>
                <w:szCs w:val="20"/>
              </w:rPr>
            </w:pPr>
            <w:r>
              <w:rPr>
                <w:b/>
                <w:i/>
                <w:sz w:val="20"/>
                <w:szCs w:val="20"/>
              </w:rPr>
              <w:t>2022</w:t>
            </w:r>
          </w:p>
        </w:tc>
        <w:tc>
          <w:tcPr>
            <w:tcW w:w="953" w:type="dxa"/>
          </w:tcPr>
          <w:p w14:paraId="1552A13F" w14:textId="77777777" w:rsidR="00F50542" w:rsidRPr="00F50542" w:rsidRDefault="00F50542" w:rsidP="00961DA7">
            <w:pPr>
              <w:spacing w:line="240" w:lineRule="auto"/>
              <w:jc w:val="right"/>
              <w:rPr>
                <w:rFonts w:cs="Times New Roman"/>
                <w:b/>
                <w:i/>
                <w:noProof/>
                <w:sz w:val="20"/>
                <w:szCs w:val="20"/>
              </w:rPr>
            </w:pPr>
            <w:r>
              <w:rPr>
                <w:b/>
                <w:i/>
                <w:sz w:val="20"/>
                <w:szCs w:val="20"/>
              </w:rPr>
              <w:t>2023</w:t>
            </w:r>
          </w:p>
        </w:tc>
        <w:tc>
          <w:tcPr>
            <w:tcW w:w="953" w:type="dxa"/>
          </w:tcPr>
          <w:p w14:paraId="1E00BA17" w14:textId="77777777" w:rsidR="00F50542" w:rsidRPr="00F50542" w:rsidRDefault="00F50542" w:rsidP="00961DA7">
            <w:pPr>
              <w:spacing w:line="240" w:lineRule="auto"/>
              <w:jc w:val="right"/>
              <w:rPr>
                <w:rFonts w:cs="Times New Roman"/>
                <w:b/>
                <w:i/>
                <w:noProof/>
                <w:sz w:val="20"/>
                <w:szCs w:val="20"/>
              </w:rPr>
            </w:pPr>
            <w:r>
              <w:rPr>
                <w:b/>
                <w:i/>
                <w:sz w:val="20"/>
                <w:szCs w:val="20"/>
              </w:rPr>
              <w:t>2024</w:t>
            </w:r>
          </w:p>
        </w:tc>
        <w:tc>
          <w:tcPr>
            <w:tcW w:w="954" w:type="dxa"/>
          </w:tcPr>
          <w:p w14:paraId="1CEFD3C8" w14:textId="77777777" w:rsidR="00F50542" w:rsidRPr="00F50542" w:rsidRDefault="00F50542" w:rsidP="00961DA7">
            <w:pPr>
              <w:spacing w:line="240" w:lineRule="auto"/>
              <w:jc w:val="right"/>
              <w:rPr>
                <w:rFonts w:cs="Times New Roman"/>
                <w:b/>
                <w:i/>
                <w:noProof/>
                <w:sz w:val="20"/>
                <w:szCs w:val="20"/>
              </w:rPr>
            </w:pPr>
            <w:r>
              <w:rPr>
                <w:b/>
                <w:i/>
                <w:sz w:val="20"/>
                <w:szCs w:val="20"/>
              </w:rPr>
              <w:t>2025</w:t>
            </w:r>
          </w:p>
        </w:tc>
        <w:tc>
          <w:tcPr>
            <w:tcW w:w="955" w:type="dxa"/>
          </w:tcPr>
          <w:p w14:paraId="379C67D0" w14:textId="77777777" w:rsidR="00F50542" w:rsidRPr="00F50542" w:rsidRDefault="00F50542" w:rsidP="00961DA7">
            <w:pPr>
              <w:spacing w:line="240" w:lineRule="auto"/>
              <w:jc w:val="right"/>
              <w:rPr>
                <w:rFonts w:cs="Times New Roman"/>
                <w:b/>
                <w:i/>
                <w:noProof/>
                <w:sz w:val="20"/>
                <w:szCs w:val="20"/>
              </w:rPr>
            </w:pPr>
            <w:r>
              <w:rPr>
                <w:b/>
                <w:i/>
                <w:sz w:val="20"/>
                <w:szCs w:val="20"/>
              </w:rPr>
              <w:t>2026</w:t>
            </w:r>
          </w:p>
        </w:tc>
        <w:tc>
          <w:tcPr>
            <w:tcW w:w="955" w:type="dxa"/>
          </w:tcPr>
          <w:p w14:paraId="06476D55" w14:textId="77777777" w:rsidR="00F50542" w:rsidRPr="00F50542" w:rsidRDefault="00F50542" w:rsidP="00961DA7">
            <w:pPr>
              <w:spacing w:line="240" w:lineRule="auto"/>
              <w:jc w:val="right"/>
              <w:rPr>
                <w:rFonts w:cs="Times New Roman"/>
                <w:b/>
                <w:i/>
                <w:noProof/>
                <w:sz w:val="20"/>
                <w:szCs w:val="20"/>
              </w:rPr>
            </w:pPr>
            <w:r>
              <w:rPr>
                <w:b/>
                <w:i/>
                <w:sz w:val="20"/>
                <w:szCs w:val="20"/>
              </w:rPr>
              <w:t>2027</w:t>
            </w:r>
          </w:p>
        </w:tc>
        <w:tc>
          <w:tcPr>
            <w:tcW w:w="1105" w:type="dxa"/>
          </w:tcPr>
          <w:p w14:paraId="7D3A1664" w14:textId="77777777" w:rsidR="00F50542" w:rsidRPr="00F50542" w:rsidRDefault="00F50542" w:rsidP="00961DA7">
            <w:pPr>
              <w:spacing w:line="240" w:lineRule="auto"/>
              <w:jc w:val="right"/>
              <w:rPr>
                <w:rFonts w:cs="Times New Roman"/>
                <w:b/>
                <w:i/>
                <w:noProof/>
                <w:sz w:val="20"/>
                <w:szCs w:val="20"/>
              </w:rPr>
            </w:pPr>
            <w:r>
              <w:rPr>
                <w:b/>
                <w:i/>
                <w:sz w:val="20"/>
                <w:szCs w:val="20"/>
              </w:rPr>
              <w:t xml:space="preserve">Ogółem </w:t>
            </w:r>
          </w:p>
        </w:tc>
      </w:tr>
      <w:tr w:rsidR="00F50542" w:rsidRPr="00F50542" w14:paraId="28701757" w14:textId="77777777" w:rsidTr="00961DA7">
        <w:trPr>
          <w:cantSplit/>
        </w:trPr>
        <w:tc>
          <w:tcPr>
            <w:tcW w:w="1430" w:type="dxa"/>
          </w:tcPr>
          <w:p w14:paraId="370F0D4D" w14:textId="77777777" w:rsidR="00F50542" w:rsidRPr="004C4703" w:rsidRDefault="00F50542" w:rsidP="00961DA7">
            <w:pPr>
              <w:spacing w:line="240" w:lineRule="auto"/>
              <w:rPr>
                <w:rFonts w:cs="Times New Roman"/>
                <w:i/>
                <w:noProof/>
                <w:sz w:val="20"/>
                <w:szCs w:val="20"/>
              </w:rPr>
            </w:pPr>
            <w:r>
              <w:rPr>
                <w:i/>
                <w:sz w:val="20"/>
                <w:szCs w:val="20"/>
              </w:rPr>
              <w:t>EFRR</w:t>
            </w:r>
          </w:p>
          <w:p w14:paraId="577E05A8" w14:textId="2C055781" w:rsidR="00DC7A40" w:rsidRPr="00CB6385" w:rsidRDefault="00DC7A40" w:rsidP="00961DA7">
            <w:pPr>
              <w:spacing w:beforeLines="60" w:before="144" w:line="240" w:lineRule="auto"/>
              <w:rPr>
                <w:rFonts w:cs="Times New Roman"/>
                <w:i/>
                <w:noProof/>
                <w:sz w:val="20"/>
                <w:szCs w:val="20"/>
              </w:rPr>
            </w:pPr>
            <w:r>
              <w:rPr>
                <w:i/>
                <w:sz w:val="20"/>
                <w:szCs w:val="20"/>
              </w:rPr>
              <w:t xml:space="preserve">(cel </w:t>
            </w:r>
            <w:r w:rsidR="003751A0">
              <w:rPr>
                <w:i/>
                <w:sz w:val="20"/>
                <w:szCs w:val="20"/>
              </w:rPr>
              <w:t>„W</w:t>
            </w:r>
            <w:r>
              <w:rPr>
                <w:i/>
                <w:sz w:val="20"/>
                <w:szCs w:val="20"/>
              </w:rPr>
              <w:t>spółprac</w:t>
            </w:r>
            <w:r w:rsidR="003751A0">
              <w:rPr>
                <w:i/>
                <w:sz w:val="20"/>
                <w:szCs w:val="20"/>
              </w:rPr>
              <w:t>a</w:t>
            </w:r>
            <w:r>
              <w:rPr>
                <w:i/>
                <w:sz w:val="20"/>
                <w:szCs w:val="20"/>
              </w:rPr>
              <w:t xml:space="preserve"> terytorialn</w:t>
            </w:r>
            <w:r w:rsidR="003751A0">
              <w:rPr>
                <w:i/>
                <w:sz w:val="20"/>
                <w:szCs w:val="20"/>
              </w:rPr>
              <w:t>a”</w:t>
            </w:r>
            <w:r>
              <w:rPr>
                <w:i/>
                <w:sz w:val="20"/>
                <w:szCs w:val="20"/>
              </w:rPr>
              <w:t>)</w:t>
            </w:r>
          </w:p>
        </w:tc>
        <w:tc>
          <w:tcPr>
            <w:tcW w:w="951" w:type="dxa"/>
          </w:tcPr>
          <w:p w14:paraId="18ABF133" w14:textId="1D8866D7" w:rsidR="00F50542" w:rsidRPr="00F50542" w:rsidRDefault="00A659C3" w:rsidP="00961DA7">
            <w:pPr>
              <w:spacing w:beforeLines="60" w:before="144" w:line="240" w:lineRule="auto"/>
              <w:jc w:val="right"/>
              <w:rPr>
                <w:rFonts w:cs="Times New Roman"/>
                <w:i/>
                <w:noProof/>
                <w:sz w:val="20"/>
                <w:szCs w:val="20"/>
              </w:rPr>
            </w:pPr>
            <w:r>
              <w:rPr>
                <w:i/>
                <w:sz w:val="20"/>
                <w:szCs w:val="20"/>
              </w:rPr>
              <w:t>6 053 038</w:t>
            </w:r>
          </w:p>
        </w:tc>
        <w:tc>
          <w:tcPr>
            <w:tcW w:w="953" w:type="dxa"/>
          </w:tcPr>
          <w:p w14:paraId="1750EBF9" w14:textId="350A3AA9" w:rsidR="00F50542" w:rsidRPr="00F50542" w:rsidRDefault="00A659C3" w:rsidP="00961DA7">
            <w:pPr>
              <w:spacing w:beforeLines="60" w:before="144" w:line="240" w:lineRule="auto"/>
              <w:jc w:val="right"/>
              <w:rPr>
                <w:rFonts w:cs="Times New Roman"/>
                <w:i/>
                <w:noProof/>
                <w:sz w:val="20"/>
                <w:szCs w:val="20"/>
              </w:rPr>
            </w:pPr>
            <w:r>
              <w:rPr>
                <w:i/>
                <w:sz w:val="20"/>
                <w:szCs w:val="20"/>
              </w:rPr>
              <w:t>6 174 099</w:t>
            </w:r>
          </w:p>
        </w:tc>
        <w:tc>
          <w:tcPr>
            <w:tcW w:w="953" w:type="dxa"/>
          </w:tcPr>
          <w:p w14:paraId="16797D03" w14:textId="37620417" w:rsidR="00F50542" w:rsidRPr="00F50542" w:rsidRDefault="00A659C3" w:rsidP="00961DA7">
            <w:pPr>
              <w:spacing w:beforeLines="60" w:before="144" w:line="240" w:lineRule="auto"/>
              <w:jc w:val="right"/>
              <w:rPr>
                <w:rFonts w:cs="Times New Roman"/>
                <w:i/>
                <w:noProof/>
                <w:sz w:val="20"/>
                <w:szCs w:val="20"/>
              </w:rPr>
            </w:pPr>
            <w:r>
              <w:rPr>
                <w:i/>
                <w:sz w:val="20"/>
                <w:szCs w:val="20"/>
              </w:rPr>
              <w:t>6 297 581</w:t>
            </w:r>
          </w:p>
        </w:tc>
        <w:tc>
          <w:tcPr>
            <w:tcW w:w="953" w:type="dxa"/>
          </w:tcPr>
          <w:p w14:paraId="4DBD8F7D" w14:textId="225C07F5" w:rsidR="00F50542" w:rsidRPr="00F50542" w:rsidRDefault="00A659C3" w:rsidP="00961DA7">
            <w:pPr>
              <w:spacing w:beforeLines="60" w:before="144" w:line="240" w:lineRule="auto"/>
              <w:jc w:val="right"/>
              <w:rPr>
                <w:rFonts w:cs="Times New Roman"/>
                <w:i/>
                <w:noProof/>
                <w:sz w:val="20"/>
                <w:szCs w:val="20"/>
              </w:rPr>
            </w:pPr>
            <w:r>
              <w:rPr>
                <w:i/>
                <w:sz w:val="20"/>
                <w:szCs w:val="20"/>
              </w:rPr>
              <w:t>6 423 532</w:t>
            </w:r>
          </w:p>
        </w:tc>
        <w:tc>
          <w:tcPr>
            <w:tcW w:w="954" w:type="dxa"/>
          </w:tcPr>
          <w:p w14:paraId="7C369F79" w14:textId="350E8FAD" w:rsidR="00F50542" w:rsidRPr="00F50542" w:rsidRDefault="00A659C3" w:rsidP="00961DA7">
            <w:pPr>
              <w:spacing w:beforeLines="60" w:before="144" w:line="240" w:lineRule="auto"/>
              <w:jc w:val="right"/>
              <w:rPr>
                <w:rFonts w:cs="Times New Roman"/>
                <w:i/>
                <w:noProof/>
                <w:sz w:val="20"/>
                <w:szCs w:val="20"/>
              </w:rPr>
            </w:pPr>
            <w:r>
              <w:rPr>
                <w:i/>
                <w:sz w:val="20"/>
                <w:szCs w:val="20"/>
              </w:rPr>
              <w:t>6 552 003</w:t>
            </w:r>
          </w:p>
        </w:tc>
        <w:tc>
          <w:tcPr>
            <w:tcW w:w="955" w:type="dxa"/>
          </w:tcPr>
          <w:p w14:paraId="5690E8D4" w14:textId="0E7DA2A7" w:rsidR="00F50542" w:rsidRPr="00F50542" w:rsidRDefault="00A659C3" w:rsidP="00961DA7">
            <w:pPr>
              <w:spacing w:beforeLines="60" w:before="144" w:line="240" w:lineRule="auto"/>
              <w:jc w:val="right"/>
              <w:rPr>
                <w:rFonts w:cs="Times New Roman"/>
                <w:i/>
                <w:noProof/>
                <w:sz w:val="20"/>
                <w:szCs w:val="20"/>
              </w:rPr>
            </w:pPr>
            <w:r>
              <w:rPr>
                <w:i/>
                <w:sz w:val="20"/>
                <w:szCs w:val="20"/>
              </w:rPr>
              <w:t>6 683 043</w:t>
            </w:r>
          </w:p>
        </w:tc>
        <w:tc>
          <w:tcPr>
            <w:tcW w:w="955" w:type="dxa"/>
          </w:tcPr>
          <w:p w14:paraId="1041013C" w14:textId="024AFBCA" w:rsidR="00F50542" w:rsidRPr="00F50542" w:rsidRDefault="00A659C3" w:rsidP="00961DA7">
            <w:pPr>
              <w:spacing w:beforeLines="60" w:before="144" w:line="240" w:lineRule="auto"/>
              <w:jc w:val="right"/>
              <w:rPr>
                <w:rFonts w:cs="Times New Roman"/>
                <w:i/>
                <w:noProof/>
                <w:sz w:val="20"/>
                <w:szCs w:val="20"/>
              </w:rPr>
            </w:pPr>
            <w:r>
              <w:rPr>
                <w:i/>
                <w:sz w:val="20"/>
                <w:szCs w:val="20"/>
              </w:rPr>
              <w:t>6 816 704</w:t>
            </w:r>
          </w:p>
        </w:tc>
        <w:tc>
          <w:tcPr>
            <w:tcW w:w="1105" w:type="dxa"/>
          </w:tcPr>
          <w:p w14:paraId="28D903B6" w14:textId="3E52D1BD" w:rsidR="00F50542" w:rsidRPr="00F50542" w:rsidRDefault="00A659C3" w:rsidP="00961DA7">
            <w:pPr>
              <w:spacing w:beforeLines="60" w:before="144" w:line="240" w:lineRule="auto"/>
              <w:jc w:val="right"/>
              <w:rPr>
                <w:rFonts w:cs="Times New Roman"/>
                <w:i/>
                <w:noProof/>
                <w:sz w:val="20"/>
                <w:szCs w:val="20"/>
              </w:rPr>
            </w:pPr>
            <w:r>
              <w:rPr>
                <w:i/>
                <w:sz w:val="20"/>
                <w:szCs w:val="20"/>
              </w:rPr>
              <w:t>45 000 000</w:t>
            </w:r>
          </w:p>
        </w:tc>
      </w:tr>
      <w:tr w:rsidR="00DC7A40" w:rsidRPr="00F50542" w14:paraId="62CC18F5" w14:textId="77777777" w:rsidTr="00961DA7">
        <w:trPr>
          <w:cantSplit/>
        </w:trPr>
        <w:tc>
          <w:tcPr>
            <w:tcW w:w="1430" w:type="dxa"/>
          </w:tcPr>
          <w:p w14:paraId="6F3C1D40" w14:textId="40505A11" w:rsidR="00DC7A40" w:rsidRPr="004C4703" w:rsidRDefault="00DC7A40" w:rsidP="00961DA7">
            <w:pPr>
              <w:spacing w:beforeLines="60" w:before="144" w:line="240" w:lineRule="auto"/>
              <w:rPr>
                <w:rFonts w:cs="Times New Roman"/>
                <w:b/>
                <w:i/>
                <w:noProof/>
                <w:sz w:val="20"/>
                <w:szCs w:val="20"/>
                <w:u w:val="single"/>
              </w:rPr>
            </w:pPr>
          </w:p>
        </w:tc>
        <w:tc>
          <w:tcPr>
            <w:tcW w:w="951" w:type="dxa"/>
          </w:tcPr>
          <w:p w14:paraId="703B0660" w14:textId="77777777" w:rsidR="00DC7A40" w:rsidRPr="00F50542" w:rsidRDefault="00DC7A40" w:rsidP="00961DA7">
            <w:pPr>
              <w:spacing w:beforeLines="60" w:before="144" w:line="240" w:lineRule="auto"/>
              <w:jc w:val="right"/>
              <w:rPr>
                <w:rFonts w:cs="Times New Roman"/>
                <w:i/>
                <w:noProof/>
                <w:sz w:val="20"/>
                <w:szCs w:val="20"/>
              </w:rPr>
            </w:pPr>
          </w:p>
        </w:tc>
        <w:tc>
          <w:tcPr>
            <w:tcW w:w="953" w:type="dxa"/>
          </w:tcPr>
          <w:p w14:paraId="237080E5" w14:textId="77777777" w:rsidR="00DC7A40" w:rsidRPr="00F50542" w:rsidRDefault="00DC7A40" w:rsidP="00961DA7">
            <w:pPr>
              <w:spacing w:beforeLines="60" w:before="144" w:line="240" w:lineRule="auto"/>
              <w:jc w:val="right"/>
              <w:rPr>
                <w:rFonts w:cs="Times New Roman"/>
                <w:i/>
                <w:noProof/>
                <w:sz w:val="20"/>
                <w:szCs w:val="20"/>
              </w:rPr>
            </w:pPr>
          </w:p>
        </w:tc>
        <w:tc>
          <w:tcPr>
            <w:tcW w:w="953" w:type="dxa"/>
          </w:tcPr>
          <w:p w14:paraId="2E0D99F3" w14:textId="77777777" w:rsidR="00DC7A40" w:rsidRPr="00F50542" w:rsidRDefault="00DC7A40" w:rsidP="00961DA7">
            <w:pPr>
              <w:spacing w:beforeLines="60" w:before="144" w:line="240" w:lineRule="auto"/>
              <w:jc w:val="right"/>
              <w:rPr>
                <w:rFonts w:cs="Times New Roman"/>
                <w:i/>
                <w:noProof/>
                <w:sz w:val="20"/>
                <w:szCs w:val="20"/>
              </w:rPr>
            </w:pPr>
          </w:p>
        </w:tc>
        <w:tc>
          <w:tcPr>
            <w:tcW w:w="953" w:type="dxa"/>
          </w:tcPr>
          <w:p w14:paraId="5AD7C110" w14:textId="77777777" w:rsidR="00DC7A40" w:rsidRPr="00F50542" w:rsidRDefault="00DC7A40" w:rsidP="00961DA7">
            <w:pPr>
              <w:spacing w:beforeLines="60" w:before="144" w:line="240" w:lineRule="auto"/>
              <w:jc w:val="right"/>
              <w:rPr>
                <w:rFonts w:cs="Times New Roman"/>
                <w:i/>
                <w:noProof/>
                <w:sz w:val="20"/>
                <w:szCs w:val="20"/>
              </w:rPr>
            </w:pPr>
          </w:p>
        </w:tc>
        <w:tc>
          <w:tcPr>
            <w:tcW w:w="954" w:type="dxa"/>
          </w:tcPr>
          <w:p w14:paraId="22166F16" w14:textId="77777777" w:rsidR="00DC7A40" w:rsidRPr="00F50542" w:rsidRDefault="00DC7A40" w:rsidP="00961DA7">
            <w:pPr>
              <w:spacing w:beforeLines="60" w:before="144" w:line="240" w:lineRule="auto"/>
              <w:jc w:val="right"/>
              <w:rPr>
                <w:rFonts w:cs="Times New Roman"/>
                <w:i/>
                <w:noProof/>
                <w:sz w:val="20"/>
                <w:szCs w:val="20"/>
              </w:rPr>
            </w:pPr>
          </w:p>
        </w:tc>
        <w:tc>
          <w:tcPr>
            <w:tcW w:w="955" w:type="dxa"/>
          </w:tcPr>
          <w:p w14:paraId="51B06486" w14:textId="77777777" w:rsidR="00DC7A40" w:rsidRPr="00F50542" w:rsidRDefault="00DC7A40" w:rsidP="00961DA7">
            <w:pPr>
              <w:spacing w:beforeLines="60" w:before="144" w:line="240" w:lineRule="auto"/>
              <w:jc w:val="right"/>
              <w:rPr>
                <w:rFonts w:cs="Times New Roman"/>
                <w:i/>
                <w:noProof/>
                <w:sz w:val="20"/>
                <w:szCs w:val="20"/>
              </w:rPr>
            </w:pPr>
          </w:p>
        </w:tc>
        <w:tc>
          <w:tcPr>
            <w:tcW w:w="955" w:type="dxa"/>
          </w:tcPr>
          <w:p w14:paraId="770D5818" w14:textId="77777777" w:rsidR="00DC7A40" w:rsidRPr="00F50542" w:rsidRDefault="00DC7A40" w:rsidP="00961DA7">
            <w:pPr>
              <w:spacing w:beforeLines="60" w:before="144" w:line="240" w:lineRule="auto"/>
              <w:jc w:val="right"/>
              <w:rPr>
                <w:rFonts w:cs="Times New Roman"/>
                <w:i/>
                <w:noProof/>
                <w:sz w:val="20"/>
                <w:szCs w:val="20"/>
              </w:rPr>
            </w:pPr>
          </w:p>
        </w:tc>
        <w:tc>
          <w:tcPr>
            <w:tcW w:w="1105" w:type="dxa"/>
          </w:tcPr>
          <w:p w14:paraId="55F994BE" w14:textId="77777777" w:rsidR="00DC7A40" w:rsidRPr="00F50542" w:rsidRDefault="00DC7A40" w:rsidP="00961DA7">
            <w:pPr>
              <w:spacing w:beforeLines="60" w:before="144" w:line="240" w:lineRule="auto"/>
              <w:jc w:val="right"/>
              <w:rPr>
                <w:rFonts w:cs="Times New Roman"/>
                <w:i/>
                <w:noProof/>
                <w:sz w:val="20"/>
                <w:szCs w:val="20"/>
              </w:rPr>
            </w:pPr>
          </w:p>
        </w:tc>
      </w:tr>
      <w:tr w:rsidR="00F50542" w:rsidRPr="00F50542" w14:paraId="73E50E85" w14:textId="77777777" w:rsidTr="00961DA7">
        <w:trPr>
          <w:cantSplit/>
        </w:trPr>
        <w:tc>
          <w:tcPr>
            <w:tcW w:w="1430" w:type="dxa"/>
          </w:tcPr>
          <w:p w14:paraId="4AE66A56" w14:textId="77777777" w:rsidR="00F50542" w:rsidRPr="00F50542" w:rsidRDefault="00F50542" w:rsidP="00961DA7">
            <w:pPr>
              <w:spacing w:beforeLines="60" w:before="144" w:line="240" w:lineRule="auto"/>
              <w:rPr>
                <w:rFonts w:cs="Times New Roman"/>
                <w:i/>
                <w:noProof/>
                <w:sz w:val="20"/>
                <w:szCs w:val="20"/>
              </w:rPr>
            </w:pPr>
            <w:r>
              <w:rPr>
                <w:i/>
                <w:sz w:val="20"/>
                <w:szCs w:val="20"/>
              </w:rPr>
              <w:t>IPA</w:t>
            </w:r>
            <w:r>
              <w:rPr>
                <w:rFonts w:asciiTheme="minorHAnsi" w:hAnsiTheme="minorHAnsi"/>
                <w:sz w:val="22"/>
              </w:rPr>
              <w:t> </w:t>
            </w:r>
            <w:r>
              <w:rPr>
                <w:i/>
                <w:sz w:val="20"/>
                <w:szCs w:val="20"/>
              </w:rPr>
              <w:t>III CBC</w:t>
            </w:r>
            <w:r w:rsidRPr="00F50542">
              <w:rPr>
                <w:rFonts w:cs="Times New Roman"/>
                <w:i/>
                <w:noProof/>
                <w:sz w:val="20"/>
                <w:szCs w:val="20"/>
                <w:vertAlign w:val="superscript"/>
              </w:rPr>
              <w:footnoteReference w:id="3"/>
            </w:r>
          </w:p>
        </w:tc>
        <w:tc>
          <w:tcPr>
            <w:tcW w:w="951" w:type="dxa"/>
          </w:tcPr>
          <w:p w14:paraId="048A3E56"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46861B98"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21DD7275"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477CBCFC" w14:textId="77777777" w:rsidR="00F50542" w:rsidRPr="00F50542" w:rsidRDefault="00F50542" w:rsidP="00961DA7">
            <w:pPr>
              <w:spacing w:beforeLines="60" w:before="144" w:line="240" w:lineRule="auto"/>
              <w:jc w:val="right"/>
              <w:rPr>
                <w:rFonts w:cs="Times New Roman"/>
                <w:i/>
                <w:noProof/>
                <w:sz w:val="20"/>
                <w:szCs w:val="20"/>
              </w:rPr>
            </w:pPr>
          </w:p>
        </w:tc>
        <w:tc>
          <w:tcPr>
            <w:tcW w:w="954" w:type="dxa"/>
          </w:tcPr>
          <w:p w14:paraId="176AD828"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78F32A61"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23ADBFC1" w14:textId="77777777" w:rsidR="00F50542" w:rsidRPr="00F50542" w:rsidRDefault="00F50542" w:rsidP="00961DA7">
            <w:pPr>
              <w:spacing w:beforeLines="60" w:before="144" w:line="240" w:lineRule="auto"/>
              <w:jc w:val="right"/>
              <w:rPr>
                <w:rFonts w:cs="Times New Roman"/>
                <w:i/>
                <w:noProof/>
                <w:sz w:val="20"/>
                <w:szCs w:val="20"/>
              </w:rPr>
            </w:pPr>
          </w:p>
        </w:tc>
        <w:tc>
          <w:tcPr>
            <w:tcW w:w="1105" w:type="dxa"/>
          </w:tcPr>
          <w:p w14:paraId="5BA213F9" w14:textId="77777777" w:rsidR="00F50542" w:rsidRPr="00F50542" w:rsidRDefault="00F50542" w:rsidP="00961DA7">
            <w:pPr>
              <w:spacing w:beforeLines="60" w:before="144" w:line="240" w:lineRule="auto"/>
              <w:jc w:val="right"/>
              <w:rPr>
                <w:rFonts w:cs="Times New Roman"/>
                <w:i/>
                <w:noProof/>
                <w:sz w:val="20"/>
                <w:szCs w:val="20"/>
              </w:rPr>
            </w:pPr>
          </w:p>
        </w:tc>
      </w:tr>
      <w:tr w:rsidR="00F50542" w:rsidRPr="00F50542" w14:paraId="5F5FDFC8" w14:textId="77777777" w:rsidTr="00961DA7">
        <w:trPr>
          <w:cantSplit/>
        </w:trPr>
        <w:tc>
          <w:tcPr>
            <w:tcW w:w="1430" w:type="dxa"/>
          </w:tcPr>
          <w:p w14:paraId="356B0711" w14:textId="77777777" w:rsidR="00F50542" w:rsidRPr="00F50542" w:rsidRDefault="00F50542" w:rsidP="00961DA7">
            <w:pPr>
              <w:spacing w:beforeLines="60" w:before="144" w:line="240" w:lineRule="auto"/>
              <w:rPr>
                <w:rFonts w:cs="Times New Roman"/>
                <w:i/>
                <w:noProof/>
                <w:sz w:val="20"/>
                <w:szCs w:val="20"/>
              </w:rPr>
            </w:pPr>
            <w:r>
              <w:rPr>
                <w:i/>
                <w:sz w:val="20"/>
                <w:szCs w:val="20"/>
              </w:rPr>
              <w:t>Sąsiedztwo CBC</w:t>
            </w:r>
            <w:r w:rsidRPr="00F50542">
              <w:rPr>
                <w:rFonts w:cs="Times New Roman"/>
                <w:i/>
                <w:noProof/>
                <w:sz w:val="20"/>
                <w:szCs w:val="20"/>
                <w:vertAlign w:val="superscript"/>
              </w:rPr>
              <w:footnoteReference w:id="4"/>
            </w:r>
          </w:p>
        </w:tc>
        <w:tc>
          <w:tcPr>
            <w:tcW w:w="951" w:type="dxa"/>
          </w:tcPr>
          <w:p w14:paraId="65FAEFAA"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66C93A73"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50D44AFB"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7B4D6D06" w14:textId="77777777" w:rsidR="00F50542" w:rsidRPr="00F50542" w:rsidRDefault="00F50542" w:rsidP="00961DA7">
            <w:pPr>
              <w:spacing w:beforeLines="60" w:before="144" w:line="240" w:lineRule="auto"/>
              <w:jc w:val="right"/>
              <w:rPr>
                <w:rFonts w:cs="Times New Roman"/>
                <w:i/>
                <w:noProof/>
                <w:sz w:val="20"/>
                <w:szCs w:val="20"/>
              </w:rPr>
            </w:pPr>
          </w:p>
        </w:tc>
        <w:tc>
          <w:tcPr>
            <w:tcW w:w="954" w:type="dxa"/>
          </w:tcPr>
          <w:p w14:paraId="645C8A52"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4D335177"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44C92EBA" w14:textId="77777777" w:rsidR="00F50542" w:rsidRPr="00F50542" w:rsidRDefault="00F50542" w:rsidP="00961DA7">
            <w:pPr>
              <w:spacing w:beforeLines="60" w:before="144" w:line="240" w:lineRule="auto"/>
              <w:jc w:val="right"/>
              <w:rPr>
                <w:rFonts w:cs="Times New Roman"/>
                <w:i/>
                <w:noProof/>
                <w:sz w:val="20"/>
                <w:szCs w:val="20"/>
              </w:rPr>
            </w:pPr>
          </w:p>
        </w:tc>
        <w:tc>
          <w:tcPr>
            <w:tcW w:w="1105" w:type="dxa"/>
          </w:tcPr>
          <w:p w14:paraId="75127001" w14:textId="77777777" w:rsidR="00F50542" w:rsidRPr="00F50542" w:rsidRDefault="00F50542" w:rsidP="00961DA7">
            <w:pPr>
              <w:spacing w:beforeLines="60" w:before="144" w:line="240" w:lineRule="auto"/>
              <w:jc w:val="right"/>
              <w:rPr>
                <w:rFonts w:cs="Times New Roman"/>
                <w:i/>
                <w:noProof/>
                <w:sz w:val="20"/>
                <w:szCs w:val="20"/>
              </w:rPr>
            </w:pPr>
          </w:p>
        </w:tc>
      </w:tr>
      <w:tr w:rsidR="00F50542" w:rsidRPr="00F50542" w14:paraId="3AD97D3B" w14:textId="77777777" w:rsidTr="00961DA7">
        <w:trPr>
          <w:cantSplit/>
        </w:trPr>
        <w:tc>
          <w:tcPr>
            <w:tcW w:w="1430" w:type="dxa"/>
          </w:tcPr>
          <w:p w14:paraId="7C18DA96" w14:textId="77777777" w:rsidR="00F50542" w:rsidRPr="00F50542" w:rsidRDefault="00F50542" w:rsidP="00961DA7">
            <w:pPr>
              <w:spacing w:beforeLines="60" w:before="144" w:line="240" w:lineRule="auto"/>
              <w:rPr>
                <w:rFonts w:cs="Times New Roman"/>
                <w:i/>
                <w:noProof/>
                <w:sz w:val="20"/>
                <w:szCs w:val="20"/>
              </w:rPr>
            </w:pPr>
            <w:r>
              <w:rPr>
                <w:i/>
                <w:sz w:val="20"/>
                <w:szCs w:val="20"/>
              </w:rPr>
              <w:lastRenderedPageBreak/>
              <w:t>IPA III</w:t>
            </w:r>
            <w:r w:rsidRPr="00F50542">
              <w:rPr>
                <w:rFonts w:cs="Times New Roman"/>
                <w:i/>
                <w:noProof/>
                <w:sz w:val="20"/>
                <w:szCs w:val="20"/>
                <w:vertAlign w:val="superscript"/>
              </w:rPr>
              <w:footnoteReference w:id="5"/>
            </w:r>
          </w:p>
        </w:tc>
        <w:tc>
          <w:tcPr>
            <w:tcW w:w="951" w:type="dxa"/>
          </w:tcPr>
          <w:p w14:paraId="6086B203"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2A68114E"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756CAC9B"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6526BD41" w14:textId="77777777" w:rsidR="00F50542" w:rsidRPr="00F50542" w:rsidRDefault="00F50542" w:rsidP="00961DA7">
            <w:pPr>
              <w:spacing w:beforeLines="60" w:before="144" w:line="240" w:lineRule="auto"/>
              <w:jc w:val="right"/>
              <w:rPr>
                <w:rFonts w:cs="Times New Roman"/>
                <w:i/>
                <w:noProof/>
                <w:sz w:val="20"/>
                <w:szCs w:val="20"/>
              </w:rPr>
            </w:pPr>
          </w:p>
        </w:tc>
        <w:tc>
          <w:tcPr>
            <w:tcW w:w="954" w:type="dxa"/>
          </w:tcPr>
          <w:p w14:paraId="1A3745B3"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5579AAC2"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3798C04D" w14:textId="77777777" w:rsidR="00F50542" w:rsidRPr="00F50542" w:rsidRDefault="00F50542" w:rsidP="00961DA7">
            <w:pPr>
              <w:spacing w:beforeLines="60" w:before="144" w:line="240" w:lineRule="auto"/>
              <w:jc w:val="right"/>
              <w:rPr>
                <w:rFonts w:cs="Times New Roman"/>
                <w:i/>
                <w:noProof/>
                <w:sz w:val="20"/>
                <w:szCs w:val="20"/>
              </w:rPr>
            </w:pPr>
          </w:p>
        </w:tc>
        <w:tc>
          <w:tcPr>
            <w:tcW w:w="1105" w:type="dxa"/>
          </w:tcPr>
          <w:p w14:paraId="7A160C0E" w14:textId="77777777" w:rsidR="00F50542" w:rsidRPr="00F50542" w:rsidRDefault="00F50542" w:rsidP="00961DA7">
            <w:pPr>
              <w:spacing w:beforeLines="60" w:before="144" w:line="240" w:lineRule="auto"/>
              <w:jc w:val="right"/>
              <w:rPr>
                <w:rFonts w:cs="Times New Roman"/>
                <w:i/>
                <w:noProof/>
                <w:sz w:val="20"/>
                <w:szCs w:val="20"/>
              </w:rPr>
            </w:pPr>
          </w:p>
        </w:tc>
      </w:tr>
      <w:tr w:rsidR="00F50542" w:rsidRPr="00F50542" w14:paraId="53384B50" w14:textId="77777777" w:rsidTr="00961DA7">
        <w:trPr>
          <w:cantSplit/>
        </w:trPr>
        <w:tc>
          <w:tcPr>
            <w:tcW w:w="1430" w:type="dxa"/>
          </w:tcPr>
          <w:p w14:paraId="44A61BEC" w14:textId="77777777" w:rsidR="00F50542" w:rsidRPr="00F50542" w:rsidRDefault="00F50542" w:rsidP="00961DA7">
            <w:pPr>
              <w:spacing w:beforeLines="60" w:before="144" w:line="240" w:lineRule="auto"/>
              <w:rPr>
                <w:rFonts w:cs="Times New Roman"/>
                <w:i/>
                <w:noProof/>
                <w:sz w:val="20"/>
                <w:szCs w:val="20"/>
              </w:rPr>
            </w:pPr>
            <w:r>
              <w:rPr>
                <w:i/>
                <w:sz w:val="20"/>
                <w:szCs w:val="20"/>
              </w:rPr>
              <w:t>ISWMR</w:t>
            </w:r>
            <w:r w:rsidRPr="00F50542">
              <w:rPr>
                <w:rFonts w:cs="Times New Roman"/>
                <w:i/>
                <w:noProof/>
                <w:sz w:val="20"/>
                <w:szCs w:val="20"/>
                <w:vertAlign w:val="superscript"/>
              </w:rPr>
              <w:footnoteReference w:id="6"/>
            </w:r>
          </w:p>
        </w:tc>
        <w:tc>
          <w:tcPr>
            <w:tcW w:w="951" w:type="dxa"/>
          </w:tcPr>
          <w:p w14:paraId="3389FE42"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4FEBF56E"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2A33536E"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0E146DF8" w14:textId="77777777" w:rsidR="00F50542" w:rsidRPr="00F50542" w:rsidRDefault="00F50542" w:rsidP="00961DA7">
            <w:pPr>
              <w:spacing w:beforeLines="60" w:before="144" w:line="240" w:lineRule="auto"/>
              <w:jc w:val="right"/>
              <w:rPr>
                <w:rFonts w:cs="Times New Roman"/>
                <w:i/>
                <w:noProof/>
                <w:sz w:val="20"/>
                <w:szCs w:val="20"/>
              </w:rPr>
            </w:pPr>
          </w:p>
        </w:tc>
        <w:tc>
          <w:tcPr>
            <w:tcW w:w="954" w:type="dxa"/>
          </w:tcPr>
          <w:p w14:paraId="40CB6FC0"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578AFC7A"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0A04CB76" w14:textId="77777777" w:rsidR="00F50542" w:rsidRPr="00F50542" w:rsidRDefault="00F50542" w:rsidP="00961DA7">
            <w:pPr>
              <w:spacing w:beforeLines="60" w:before="144" w:line="240" w:lineRule="auto"/>
              <w:jc w:val="right"/>
              <w:rPr>
                <w:rFonts w:cs="Times New Roman"/>
                <w:i/>
                <w:noProof/>
                <w:sz w:val="20"/>
                <w:szCs w:val="20"/>
              </w:rPr>
            </w:pPr>
          </w:p>
        </w:tc>
        <w:tc>
          <w:tcPr>
            <w:tcW w:w="1105" w:type="dxa"/>
          </w:tcPr>
          <w:p w14:paraId="74FE19FF" w14:textId="77777777" w:rsidR="00F50542" w:rsidRPr="00F50542" w:rsidRDefault="00F50542" w:rsidP="00961DA7">
            <w:pPr>
              <w:spacing w:beforeLines="60" w:before="144" w:line="240" w:lineRule="auto"/>
              <w:jc w:val="right"/>
              <w:rPr>
                <w:rFonts w:cs="Times New Roman"/>
                <w:i/>
                <w:noProof/>
                <w:sz w:val="20"/>
                <w:szCs w:val="20"/>
              </w:rPr>
            </w:pPr>
          </w:p>
        </w:tc>
      </w:tr>
      <w:tr w:rsidR="007F7B88" w:rsidRPr="00F50542" w14:paraId="4A086D27" w14:textId="77777777" w:rsidTr="00961DA7">
        <w:trPr>
          <w:cantSplit/>
        </w:trPr>
        <w:tc>
          <w:tcPr>
            <w:tcW w:w="1430" w:type="dxa"/>
          </w:tcPr>
          <w:p w14:paraId="325299BB" w14:textId="77777777" w:rsidR="007F7B88" w:rsidRPr="00F50542" w:rsidRDefault="007F7B88" w:rsidP="00961DA7">
            <w:pPr>
              <w:spacing w:beforeLines="60" w:before="144" w:line="240" w:lineRule="auto"/>
              <w:rPr>
                <w:rFonts w:cs="Times New Roman"/>
                <w:i/>
                <w:noProof/>
                <w:sz w:val="20"/>
                <w:szCs w:val="20"/>
              </w:rPr>
            </w:pPr>
          </w:p>
        </w:tc>
        <w:tc>
          <w:tcPr>
            <w:tcW w:w="951" w:type="dxa"/>
          </w:tcPr>
          <w:p w14:paraId="25E06BC8" w14:textId="77777777" w:rsidR="007F7B88" w:rsidRPr="00F50542" w:rsidRDefault="007F7B88" w:rsidP="00961DA7">
            <w:pPr>
              <w:spacing w:beforeLines="60" w:before="144" w:line="240" w:lineRule="auto"/>
              <w:jc w:val="right"/>
              <w:rPr>
                <w:rFonts w:cs="Times New Roman"/>
                <w:i/>
                <w:noProof/>
                <w:sz w:val="20"/>
                <w:szCs w:val="20"/>
              </w:rPr>
            </w:pPr>
          </w:p>
        </w:tc>
        <w:tc>
          <w:tcPr>
            <w:tcW w:w="953" w:type="dxa"/>
          </w:tcPr>
          <w:p w14:paraId="2D93B11F" w14:textId="77777777" w:rsidR="007F7B88" w:rsidRPr="00F50542" w:rsidRDefault="007F7B88" w:rsidP="00961DA7">
            <w:pPr>
              <w:spacing w:beforeLines="60" w:before="144" w:line="240" w:lineRule="auto"/>
              <w:jc w:val="right"/>
              <w:rPr>
                <w:rFonts w:cs="Times New Roman"/>
                <w:i/>
                <w:noProof/>
                <w:sz w:val="20"/>
                <w:szCs w:val="20"/>
              </w:rPr>
            </w:pPr>
          </w:p>
        </w:tc>
        <w:tc>
          <w:tcPr>
            <w:tcW w:w="953" w:type="dxa"/>
          </w:tcPr>
          <w:p w14:paraId="15FEC775" w14:textId="77777777" w:rsidR="007F7B88" w:rsidRPr="00F50542" w:rsidRDefault="007F7B88" w:rsidP="00961DA7">
            <w:pPr>
              <w:spacing w:beforeLines="60" w:before="144" w:line="240" w:lineRule="auto"/>
              <w:jc w:val="right"/>
              <w:rPr>
                <w:rFonts w:cs="Times New Roman"/>
                <w:i/>
                <w:noProof/>
                <w:sz w:val="20"/>
                <w:szCs w:val="20"/>
              </w:rPr>
            </w:pPr>
          </w:p>
        </w:tc>
        <w:tc>
          <w:tcPr>
            <w:tcW w:w="953" w:type="dxa"/>
          </w:tcPr>
          <w:p w14:paraId="6A369B22" w14:textId="77777777" w:rsidR="007F7B88" w:rsidRPr="00F50542" w:rsidRDefault="007F7B88" w:rsidP="00961DA7">
            <w:pPr>
              <w:spacing w:beforeLines="60" w:before="144" w:line="240" w:lineRule="auto"/>
              <w:jc w:val="right"/>
              <w:rPr>
                <w:rFonts w:cs="Times New Roman"/>
                <w:i/>
                <w:noProof/>
                <w:sz w:val="20"/>
                <w:szCs w:val="20"/>
              </w:rPr>
            </w:pPr>
          </w:p>
        </w:tc>
        <w:tc>
          <w:tcPr>
            <w:tcW w:w="954" w:type="dxa"/>
          </w:tcPr>
          <w:p w14:paraId="4BEA5A11" w14:textId="77777777" w:rsidR="007F7B88" w:rsidRPr="00F50542" w:rsidRDefault="007F7B88" w:rsidP="00961DA7">
            <w:pPr>
              <w:spacing w:beforeLines="60" w:before="144" w:line="240" w:lineRule="auto"/>
              <w:jc w:val="right"/>
              <w:rPr>
                <w:rFonts w:cs="Times New Roman"/>
                <w:i/>
                <w:noProof/>
                <w:sz w:val="20"/>
                <w:szCs w:val="20"/>
              </w:rPr>
            </w:pPr>
          </w:p>
        </w:tc>
        <w:tc>
          <w:tcPr>
            <w:tcW w:w="955" w:type="dxa"/>
          </w:tcPr>
          <w:p w14:paraId="788E1B89" w14:textId="77777777" w:rsidR="007F7B88" w:rsidRPr="00F50542" w:rsidRDefault="007F7B88" w:rsidP="00961DA7">
            <w:pPr>
              <w:spacing w:beforeLines="60" w:before="144" w:line="240" w:lineRule="auto"/>
              <w:jc w:val="right"/>
              <w:rPr>
                <w:rFonts w:cs="Times New Roman"/>
                <w:i/>
                <w:noProof/>
                <w:sz w:val="20"/>
                <w:szCs w:val="20"/>
              </w:rPr>
            </w:pPr>
          </w:p>
        </w:tc>
        <w:tc>
          <w:tcPr>
            <w:tcW w:w="955" w:type="dxa"/>
          </w:tcPr>
          <w:p w14:paraId="7EC33D0B" w14:textId="77777777" w:rsidR="007F7B88" w:rsidRPr="00F50542" w:rsidRDefault="007F7B88" w:rsidP="00961DA7">
            <w:pPr>
              <w:spacing w:beforeLines="60" w:before="144" w:line="240" w:lineRule="auto"/>
              <w:jc w:val="right"/>
              <w:rPr>
                <w:rFonts w:cs="Times New Roman"/>
                <w:i/>
                <w:noProof/>
                <w:sz w:val="20"/>
                <w:szCs w:val="20"/>
              </w:rPr>
            </w:pPr>
          </w:p>
        </w:tc>
        <w:tc>
          <w:tcPr>
            <w:tcW w:w="1105" w:type="dxa"/>
          </w:tcPr>
          <w:p w14:paraId="2309CCF4" w14:textId="77777777" w:rsidR="007F7B88" w:rsidRPr="00F50542" w:rsidRDefault="007F7B88" w:rsidP="00961DA7">
            <w:pPr>
              <w:spacing w:beforeLines="60" w:before="144" w:line="240" w:lineRule="auto"/>
              <w:jc w:val="right"/>
              <w:rPr>
                <w:rFonts w:cs="Times New Roman"/>
                <w:i/>
                <w:noProof/>
                <w:sz w:val="20"/>
                <w:szCs w:val="20"/>
              </w:rPr>
            </w:pPr>
          </w:p>
        </w:tc>
      </w:tr>
      <w:tr w:rsidR="00F50542" w:rsidRPr="00F50542" w14:paraId="227C4BA5" w14:textId="77777777" w:rsidTr="00961DA7">
        <w:trPr>
          <w:cantSplit/>
        </w:trPr>
        <w:tc>
          <w:tcPr>
            <w:tcW w:w="1430" w:type="dxa"/>
          </w:tcPr>
          <w:p w14:paraId="31AE29AF" w14:textId="77777777" w:rsidR="00F50542" w:rsidRPr="00F50542" w:rsidRDefault="00F50542" w:rsidP="00961DA7">
            <w:pPr>
              <w:spacing w:beforeLines="60" w:before="144" w:line="240" w:lineRule="auto"/>
              <w:rPr>
                <w:rFonts w:cs="Times New Roman"/>
                <w:i/>
                <w:noProof/>
                <w:sz w:val="20"/>
                <w:szCs w:val="20"/>
              </w:rPr>
            </w:pPr>
            <w:r>
              <w:rPr>
                <w:i/>
                <w:sz w:val="20"/>
                <w:szCs w:val="20"/>
              </w:rPr>
              <w:t>PKTZ</w:t>
            </w:r>
            <w:r w:rsidRPr="00F50542">
              <w:rPr>
                <w:rFonts w:cs="Times New Roman"/>
                <w:i/>
                <w:noProof/>
                <w:sz w:val="20"/>
                <w:szCs w:val="20"/>
                <w:vertAlign w:val="superscript"/>
              </w:rPr>
              <w:footnoteReference w:id="7"/>
            </w:r>
          </w:p>
        </w:tc>
        <w:tc>
          <w:tcPr>
            <w:tcW w:w="951" w:type="dxa"/>
          </w:tcPr>
          <w:p w14:paraId="0181EE74"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70A57D61"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17C7D6A5"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6882463D" w14:textId="77777777" w:rsidR="00F50542" w:rsidRPr="00F50542" w:rsidRDefault="00F50542" w:rsidP="00961DA7">
            <w:pPr>
              <w:spacing w:beforeLines="60" w:before="144" w:line="240" w:lineRule="auto"/>
              <w:jc w:val="right"/>
              <w:rPr>
                <w:rFonts w:cs="Times New Roman"/>
                <w:i/>
                <w:noProof/>
                <w:sz w:val="20"/>
                <w:szCs w:val="20"/>
              </w:rPr>
            </w:pPr>
          </w:p>
        </w:tc>
        <w:tc>
          <w:tcPr>
            <w:tcW w:w="954" w:type="dxa"/>
          </w:tcPr>
          <w:p w14:paraId="68CD8B3E"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3063B7BF"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7C8CD547" w14:textId="77777777" w:rsidR="00F50542" w:rsidRPr="00F50542" w:rsidRDefault="00F50542" w:rsidP="00961DA7">
            <w:pPr>
              <w:spacing w:beforeLines="60" w:before="144" w:line="240" w:lineRule="auto"/>
              <w:jc w:val="right"/>
              <w:rPr>
                <w:rFonts w:cs="Times New Roman"/>
                <w:i/>
                <w:noProof/>
                <w:sz w:val="20"/>
                <w:szCs w:val="20"/>
              </w:rPr>
            </w:pPr>
          </w:p>
        </w:tc>
        <w:tc>
          <w:tcPr>
            <w:tcW w:w="1105" w:type="dxa"/>
          </w:tcPr>
          <w:p w14:paraId="41DEFC27" w14:textId="77777777" w:rsidR="00F50542" w:rsidRPr="00F50542" w:rsidRDefault="00F50542" w:rsidP="00961DA7">
            <w:pPr>
              <w:spacing w:beforeLines="60" w:before="144" w:line="240" w:lineRule="auto"/>
              <w:jc w:val="right"/>
              <w:rPr>
                <w:rFonts w:cs="Times New Roman"/>
                <w:i/>
                <w:noProof/>
                <w:sz w:val="20"/>
                <w:szCs w:val="20"/>
              </w:rPr>
            </w:pPr>
          </w:p>
        </w:tc>
      </w:tr>
      <w:tr w:rsidR="00F50542" w:rsidRPr="00F50542" w14:paraId="0E25E6C7" w14:textId="77777777" w:rsidTr="00961DA7">
        <w:trPr>
          <w:cantSplit/>
        </w:trPr>
        <w:tc>
          <w:tcPr>
            <w:tcW w:w="1430" w:type="dxa"/>
          </w:tcPr>
          <w:p w14:paraId="156ECCDD" w14:textId="77777777" w:rsidR="00F50542" w:rsidRPr="00F50542" w:rsidRDefault="00F50542" w:rsidP="00961DA7">
            <w:pPr>
              <w:spacing w:beforeLines="60" w:before="144" w:line="240" w:lineRule="auto"/>
              <w:rPr>
                <w:rFonts w:cs="Times New Roman"/>
                <w:i/>
                <w:noProof/>
                <w:sz w:val="20"/>
                <w:szCs w:val="20"/>
                <w:highlight w:val="yellow"/>
              </w:rPr>
            </w:pPr>
            <w:r>
              <w:rPr>
                <w:i/>
                <w:sz w:val="20"/>
                <w:szCs w:val="20"/>
              </w:rPr>
              <w:t xml:space="preserve">Fundusze </w:t>
            </w:r>
            <w:proofErr w:type="spellStart"/>
            <w:r>
              <w:rPr>
                <w:i/>
                <w:sz w:val="20"/>
                <w:szCs w:val="20"/>
              </w:rPr>
              <w:t>Interreg</w:t>
            </w:r>
            <w:proofErr w:type="spellEnd"/>
            <w:r w:rsidRPr="00F50542">
              <w:rPr>
                <w:rFonts w:cs="Times New Roman"/>
                <w:i/>
                <w:noProof/>
                <w:sz w:val="20"/>
                <w:szCs w:val="20"/>
                <w:vertAlign w:val="superscript"/>
              </w:rPr>
              <w:footnoteReference w:id="8"/>
            </w:r>
          </w:p>
        </w:tc>
        <w:tc>
          <w:tcPr>
            <w:tcW w:w="951" w:type="dxa"/>
          </w:tcPr>
          <w:p w14:paraId="56B5FE8B"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1EF3068C"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6C4ED97C" w14:textId="77777777" w:rsidR="00F50542" w:rsidRPr="00F50542" w:rsidRDefault="00F50542" w:rsidP="00961DA7">
            <w:pPr>
              <w:spacing w:beforeLines="60" w:before="144" w:line="240" w:lineRule="auto"/>
              <w:jc w:val="right"/>
              <w:rPr>
                <w:rFonts w:cs="Times New Roman"/>
                <w:i/>
                <w:noProof/>
                <w:sz w:val="20"/>
                <w:szCs w:val="20"/>
              </w:rPr>
            </w:pPr>
          </w:p>
        </w:tc>
        <w:tc>
          <w:tcPr>
            <w:tcW w:w="953" w:type="dxa"/>
          </w:tcPr>
          <w:p w14:paraId="27FA65D5" w14:textId="77777777" w:rsidR="00F50542" w:rsidRPr="00F50542" w:rsidRDefault="00F50542" w:rsidP="00961DA7">
            <w:pPr>
              <w:spacing w:beforeLines="60" w:before="144" w:line="240" w:lineRule="auto"/>
              <w:jc w:val="right"/>
              <w:rPr>
                <w:rFonts w:cs="Times New Roman"/>
                <w:i/>
                <w:noProof/>
                <w:sz w:val="20"/>
                <w:szCs w:val="20"/>
              </w:rPr>
            </w:pPr>
          </w:p>
        </w:tc>
        <w:tc>
          <w:tcPr>
            <w:tcW w:w="954" w:type="dxa"/>
          </w:tcPr>
          <w:p w14:paraId="4C21528D"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3568D193" w14:textId="77777777" w:rsidR="00F50542" w:rsidRPr="00F50542" w:rsidRDefault="00F50542" w:rsidP="00961DA7">
            <w:pPr>
              <w:spacing w:beforeLines="60" w:before="144" w:line="240" w:lineRule="auto"/>
              <w:jc w:val="right"/>
              <w:rPr>
                <w:rFonts w:cs="Times New Roman"/>
                <w:i/>
                <w:noProof/>
                <w:sz w:val="20"/>
                <w:szCs w:val="20"/>
              </w:rPr>
            </w:pPr>
          </w:p>
        </w:tc>
        <w:tc>
          <w:tcPr>
            <w:tcW w:w="955" w:type="dxa"/>
          </w:tcPr>
          <w:p w14:paraId="113CD2E4" w14:textId="77777777" w:rsidR="00F50542" w:rsidRPr="00F50542" w:rsidRDefault="00F50542" w:rsidP="00961DA7">
            <w:pPr>
              <w:spacing w:beforeLines="60" w:before="144" w:line="240" w:lineRule="auto"/>
              <w:jc w:val="right"/>
              <w:rPr>
                <w:rFonts w:cs="Times New Roman"/>
                <w:i/>
                <w:noProof/>
                <w:sz w:val="20"/>
                <w:szCs w:val="20"/>
              </w:rPr>
            </w:pPr>
          </w:p>
        </w:tc>
        <w:tc>
          <w:tcPr>
            <w:tcW w:w="1105" w:type="dxa"/>
          </w:tcPr>
          <w:p w14:paraId="65732A2D" w14:textId="77777777" w:rsidR="00F50542" w:rsidRPr="00F50542" w:rsidRDefault="00F50542" w:rsidP="00961DA7">
            <w:pPr>
              <w:spacing w:beforeLines="60" w:before="144" w:line="240" w:lineRule="auto"/>
              <w:jc w:val="right"/>
              <w:rPr>
                <w:rFonts w:cs="Times New Roman"/>
                <w:i/>
                <w:noProof/>
                <w:sz w:val="20"/>
                <w:szCs w:val="20"/>
              </w:rPr>
            </w:pPr>
          </w:p>
        </w:tc>
      </w:tr>
      <w:tr w:rsidR="00BF6675" w:rsidRPr="00F50542" w14:paraId="76DE0489" w14:textId="77777777" w:rsidTr="00961DA7">
        <w:trPr>
          <w:cantSplit/>
        </w:trPr>
        <w:tc>
          <w:tcPr>
            <w:tcW w:w="1430" w:type="dxa"/>
          </w:tcPr>
          <w:p w14:paraId="5F131F62" w14:textId="77777777" w:rsidR="00BF6675" w:rsidRPr="00F50542" w:rsidRDefault="00BF6675" w:rsidP="00961DA7">
            <w:pPr>
              <w:spacing w:beforeLines="60" w:before="144" w:line="240" w:lineRule="auto"/>
              <w:rPr>
                <w:rFonts w:cs="Times New Roman"/>
                <w:b/>
                <w:i/>
                <w:noProof/>
                <w:sz w:val="20"/>
                <w:szCs w:val="20"/>
              </w:rPr>
            </w:pPr>
            <w:r>
              <w:rPr>
                <w:b/>
                <w:i/>
                <w:sz w:val="20"/>
                <w:szCs w:val="20"/>
              </w:rPr>
              <w:t xml:space="preserve">Ogółem </w:t>
            </w:r>
          </w:p>
        </w:tc>
        <w:tc>
          <w:tcPr>
            <w:tcW w:w="951" w:type="dxa"/>
          </w:tcPr>
          <w:p w14:paraId="7BA7CA30" w14:textId="4FAF84B2" w:rsidR="00BF6675" w:rsidRPr="00F50542" w:rsidRDefault="00BF6675" w:rsidP="00961DA7">
            <w:pPr>
              <w:spacing w:beforeLines="60" w:before="144" w:line="240" w:lineRule="auto"/>
              <w:jc w:val="right"/>
              <w:rPr>
                <w:rFonts w:cs="Times New Roman"/>
                <w:i/>
                <w:noProof/>
                <w:sz w:val="20"/>
                <w:szCs w:val="20"/>
              </w:rPr>
            </w:pPr>
            <w:r>
              <w:rPr>
                <w:i/>
                <w:sz w:val="20"/>
                <w:szCs w:val="20"/>
              </w:rPr>
              <w:t>6 053 038</w:t>
            </w:r>
          </w:p>
        </w:tc>
        <w:tc>
          <w:tcPr>
            <w:tcW w:w="953" w:type="dxa"/>
          </w:tcPr>
          <w:p w14:paraId="6F04A09A" w14:textId="1B826DD8" w:rsidR="00BF6675" w:rsidRPr="00F50542" w:rsidRDefault="00BF6675" w:rsidP="00961DA7">
            <w:pPr>
              <w:spacing w:beforeLines="60" w:before="144" w:line="240" w:lineRule="auto"/>
              <w:jc w:val="right"/>
              <w:rPr>
                <w:rFonts w:cs="Times New Roman"/>
                <w:i/>
                <w:noProof/>
                <w:sz w:val="20"/>
                <w:szCs w:val="20"/>
              </w:rPr>
            </w:pPr>
            <w:r>
              <w:rPr>
                <w:i/>
                <w:sz w:val="20"/>
                <w:szCs w:val="20"/>
              </w:rPr>
              <w:t>6 174 099</w:t>
            </w:r>
          </w:p>
        </w:tc>
        <w:tc>
          <w:tcPr>
            <w:tcW w:w="953" w:type="dxa"/>
          </w:tcPr>
          <w:p w14:paraId="1F9215E1" w14:textId="75BCAE63" w:rsidR="00BF6675" w:rsidRPr="00F50542" w:rsidRDefault="00BF6675" w:rsidP="00961DA7">
            <w:pPr>
              <w:spacing w:beforeLines="60" w:before="144" w:line="240" w:lineRule="auto"/>
              <w:jc w:val="right"/>
              <w:rPr>
                <w:rFonts w:cs="Times New Roman"/>
                <w:i/>
                <w:noProof/>
                <w:sz w:val="20"/>
                <w:szCs w:val="20"/>
              </w:rPr>
            </w:pPr>
            <w:r>
              <w:rPr>
                <w:i/>
                <w:sz w:val="20"/>
                <w:szCs w:val="20"/>
              </w:rPr>
              <w:t>6 297 581</w:t>
            </w:r>
          </w:p>
        </w:tc>
        <w:tc>
          <w:tcPr>
            <w:tcW w:w="953" w:type="dxa"/>
          </w:tcPr>
          <w:p w14:paraId="425E1BCD" w14:textId="627B11A3" w:rsidR="00BF6675" w:rsidRPr="00F50542" w:rsidRDefault="00BF6675" w:rsidP="00961DA7">
            <w:pPr>
              <w:spacing w:beforeLines="60" w:before="144" w:line="240" w:lineRule="auto"/>
              <w:jc w:val="right"/>
              <w:rPr>
                <w:rFonts w:cs="Times New Roman"/>
                <w:i/>
                <w:noProof/>
                <w:sz w:val="20"/>
                <w:szCs w:val="20"/>
              </w:rPr>
            </w:pPr>
            <w:r>
              <w:rPr>
                <w:i/>
                <w:sz w:val="20"/>
                <w:szCs w:val="20"/>
              </w:rPr>
              <w:t>6 423 532</w:t>
            </w:r>
          </w:p>
        </w:tc>
        <w:tc>
          <w:tcPr>
            <w:tcW w:w="954" w:type="dxa"/>
          </w:tcPr>
          <w:p w14:paraId="2F5D50C1" w14:textId="266075DB" w:rsidR="00BF6675" w:rsidRPr="00F50542" w:rsidRDefault="00BF6675" w:rsidP="00961DA7">
            <w:pPr>
              <w:spacing w:beforeLines="60" w:before="144" w:line="240" w:lineRule="auto"/>
              <w:jc w:val="right"/>
              <w:rPr>
                <w:rFonts w:cs="Times New Roman"/>
                <w:i/>
                <w:noProof/>
                <w:sz w:val="20"/>
                <w:szCs w:val="20"/>
              </w:rPr>
            </w:pPr>
            <w:r>
              <w:rPr>
                <w:i/>
                <w:sz w:val="20"/>
                <w:szCs w:val="20"/>
              </w:rPr>
              <w:t>6 552 003</w:t>
            </w:r>
          </w:p>
        </w:tc>
        <w:tc>
          <w:tcPr>
            <w:tcW w:w="955" w:type="dxa"/>
          </w:tcPr>
          <w:p w14:paraId="29EFC851" w14:textId="5D960BA7" w:rsidR="00BF6675" w:rsidRPr="00F50542" w:rsidRDefault="00BF6675" w:rsidP="00961DA7">
            <w:pPr>
              <w:spacing w:beforeLines="60" w:before="144" w:line="240" w:lineRule="auto"/>
              <w:jc w:val="right"/>
              <w:rPr>
                <w:rFonts w:cs="Times New Roman"/>
                <w:i/>
                <w:noProof/>
                <w:sz w:val="20"/>
                <w:szCs w:val="20"/>
              </w:rPr>
            </w:pPr>
            <w:r>
              <w:rPr>
                <w:i/>
                <w:sz w:val="20"/>
                <w:szCs w:val="20"/>
              </w:rPr>
              <w:t>6 683 043</w:t>
            </w:r>
          </w:p>
        </w:tc>
        <w:tc>
          <w:tcPr>
            <w:tcW w:w="955" w:type="dxa"/>
          </w:tcPr>
          <w:p w14:paraId="6EE49AD9" w14:textId="6049EF3E" w:rsidR="00BF6675" w:rsidRPr="00F50542" w:rsidRDefault="00BF6675" w:rsidP="00961DA7">
            <w:pPr>
              <w:spacing w:beforeLines="60" w:before="144" w:line="240" w:lineRule="auto"/>
              <w:jc w:val="right"/>
              <w:rPr>
                <w:rFonts w:cs="Times New Roman"/>
                <w:i/>
                <w:noProof/>
                <w:sz w:val="20"/>
                <w:szCs w:val="20"/>
              </w:rPr>
            </w:pPr>
            <w:r>
              <w:rPr>
                <w:i/>
                <w:sz w:val="20"/>
                <w:szCs w:val="20"/>
              </w:rPr>
              <w:t>6 816 704</w:t>
            </w:r>
          </w:p>
        </w:tc>
        <w:tc>
          <w:tcPr>
            <w:tcW w:w="1105" w:type="dxa"/>
          </w:tcPr>
          <w:p w14:paraId="5315655A" w14:textId="0F6BF4BE" w:rsidR="00BF6675" w:rsidRPr="00F50542" w:rsidRDefault="00BF6675" w:rsidP="00961DA7">
            <w:pPr>
              <w:spacing w:beforeLines="60" w:before="144" w:line="240" w:lineRule="auto"/>
              <w:jc w:val="right"/>
              <w:rPr>
                <w:rFonts w:cs="Times New Roman"/>
                <w:i/>
                <w:noProof/>
                <w:sz w:val="20"/>
                <w:szCs w:val="20"/>
              </w:rPr>
            </w:pPr>
            <w:r>
              <w:rPr>
                <w:i/>
                <w:sz w:val="20"/>
                <w:szCs w:val="20"/>
              </w:rPr>
              <w:t>45 000 000</w:t>
            </w:r>
          </w:p>
        </w:tc>
      </w:tr>
    </w:tbl>
    <w:p w14:paraId="3E60E99D" w14:textId="77777777" w:rsidR="00F50542" w:rsidRPr="00F50542" w:rsidRDefault="00F50542" w:rsidP="00F50542">
      <w:pPr>
        <w:spacing w:before="240" w:after="240" w:line="240" w:lineRule="auto"/>
        <w:ind w:left="709" w:hanging="709"/>
        <w:jc w:val="both"/>
        <w:rPr>
          <w:rFonts w:eastAsia="Times New Roman" w:cs="Times New Roman"/>
          <w:b/>
          <w:iCs/>
          <w:noProof/>
          <w:szCs w:val="24"/>
        </w:rPr>
      </w:pPr>
      <w:r>
        <w:rPr>
          <w:b/>
          <w:iCs/>
          <w:szCs w:val="24"/>
        </w:rPr>
        <w:t>3.2</w:t>
      </w:r>
      <w:r>
        <w:rPr>
          <w:b/>
          <w:iCs/>
          <w:szCs w:val="24"/>
        </w:rPr>
        <w:tab/>
        <w:t>Całkowite środki finansowe według funduszu i współfinansowania krajowego</w:t>
      </w:r>
    </w:p>
    <w:p w14:paraId="26EF10F7" w14:textId="77777777" w:rsidR="00671B0E" w:rsidRPr="00803455" w:rsidRDefault="00671B0E" w:rsidP="00671B0E">
      <w:pPr>
        <w:spacing w:line="240" w:lineRule="auto"/>
        <w:jc w:val="both"/>
        <w:rPr>
          <w:rFonts w:asciiTheme="minorHAnsi" w:hAnsiTheme="minorHAnsi"/>
          <w:noProof/>
          <w:sz w:val="22"/>
        </w:rPr>
      </w:pPr>
      <w:r>
        <w:rPr>
          <w:i/>
          <w:color w:val="000000"/>
          <w:szCs w:val="24"/>
        </w:rPr>
        <w:t>Odniesienie: Art. 17(4)(g)(ii), Art. 17(5)(a)-(d)</w:t>
      </w:r>
    </w:p>
    <w:p w14:paraId="3C6AA0E8" w14:textId="77777777" w:rsidR="00F50542" w:rsidRPr="00803455" w:rsidRDefault="00F50542" w:rsidP="00F50542">
      <w:pPr>
        <w:spacing w:after="120" w:line="240" w:lineRule="auto"/>
        <w:jc w:val="both"/>
        <w:rPr>
          <w:rFonts w:eastAsia="Times New Roman" w:cs="Times New Roman"/>
          <w:noProof/>
          <w:color w:val="000000"/>
          <w:szCs w:val="24"/>
          <w:lang w:val="fr-FR" w:eastAsia="en-GB"/>
        </w:rPr>
        <w:sectPr w:rsidR="00F50542" w:rsidRPr="00803455">
          <w:footerReference w:type="default" r:id="rId12"/>
          <w:pgSz w:w="11906" w:h="16838"/>
          <w:pgMar w:top="993" w:right="1417" w:bottom="1135" w:left="1417" w:header="708" w:footer="708" w:gutter="0"/>
          <w:cols w:space="720"/>
        </w:sectPr>
      </w:pPr>
    </w:p>
    <w:p w14:paraId="61ABC191" w14:textId="77777777" w:rsidR="00F50542" w:rsidRPr="00BB3222" w:rsidRDefault="00F50542" w:rsidP="00671B0E">
      <w:pPr>
        <w:keepNext/>
        <w:spacing w:after="120" w:line="240" w:lineRule="auto"/>
        <w:rPr>
          <w:rFonts w:eastAsia="Times New Roman" w:cs="Times New Roman"/>
          <w:noProof/>
          <w:color w:val="000000"/>
          <w:szCs w:val="24"/>
        </w:rPr>
      </w:pPr>
      <w:r>
        <w:rPr>
          <w:color w:val="000000"/>
          <w:szCs w:val="24"/>
        </w:rPr>
        <w:lastRenderedPageBreak/>
        <w:t>Tabela 8</w:t>
      </w:r>
    </w:p>
    <w:tbl>
      <w:tblPr>
        <w:tblStyle w:val="TableGrid1"/>
        <w:tblW w:w="5000" w:type="pct"/>
        <w:tblLayout w:type="fixed"/>
        <w:tblCellMar>
          <w:left w:w="57" w:type="dxa"/>
          <w:right w:w="57" w:type="dxa"/>
        </w:tblCellMar>
        <w:tblLook w:val="04A0" w:firstRow="1" w:lastRow="0" w:firstColumn="1" w:lastColumn="0" w:noHBand="0" w:noVBand="1"/>
      </w:tblPr>
      <w:tblGrid>
        <w:gridCol w:w="1178"/>
        <w:gridCol w:w="1247"/>
        <w:gridCol w:w="1557"/>
        <w:gridCol w:w="1545"/>
        <w:gridCol w:w="1710"/>
        <w:gridCol w:w="1635"/>
        <w:gridCol w:w="1154"/>
        <w:gridCol w:w="1154"/>
        <w:gridCol w:w="1232"/>
        <w:gridCol w:w="1220"/>
        <w:gridCol w:w="1880"/>
      </w:tblGrid>
      <w:tr w:rsidR="00F50542" w:rsidRPr="00F50542" w14:paraId="65A5243C" w14:textId="77777777" w:rsidTr="00800B65">
        <w:tc>
          <w:tcPr>
            <w:tcW w:w="1168" w:type="dxa"/>
            <w:vMerge w:val="restart"/>
          </w:tcPr>
          <w:p w14:paraId="152DB6FD" w14:textId="77777777" w:rsidR="00F50542" w:rsidRPr="00800B65" w:rsidRDefault="00F50542" w:rsidP="00961DA7">
            <w:pPr>
              <w:spacing w:after="60" w:line="240" w:lineRule="auto"/>
              <w:rPr>
                <w:rFonts w:cs="Times New Roman"/>
                <w:b/>
                <w:i/>
                <w:noProof/>
                <w:sz w:val="18"/>
                <w:szCs w:val="18"/>
              </w:rPr>
            </w:pPr>
            <w:r>
              <w:rPr>
                <w:b/>
                <w:i/>
                <w:sz w:val="18"/>
                <w:szCs w:val="18"/>
              </w:rPr>
              <w:t>Nr PO lub TA</w:t>
            </w:r>
          </w:p>
        </w:tc>
        <w:tc>
          <w:tcPr>
            <w:tcW w:w="1237" w:type="dxa"/>
            <w:vMerge w:val="restart"/>
          </w:tcPr>
          <w:p w14:paraId="15D1BD30" w14:textId="77777777" w:rsidR="00F50542" w:rsidRPr="00800B65" w:rsidRDefault="00F50542" w:rsidP="00961DA7">
            <w:pPr>
              <w:spacing w:after="60" w:line="240" w:lineRule="auto"/>
              <w:rPr>
                <w:rFonts w:cs="Times New Roman"/>
                <w:b/>
                <w:i/>
                <w:noProof/>
                <w:sz w:val="18"/>
                <w:szCs w:val="18"/>
              </w:rPr>
            </w:pPr>
            <w:r>
              <w:rPr>
                <w:b/>
                <w:i/>
                <w:sz w:val="18"/>
                <w:szCs w:val="18"/>
              </w:rPr>
              <w:t>Priorytet</w:t>
            </w:r>
          </w:p>
        </w:tc>
        <w:tc>
          <w:tcPr>
            <w:tcW w:w="1545" w:type="dxa"/>
            <w:vMerge w:val="restart"/>
          </w:tcPr>
          <w:p w14:paraId="2A539389" w14:textId="77777777" w:rsidR="00F50542" w:rsidRPr="00800B65" w:rsidRDefault="00F50542" w:rsidP="00961DA7">
            <w:pPr>
              <w:spacing w:after="60" w:line="240" w:lineRule="auto"/>
              <w:rPr>
                <w:rFonts w:cs="Times New Roman"/>
                <w:b/>
                <w:i/>
                <w:noProof/>
                <w:sz w:val="18"/>
                <w:szCs w:val="18"/>
              </w:rPr>
            </w:pPr>
            <w:r>
              <w:rPr>
                <w:b/>
                <w:i/>
                <w:sz w:val="18"/>
                <w:szCs w:val="18"/>
              </w:rPr>
              <w:t>Fundusz</w:t>
            </w:r>
          </w:p>
          <w:p w14:paraId="634FB1FA" w14:textId="77777777" w:rsidR="00F50542" w:rsidRPr="00800B65" w:rsidRDefault="00F50542" w:rsidP="00961DA7">
            <w:pPr>
              <w:spacing w:after="60" w:line="240" w:lineRule="auto"/>
              <w:rPr>
                <w:rFonts w:cs="Times New Roman"/>
                <w:b/>
                <w:i/>
                <w:noProof/>
                <w:sz w:val="18"/>
                <w:szCs w:val="18"/>
              </w:rPr>
            </w:pPr>
            <w:r>
              <w:rPr>
                <w:b/>
                <w:i/>
                <w:sz w:val="18"/>
                <w:szCs w:val="18"/>
              </w:rPr>
              <w:t>(jeśli dotyczy)</w:t>
            </w:r>
          </w:p>
        </w:tc>
        <w:tc>
          <w:tcPr>
            <w:tcW w:w="1533" w:type="dxa"/>
            <w:vMerge w:val="restart"/>
          </w:tcPr>
          <w:p w14:paraId="036BC167" w14:textId="77777777" w:rsidR="00F50542" w:rsidRPr="00800B65" w:rsidRDefault="00F50542" w:rsidP="00961DA7">
            <w:pPr>
              <w:spacing w:after="60" w:line="240" w:lineRule="auto"/>
              <w:rPr>
                <w:rFonts w:cs="Times New Roman"/>
                <w:b/>
                <w:i/>
                <w:noProof/>
                <w:sz w:val="18"/>
                <w:szCs w:val="18"/>
              </w:rPr>
            </w:pPr>
            <w:r>
              <w:rPr>
                <w:b/>
                <w:i/>
                <w:sz w:val="18"/>
                <w:szCs w:val="18"/>
              </w:rPr>
              <w:t>Podstawa obliczenia wsparcia UE (całkowitego lub publicznego)</w:t>
            </w:r>
          </w:p>
        </w:tc>
        <w:tc>
          <w:tcPr>
            <w:tcW w:w="1696" w:type="dxa"/>
            <w:vMerge w:val="restart"/>
          </w:tcPr>
          <w:p w14:paraId="57E75060" w14:textId="77777777" w:rsidR="00F50542" w:rsidRPr="00800B65" w:rsidRDefault="00F50542" w:rsidP="00961DA7">
            <w:pPr>
              <w:spacing w:after="60" w:line="240" w:lineRule="auto"/>
              <w:rPr>
                <w:rFonts w:cs="Times New Roman"/>
                <w:b/>
                <w:i/>
                <w:noProof/>
                <w:sz w:val="18"/>
                <w:szCs w:val="18"/>
              </w:rPr>
            </w:pPr>
            <w:r>
              <w:rPr>
                <w:b/>
                <w:i/>
                <w:sz w:val="18"/>
                <w:szCs w:val="18"/>
              </w:rPr>
              <w:t>Wkład UE</w:t>
            </w:r>
          </w:p>
          <w:p w14:paraId="60036969" w14:textId="77777777" w:rsidR="00F50542" w:rsidRPr="00800B65" w:rsidRDefault="00F50542" w:rsidP="00961DA7">
            <w:pPr>
              <w:spacing w:after="60" w:line="240" w:lineRule="auto"/>
              <w:rPr>
                <w:rFonts w:cs="Times New Roman"/>
                <w:b/>
                <w:i/>
                <w:noProof/>
                <w:sz w:val="18"/>
                <w:szCs w:val="18"/>
              </w:rPr>
            </w:pPr>
            <w:r>
              <w:rPr>
                <w:i/>
                <w:sz w:val="18"/>
                <w:szCs w:val="18"/>
              </w:rPr>
              <w:t>(a)</w:t>
            </w:r>
          </w:p>
        </w:tc>
        <w:tc>
          <w:tcPr>
            <w:tcW w:w="1622" w:type="dxa"/>
            <w:vMerge w:val="restart"/>
          </w:tcPr>
          <w:p w14:paraId="7DEFC89E" w14:textId="77777777" w:rsidR="00F50542" w:rsidRPr="00800B65" w:rsidRDefault="00F50542" w:rsidP="00961DA7">
            <w:pPr>
              <w:spacing w:after="60" w:line="240" w:lineRule="auto"/>
              <w:rPr>
                <w:rFonts w:cs="Times New Roman"/>
                <w:b/>
                <w:i/>
                <w:noProof/>
                <w:sz w:val="18"/>
                <w:szCs w:val="18"/>
              </w:rPr>
            </w:pPr>
            <w:r>
              <w:rPr>
                <w:b/>
                <w:i/>
                <w:sz w:val="18"/>
                <w:szCs w:val="18"/>
              </w:rPr>
              <w:t>Wkład krajowy</w:t>
            </w:r>
          </w:p>
          <w:p w14:paraId="72F04FAE" w14:textId="77777777" w:rsidR="00F50542" w:rsidRPr="00800B65" w:rsidRDefault="00F50542" w:rsidP="00961DA7">
            <w:pPr>
              <w:spacing w:after="60" w:line="240" w:lineRule="auto"/>
              <w:rPr>
                <w:rFonts w:cs="Times New Roman"/>
                <w:b/>
                <w:i/>
                <w:noProof/>
                <w:sz w:val="18"/>
                <w:szCs w:val="18"/>
              </w:rPr>
            </w:pPr>
            <w:r>
              <w:rPr>
                <w:i/>
                <w:sz w:val="18"/>
                <w:szCs w:val="18"/>
              </w:rPr>
              <w:t>(b)=(c)+(d)</w:t>
            </w:r>
          </w:p>
        </w:tc>
        <w:tc>
          <w:tcPr>
            <w:tcW w:w="2290" w:type="dxa"/>
            <w:gridSpan w:val="2"/>
          </w:tcPr>
          <w:p w14:paraId="082DB0D6" w14:textId="77777777" w:rsidR="00F50542" w:rsidRPr="00800B65" w:rsidRDefault="00F50542" w:rsidP="00961DA7">
            <w:pPr>
              <w:spacing w:after="60" w:line="240" w:lineRule="auto"/>
              <w:rPr>
                <w:rFonts w:cs="Times New Roman"/>
                <w:b/>
                <w:i/>
                <w:noProof/>
                <w:sz w:val="18"/>
                <w:szCs w:val="18"/>
              </w:rPr>
            </w:pPr>
            <w:r>
              <w:rPr>
                <w:b/>
                <w:i/>
                <w:sz w:val="18"/>
                <w:szCs w:val="18"/>
              </w:rPr>
              <w:t>Orientacyjny podział krajowego odpowiednika</w:t>
            </w:r>
          </w:p>
        </w:tc>
        <w:tc>
          <w:tcPr>
            <w:tcW w:w="1222" w:type="dxa"/>
            <w:vMerge w:val="restart"/>
          </w:tcPr>
          <w:p w14:paraId="5BE5C780" w14:textId="77777777" w:rsidR="00F50542" w:rsidRPr="00800B65" w:rsidRDefault="00F50542" w:rsidP="00961DA7">
            <w:pPr>
              <w:spacing w:after="60" w:line="240" w:lineRule="auto"/>
              <w:rPr>
                <w:rFonts w:cs="Times New Roman"/>
                <w:b/>
                <w:i/>
                <w:noProof/>
                <w:sz w:val="18"/>
                <w:szCs w:val="18"/>
              </w:rPr>
            </w:pPr>
            <w:r>
              <w:rPr>
                <w:b/>
                <w:i/>
                <w:sz w:val="18"/>
                <w:szCs w:val="18"/>
              </w:rPr>
              <w:t xml:space="preserve">Ogółem </w:t>
            </w:r>
          </w:p>
          <w:p w14:paraId="19235776" w14:textId="77777777" w:rsidR="00F50542" w:rsidRPr="00800B65" w:rsidRDefault="00F50542" w:rsidP="00961DA7">
            <w:pPr>
              <w:spacing w:after="60" w:line="240" w:lineRule="auto"/>
              <w:rPr>
                <w:rFonts w:cs="Times New Roman"/>
                <w:i/>
                <w:noProof/>
                <w:sz w:val="18"/>
                <w:szCs w:val="18"/>
              </w:rPr>
            </w:pPr>
          </w:p>
          <w:p w14:paraId="7BDF1B29" w14:textId="77777777" w:rsidR="00F50542" w:rsidRPr="00800B65" w:rsidRDefault="00F50542" w:rsidP="00961DA7">
            <w:pPr>
              <w:spacing w:after="60" w:line="240" w:lineRule="auto"/>
              <w:rPr>
                <w:rFonts w:cs="Times New Roman"/>
                <w:b/>
                <w:i/>
                <w:noProof/>
                <w:sz w:val="18"/>
                <w:szCs w:val="18"/>
              </w:rPr>
            </w:pPr>
            <w:r>
              <w:rPr>
                <w:i/>
                <w:sz w:val="18"/>
                <w:szCs w:val="18"/>
              </w:rPr>
              <w:t>(e)=(a)+(b)</w:t>
            </w:r>
          </w:p>
        </w:tc>
        <w:tc>
          <w:tcPr>
            <w:tcW w:w="1210" w:type="dxa"/>
            <w:vMerge w:val="restart"/>
          </w:tcPr>
          <w:p w14:paraId="3921F72B" w14:textId="77777777" w:rsidR="00F50542" w:rsidRPr="00800B65" w:rsidRDefault="00F50542" w:rsidP="00961DA7">
            <w:pPr>
              <w:spacing w:after="60" w:line="240" w:lineRule="auto"/>
              <w:rPr>
                <w:rFonts w:cs="Times New Roman"/>
                <w:b/>
                <w:i/>
                <w:noProof/>
                <w:sz w:val="18"/>
                <w:szCs w:val="18"/>
              </w:rPr>
            </w:pPr>
            <w:r>
              <w:rPr>
                <w:b/>
                <w:i/>
                <w:sz w:val="18"/>
                <w:szCs w:val="18"/>
              </w:rPr>
              <w:t>Poziom współfinansowania</w:t>
            </w:r>
          </w:p>
          <w:p w14:paraId="67140F73" w14:textId="77777777" w:rsidR="00F50542" w:rsidRPr="00800B65" w:rsidRDefault="00F50542" w:rsidP="00961DA7">
            <w:pPr>
              <w:spacing w:after="60" w:line="240" w:lineRule="auto"/>
              <w:rPr>
                <w:rFonts w:cs="Times New Roman"/>
                <w:b/>
                <w:i/>
                <w:noProof/>
                <w:sz w:val="18"/>
                <w:szCs w:val="18"/>
              </w:rPr>
            </w:pPr>
            <w:r>
              <w:rPr>
                <w:i/>
                <w:sz w:val="18"/>
                <w:szCs w:val="18"/>
              </w:rPr>
              <w:t>(f)=(a)/(e)</w:t>
            </w:r>
          </w:p>
        </w:tc>
        <w:tc>
          <w:tcPr>
            <w:tcW w:w="1865" w:type="dxa"/>
            <w:vMerge w:val="restart"/>
          </w:tcPr>
          <w:p w14:paraId="07A19F06" w14:textId="77777777" w:rsidR="00F50542" w:rsidRPr="00800B65" w:rsidRDefault="00F50542" w:rsidP="00961DA7">
            <w:pPr>
              <w:spacing w:after="60" w:line="240" w:lineRule="auto"/>
              <w:rPr>
                <w:rFonts w:cs="Times New Roman"/>
                <w:b/>
                <w:i/>
                <w:noProof/>
                <w:sz w:val="18"/>
                <w:szCs w:val="18"/>
              </w:rPr>
            </w:pPr>
            <w:r>
              <w:rPr>
                <w:b/>
                <w:i/>
                <w:sz w:val="18"/>
                <w:szCs w:val="18"/>
              </w:rPr>
              <w:t>Wkład krajów trzecich</w:t>
            </w:r>
          </w:p>
          <w:p w14:paraId="5E5E6066" w14:textId="77777777" w:rsidR="00F50542" w:rsidRPr="00800B65" w:rsidRDefault="00F50542" w:rsidP="00961DA7">
            <w:pPr>
              <w:spacing w:after="60" w:line="240" w:lineRule="auto"/>
              <w:rPr>
                <w:rFonts w:cs="Times New Roman"/>
                <w:b/>
                <w:i/>
                <w:noProof/>
                <w:sz w:val="18"/>
                <w:szCs w:val="18"/>
              </w:rPr>
            </w:pPr>
            <w:r>
              <w:rPr>
                <w:i/>
                <w:sz w:val="18"/>
                <w:szCs w:val="18"/>
              </w:rPr>
              <w:t>(</w:t>
            </w:r>
            <w:r>
              <w:rPr>
                <w:b/>
                <w:i/>
                <w:sz w:val="18"/>
                <w:szCs w:val="18"/>
              </w:rPr>
              <w:t>dla informacji)</w:t>
            </w:r>
          </w:p>
        </w:tc>
      </w:tr>
      <w:tr w:rsidR="00F50542" w:rsidRPr="00F50542" w14:paraId="7766A29C" w14:textId="77777777" w:rsidTr="00800B65">
        <w:tc>
          <w:tcPr>
            <w:tcW w:w="1168" w:type="dxa"/>
            <w:vMerge/>
          </w:tcPr>
          <w:p w14:paraId="0B6C0351" w14:textId="77777777" w:rsidR="00F50542" w:rsidRPr="00800B65" w:rsidRDefault="00F50542" w:rsidP="00961DA7">
            <w:pPr>
              <w:spacing w:after="60" w:line="240" w:lineRule="auto"/>
              <w:rPr>
                <w:rFonts w:cs="Times New Roman"/>
                <w:b/>
                <w:i/>
                <w:noProof/>
                <w:sz w:val="18"/>
                <w:szCs w:val="18"/>
              </w:rPr>
            </w:pPr>
          </w:p>
        </w:tc>
        <w:tc>
          <w:tcPr>
            <w:tcW w:w="1237" w:type="dxa"/>
            <w:vMerge/>
          </w:tcPr>
          <w:p w14:paraId="49C7F505" w14:textId="77777777" w:rsidR="00F50542" w:rsidRPr="00800B65" w:rsidRDefault="00F50542" w:rsidP="00961DA7">
            <w:pPr>
              <w:spacing w:after="60" w:line="240" w:lineRule="auto"/>
              <w:rPr>
                <w:rFonts w:cs="Times New Roman"/>
                <w:b/>
                <w:i/>
                <w:noProof/>
                <w:sz w:val="18"/>
                <w:szCs w:val="18"/>
              </w:rPr>
            </w:pPr>
          </w:p>
        </w:tc>
        <w:tc>
          <w:tcPr>
            <w:tcW w:w="1545" w:type="dxa"/>
            <w:vMerge/>
          </w:tcPr>
          <w:p w14:paraId="170F9C4F" w14:textId="77777777" w:rsidR="00F50542" w:rsidRPr="00800B65" w:rsidRDefault="00F50542" w:rsidP="00961DA7">
            <w:pPr>
              <w:spacing w:after="60" w:line="240" w:lineRule="auto"/>
              <w:rPr>
                <w:rFonts w:cs="Times New Roman"/>
                <w:b/>
                <w:i/>
                <w:noProof/>
                <w:sz w:val="18"/>
                <w:szCs w:val="18"/>
              </w:rPr>
            </w:pPr>
          </w:p>
        </w:tc>
        <w:tc>
          <w:tcPr>
            <w:tcW w:w="1533" w:type="dxa"/>
            <w:vMerge/>
          </w:tcPr>
          <w:p w14:paraId="4CEC2DDC" w14:textId="77777777" w:rsidR="00F50542" w:rsidRPr="00800B65" w:rsidRDefault="00F50542" w:rsidP="00961DA7">
            <w:pPr>
              <w:spacing w:after="60" w:line="240" w:lineRule="auto"/>
              <w:rPr>
                <w:rFonts w:cs="Times New Roman"/>
                <w:b/>
                <w:i/>
                <w:noProof/>
                <w:sz w:val="18"/>
                <w:szCs w:val="18"/>
              </w:rPr>
            </w:pPr>
          </w:p>
        </w:tc>
        <w:tc>
          <w:tcPr>
            <w:tcW w:w="1696" w:type="dxa"/>
            <w:vMerge/>
          </w:tcPr>
          <w:p w14:paraId="1BA81C61" w14:textId="77777777" w:rsidR="00F50542" w:rsidRPr="00800B65" w:rsidRDefault="00F50542" w:rsidP="00961DA7">
            <w:pPr>
              <w:spacing w:after="60" w:line="240" w:lineRule="auto"/>
              <w:rPr>
                <w:rFonts w:cs="Times New Roman"/>
                <w:b/>
                <w:i/>
                <w:noProof/>
                <w:sz w:val="18"/>
                <w:szCs w:val="18"/>
              </w:rPr>
            </w:pPr>
          </w:p>
        </w:tc>
        <w:tc>
          <w:tcPr>
            <w:tcW w:w="1622" w:type="dxa"/>
            <w:vMerge/>
          </w:tcPr>
          <w:p w14:paraId="1B556558" w14:textId="77777777" w:rsidR="00F50542" w:rsidRPr="00800B65" w:rsidRDefault="00F50542" w:rsidP="00961DA7">
            <w:pPr>
              <w:spacing w:after="60" w:line="240" w:lineRule="auto"/>
              <w:rPr>
                <w:rFonts w:cs="Times New Roman"/>
                <w:b/>
                <w:i/>
                <w:noProof/>
                <w:sz w:val="18"/>
                <w:szCs w:val="18"/>
              </w:rPr>
            </w:pPr>
          </w:p>
        </w:tc>
        <w:tc>
          <w:tcPr>
            <w:tcW w:w="1145" w:type="dxa"/>
          </w:tcPr>
          <w:p w14:paraId="361DABF9" w14:textId="77777777" w:rsidR="00F50542" w:rsidRPr="00800B65" w:rsidRDefault="00F50542" w:rsidP="00961DA7">
            <w:pPr>
              <w:spacing w:after="60" w:line="240" w:lineRule="auto"/>
              <w:rPr>
                <w:rFonts w:cs="Times New Roman"/>
                <w:b/>
                <w:i/>
                <w:noProof/>
                <w:sz w:val="18"/>
                <w:szCs w:val="18"/>
              </w:rPr>
            </w:pPr>
            <w:r>
              <w:rPr>
                <w:b/>
                <w:i/>
                <w:sz w:val="18"/>
                <w:szCs w:val="18"/>
              </w:rPr>
              <w:t xml:space="preserve">Publiczny krajowy </w:t>
            </w:r>
          </w:p>
          <w:p w14:paraId="2B5B427B" w14:textId="77777777" w:rsidR="00F50542" w:rsidRPr="00800B65" w:rsidRDefault="00F50542" w:rsidP="00961DA7">
            <w:pPr>
              <w:spacing w:after="60" w:line="240" w:lineRule="auto"/>
              <w:rPr>
                <w:rFonts w:cs="Times New Roman"/>
                <w:b/>
                <w:i/>
                <w:noProof/>
                <w:sz w:val="18"/>
                <w:szCs w:val="18"/>
              </w:rPr>
            </w:pPr>
            <w:r>
              <w:rPr>
                <w:i/>
                <w:sz w:val="18"/>
                <w:szCs w:val="18"/>
              </w:rPr>
              <w:t>(c)</w:t>
            </w:r>
          </w:p>
        </w:tc>
        <w:tc>
          <w:tcPr>
            <w:tcW w:w="1145" w:type="dxa"/>
          </w:tcPr>
          <w:p w14:paraId="6712260C" w14:textId="77777777" w:rsidR="00F50542" w:rsidRPr="00800B65" w:rsidRDefault="00F50542" w:rsidP="00961DA7">
            <w:pPr>
              <w:spacing w:after="60" w:line="240" w:lineRule="auto"/>
              <w:rPr>
                <w:rFonts w:cs="Times New Roman"/>
                <w:b/>
                <w:i/>
                <w:noProof/>
                <w:sz w:val="18"/>
                <w:szCs w:val="18"/>
              </w:rPr>
            </w:pPr>
            <w:r>
              <w:rPr>
                <w:b/>
                <w:i/>
                <w:sz w:val="18"/>
                <w:szCs w:val="18"/>
              </w:rPr>
              <w:t xml:space="preserve">Prywatny krajowy </w:t>
            </w:r>
          </w:p>
          <w:p w14:paraId="3E4A917F" w14:textId="77777777" w:rsidR="00F50542" w:rsidRPr="00800B65" w:rsidRDefault="00F50542" w:rsidP="00961DA7">
            <w:pPr>
              <w:spacing w:after="60" w:line="240" w:lineRule="auto"/>
              <w:rPr>
                <w:rFonts w:cs="Times New Roman"/>
                <w:b/>
                <w:i/>
                <w:noProof/>
                <w:sz w:val="18"/>
                <w:szCs w:val="18"/>
              </w:rPr>
            </w:pPr>
            <w:r>
              <w:rPr>
                <w:i/>
                <w:sz w:val="18"/>
                <w:szCs w:val="18"/>
              </w:rPr>
              <w:t>(d)</w:t>
            </w:r>
          </w:p>
        </w:tc>
        <w:tc>
          <w:tcPr>
            <w:tcW w:w="1222" w:type="dxa"/>
            <w:vMerge/>
          </w:tcPr>
          <w:p w14:paraId="4DBC87A2" w14:textId="77777777" w:rsidR="00F50542" w:rsidRPr="00800B65" w:rsidRDefault="00F50542" w:rsidP="00F50542">
            <w:pPr>
              <w:spacing w:after="60" w:line="240" w:lineRule="auto"/>
              <w:jc w:val="both"/>
              <w:rPr>
                <w:rFonts w:cs="Times New Roman"/>
                <w:b/>
                <w:i/>
                <w:noProof/>
                <w:sz w:val="18"/>
                <w:szCs w:val="18"/>
              </w:rPr>
            </w:pPr>
          </w:p>
        </w:tc>
        <w:tc>
          <w:tcPr>
            <w:tcW w:w="1210" w:type="dxa"/>
            <w:vMerge/>
          </w:tcPr>
          <w:p w14:paraId="54AC2B2A" w14:textId="77777777" w:rsidR="00F50542" w:rsidRPr="00800B65" w:rsidRDefault="00F50542" w:rsidP="00F50542">
            <w:pPr>
              <w:spacing w:after="60" w:line="240" w:lineRule="auto"/>
              <w:jc w:val="both"/>
              <w:rPr>
                <w:rFonts w:cs="Times New Roman"/>
                <w:b/>
                <w:i/>
                <w:noProof/>
                <w:sz w:val="18"/>
                <w:szCs w:val="18"/>
              </w:rPr>
            </w:pPr>
          </w:p>
        </w:tc>
        <w:tc>
          <w:tcPr>
            <w:tcW w:w="1865" w:type="dxa"/>
            <w:vMerge/>
          </w:tcPr>
          <w:p w14:paraId="6C00D7E0" w14:textId="77777777" w:rsidR="00F50542" w:rsidRPr="00800B65" w:rsidRDefault="00F50542" w:rsidP="00F50542">
            <w:pPr>
              <w:spacing w:after="60" w:line="240" w:lineRule="auto"/>
              <w:jc w:val="both"/>
              <w:rPr>
                <w:rFonts w:cs="Times New Roman"/>
                <w:b/>
                <w:i/>
                <w:noProof/>
                <w:sz w:val="18"/>
                <w:szCs w:val="18"/>
              </w:rPr>
            </w:pPr>
          </w:p>
        </w:tc>
      </w:tr>
      <w:tr w:rsidR="00F50542" w:rsidRPr="00F50542" w14:paraId="7DBC19C0" w14:textId="77777777" w:rsidTr="00800B65">
        <w:tc>
          <w:tcPr>
            <w:tcW w:w="1168" w:type="dxa"/>
            <w:vMerge w:val="restart"/>
          </w:tcPr>
          <w:p w14:paraId="37792CCA" w14:textId="77777777" w:rsidR="00F50542" w:rsidRPr="00800B65" w:rsidRDefault="00F50542" w:rsidP="00F50542">
            <w:pPr>
              <w:spacing w:after="60" w:line="240" w:lineRule="auto"/>
              <w:jc w:val="both"/>
              <w:rPr>
                <w:rFonts w:cs="Times New Roman"/>
                <w:i/>
                <w:noProof/>
                <w:sz w:val="18"/>
                <w:szCs w:val="18"/>
              </w:rPr>
            </w:pPr>
          </w:p>
        </w:tc>
        <w:tc>
          <w:tcPr>
            <w:tcW w:w="1237" w:type="dxa"/>
            <w:vMerge w:val="restart"/>
          </w:tcPr>
          <w:p w14:paraId="3EB80D6F" w14:textId="77777777" w:rsidR="00F50542" w:rsidRPr="00800B65" w:rsidRDefault="00F50542" w:rsidP="00F50542">
            <w:pPr>
              <w:spacing w:after="60" w:line="240" w:lineRule="auto"/>
              <w:jc w:val="both"/>
              <w:rPr>
                <w:rFonts w:cs="Times New Roman"/>
                <w:b/>
                <w:i/>
                <w:noProof/>
                <w:sz w:val="18"/>
                <w:szCs w:val="18"/>
              </w:rPr>
            </w:pPr>
            <w:r>
              <w:rPr>
                <w:b/>
                <w:i/>
                <w:sz w:val="18"/>
                <w:szCs w:val="18"/>
              </w:rPr>
              <w:t>Priorytet 1</w:t>
            </w:r>
          </w:p>
        </w:tc>
        <w:tc>
          <w:tcPr>
            <w:tcW w:w="1545" w:type="dxa"/>
          </w:tcPr>
          <w:p w14:paraId="35E8432D" w14:textId="27D60EB5" w:rsidR="00F50542" w:rsidRPr="00800B65" w:rsidRDefault="00EE3060" w:rsidP="00132AE2">
            <w:pPr>
              <w:spacing w:line="240" w:lineRule="auto"/>
              <w:jc w:val="both"/>
              <w:rPr>
                <w:rFonts w:cs="Times New Roman"/>
                <w:i/>
                <w:noProof/>
                <w:sz w:val="18"/>
                <w:szCs w:val="18"/>
              </w:rPr>
            </w:pPr>
            <w:r>
              <w:rPr>
                <w:i/>
                <w:sz w:val="18"/>
                <w:szCs w:val="18"/>
              </w:rPr>
              <w:t>EFRR</w:t>
            </w:r>
          </w:p>
        </w:tc>
        <w:tc>
          <w:tcPr>
            <w:tcW w:w="1533" w:type="dxa"/>
          </w:tcPr>
          <w:p w14:paraId="2A65E5BF" w14:textId="46C83D73" w:rsidR="00F50542" w:rsidRPr="00800B65" w:rsidRDefault="00BF6675" w:rsidP="00F50542">
            <w:pPr>
              <w:spacing w:after="60" w:line="240" w:lineRule="auto"/>
              <w:jc w:val="both"/>
              <w:rPr>
                <w:rFonts w:cs="Times New Roman"/>
                <w:i/>
                <w:noProof/>
                <w:sz w:val="18"/>
                <w:szCs w:val="18"/>
              </w:rPr>
            </w:pPr>
            <w:r>
              <w:rPr>
                <w:i/>
                <w:sz w:val="18"/>
                <w:szCs w:val="18"/>
              </w:rPr>
              <w:t>45 000 000</w:t>
            </w:r>
          </w:p>
        </w:tc>
        <w:tc>
          <w:tcPr>
            <w:tcW w:w="1696" w:type="dxa"/>
          </w:tcPr>
          <w:p w14:paraId="222BA668" w14:textId="5E654993" w:rsidR="00F50542" w:rsidRPr="00800B65" w:rsidRDefault="00BF6675" w:rsidP="00F50542">
            <w:pPr>
              <w:spacing w:after="60" w:line="240" w:lineRule="auto"/>
              <w:jc w:val="both"/>
              <w:rPr>
                <w:rFonts w:cs="Times New Roman"/>
                <w:i/>
                <w:noProof/>
                <w:sz w:val="18"/>
                <w:szCs w:val="18"/>
              </w:rPr>
            </w:pPr>
            <w:r>
              <w:rPr>
                <w:i/>
                <w:sz w:val="18"/>
                <w:szCs w:val="18"/>
              </w:rPr>
              <w:t>45 000 000</w:t>
            </w:r>
          </w:p>
        </w:tc>
        <w:tc>
          <w:tcPr>
            <w:tcW w:w="1622" w:type="dxa"/>
          </w:tcPr>
          <w:p w14:paraId="7F9BAB56" w14:textId="179B5C8E" w:rsidR="00F50542" w:rsidRPr="00800B65" w:rsidRDefault="00BF6675" w:rsidP="00F50542">
            <w:pPr>
              <w:spacing w:after="60" w:line="240" w:lineRule="auto"/>
              <w:jc w:val="both"/>
              <w:rPr>
                <w:rFonts w:cs="Times New Roman"/>
                <w:i/>
                <w:noProof/>
                <w:sz w:val="18"/>
                <w:szCs w:val="18"/>
              </w:rPr>
            </w:pPr>
            <w:r>
              <w:rPr>
                <w:i/>
                <w:sz w:val="18"/>
                <w:szCs w:val="18"/>
              </w:rPr>
              <w:t>11 250 000</w:t>
            </w:r>
          </w:p>
        </w:tc>
        <w:tc>
          <w:tcPr>
            <w:tcW w:w="1145" w:type="dxa"/>
          </w:tcPr>
          <w:p w14:paraId="1208EDFE" w14:textId="65145A01" w:rsidR="00F50542" w:rsidRPr="00800B65" w:rsidRDefault="00BF6675" w:rsidP="00F50542">
            <w:pPr>
              <w:spacing w:after="60" w:line="240" w:lineRule="auto"/>
              <w:jc w:val="both"/>
              <w:rPr>
                <w:rFonts w:cs="Times New Roman"/>
                <w:i/>
                <w:noProof/>
                <w:sz w:val="18"/>
                <w:szCs w:val="18"/>
              </w:rPr>
            </w:pPr>
            <w:r>
              <w:rPr>
                <w:i/>
                <w:sz w:val="18"/>
                <w:szCs w:val="18"/>
              </w:rPr>
              <w:t>11 250 000</w:t>
            </w:r>
          </w:p>
        </w:tc>
        <w:tc>
          <w:tcPr>
            <w:tcW w:w="1145" w:type="dxa"/>
          </w:tcPr>
          <w:p w14:paraId="7B9EE48A" w14:textId="58CDC036" w:rsidR="00F50542" w:rsidRPr="00800B65" w:rsidRDefault="00BF6675" w:rsidP="00F50542">
            <w:pPr>
              <w:spacing w:after="60" w:line="240" w:lineRule="auto"/>
              <w:jc w:val="both"/>
              <w:rPr>
                <w:rFonts w:cs="Times New Roman"/>
                <w:i/>
                <w:noProof/>
                <w:sz w:val="18"/>
                <w:szCs w:val="18"/>
              </w:rPr>
            </w:pPr>
            <w:r>
              <w:rPr>
                <w:i/>
                <w:sz w:val="18"/>
                <w:szCs w:val="18"/>
              </w:rPr>
              <w:t>0</w:t>
            </w:r>
          </w:p>
        </w:tc>
        <w:tc>
          <w:tcPr>
            <w:tcW w:w="1222" w:type="dxa"/>
          </w:tcPr>
          <w:p w14:paraId="19B275FA" w14:textId="749847C0" w:rsidR="00F50542" w:rsidRPr="00800B65" w:rsidRDefault="00BF6675" w:rsidP="00F50542">
            <w:pPr>
              <w:spacing w:after="60" w:line="240" w:lineRule="auto"/>
              <w:jc w:val="both"/>
              <w:rPr>
                <w:rFonts w:cs="Times New Roman"/>
                <w:i/>
                <w:noProof/>
                <w:sz w:val="18"/>
                <w:szCs w:val="18"/>
              </w:rPr>
            </w:pPr>
            <w:r>
              <w:rPr>
                <w:i/>
                <w:sz w:val="18"/>
                <w:szCs w:val="18"/>
              </w:rPr>
              <w:t>56 250 000</w:t>
            </w:r>
          </w:p>
        </w:tc>
        <w:tc>
          <w:tcPr>
            <w:tcW w:w="1210" w:type="dxa"/>
          </w:tcPr>
          <w:p w14:paraId="6E64A466" w14:textId="2C33F332" w:rsidR="00F50542" w:rsidRPr="00800B65" w:rsidRDefault="00BF6675" w:rsidP="00F50542">
            <w:pPr>
              <w:spacing w:after="60" w:line="240" w:lineRule="auto"/>
              <w:jc w:val="both"/>
              <w:rPr>
                <w:rFonts w:cs="Times New Roman"/>
                <w:i/>
                <w:noProof/>
                <w:sz w:val="18"/>
                <w:szCs w:val="18"/>
              </w:rPr>
            </w:pPr>
            <w:r>
              <w:rPr>
                <w:i/>
                <w:sz w:val="18"/>
                <w:szCs w:val="18"/>
              </w:rPr>
              <w:t>20%</w:t>
            </w:r>
          </w:p>
        </w:tc>
        <w:tc>
          <w:tcPr>
            <w:tcW w:w="1865" w:type="dxa"/>
          </w:tcPr>
          <w:p w14:paraId="2603E02E" w14:textId="7CAF36BE" w:rsidR="00F50542" w:rsidRPr="00800B65" w:rsidRDefault="00BF6675" w:rsidP="00F50542">
            <w:pPr>
              <w:spacing w:after="60" w:line="240" w:lineRule="auto"/>
              <w:jc w:val="both"/>
              <w:rPr>
                <w:rFonts w:cs="Times New Roman"/>
                <w:i/>
                <w:noProof/>
                <w:sz w:val="18"/>
                <w:szCs w:val="18"/>
              </w:rPr>
            </w:pPr>
            <w:r>
              <w:rPr>
                <w:i/>
                <w:sz w:val="18"/>
                <w:szCs w:val="18"/>
              </w:rPr>
              <w:t>162 800</w:t>
            </w:r>
          </w:p>
        </w:tc>
      </w:tr>
      <w:tr w:rsidR="00F50542" w:rsidRPr="00F50542" w14:paraId="30776FDE" w14:textId="77777777" w:rsidTr="00800B65">
        <w:tc>
          <w:tcPr>
            <w:tcW w:w="1168" w:type="dxa"/>
            <w:vMerge/>
          </w:tcPr>
          <w:p w14:paraId="3434E12C" w14:textId="77777777" w:rsidR="00F50542" w:rsidRPr="00800B65" w:rsidRDefault="00F50542" w:rsidP="00F50542">
            <w:pPr>
              <w:spacing w:after="60" w:line="240" w:lineRule="auto"/>
              <w:jc w:val="both"/>
              <w:rPr>
                <w:rFonts w:cs="Times New Roman"/>
                <w:i/>
                <w:noProof/>
                <w:sz w:val="18"/>
                <w:szCs w:val="18"/>
              </w:rPr>
            </w:pPr>
          </w:p>
        </w:tc>
        <w:tc>
          <w:tcPr>
            <w:tcW w:w="1237" w:type="dxa"/>
            <w:vMerge/>
          </w:tcPr>
          <w:p w14:paraId="6BAF29BA" w14:textId="77777777" w:rsidR="00F50542" w:rsidRPr="00800B65" w:rsidRDefault="00F50542" w:rsidP="00F50542">
            <w:pPr>
              <w:spacing w:after="60" w:line="240" w:lineRule="auto"/>
              <w:jc w:val="both"/>
              <w:rPr>
                <w:rFonts w:cs="Times New Roman"/>
                <w:i/>
                <w:noProof/>
                <w:sz w:val="18"/>
                <w:szCs w:val="18"/>
              </w:rPr>
            </w:pPr>
          </w:p>
        </w:tc>
        <w:tc>
          <w:tcPr>
            <w:tcW w:w="1545" w:type="dxa"/>
          </w:tcPr>
          <w:p w14:paraId="39E0AF1E" w14:textId="77777777" w:rsidR="00F50542" w:rsidRPr="00800B65" w:rsidRDefault="00F50542" w:rsidP="00F50542">
            <w:pPr>
              <w:spacing w:line="240" w:lineRule="auto"/>
              <w:jc w:val="both"/>
              <w:rPr>
                <w:rFonts w:cs="Times New Roman"/>
                <w:i/>
                <w:noProof/>
                <w:sz w:val="18"/>
                <w:szCs w:val="18"/>
              </w:rPr>
            </w:pPr>
            <w:r>
              <w:rPr>
                <w:i/>
                <w:sz w:val="18"/>
                <w:szCs w:val="18"/>
              </w:rPr>
              <w:t>IPA</w:t>
            </w:r>
            <w:r>
              <w:rPr>
                <w:sz w:val="18"/>
                <w:szCs w:val="18"/>
              </w:rPr>
              <w:t> </w:t>
            </w:r>
            <w:r>
              <w:rPr>
                <w:i/>
                <w:sz w:val="18"/>
                <w:szCs w:val="18"/>
              </w:rPr>
              <w:t>III CBC</w:t>
            </w:r>
            <w:r w:rsidRPr="00800B65">
              <w:rPr>
                <w:rFonts w:cs="Times New Roman"/>
                <w:i/>
                <w:noProof/>
                <w:sz w:val="18"/>
                <w:szCs w:val="18"/>
                <w:vertAlign w:val="superscript"/>
              </w:rPr>
              <w:footnoteReference w:id="9"/>
            </w:r>
          </w:p>
        </w:tc>
        <w:tc>
          <w:tcPr>
            <w:tcW w:w="1533" w:type="dxa"/>
          </w:tcPr>
          <w:p w14:paraId="7BAAF720" w14:textId="77777777" w:rsidR="00F50542" w:rsidRPr="00800B65" w:rsidRDefault="00F50542" w:rsidP="00F50542">
            <w:pPr>
              <w:spacing w:after="60" w:line="240" w:lineRule="auto"/>
              <w:jc w:val="both"/>
              <w:rPr>
                <w:rFonts w:cs="Times New Roman"/>
                <w:i/>
                <w:noProof/>
                <w:sz w:val="18"/>
                <w:szCs w:val="18"/>
              </w:rPr>
            </w:pPr>
          </w:p>
        </w:tc>
        <w:tc>
          <w:tcPr>
            <w:tcW w:w="1696" w:type="dxa"/>
          </w:tcPr>
          <w:p w14:paraId="68D76FAC" w14:textId="77777777" w:rsidR="00F50542" w:rsidRPr="00800B65" w:rsidRDefault="00F50542" w:rsidP="00F50542">
            <w:pPr>
              <w:spacing w:after="60" w:line="240" w:lineRule="auto"/>
              <w:jc w:val="both"/>
              <w:rPr>
                <w:rFonts w:cs="Times New Roman"/>
                <w:i/>
                <w:noProof/>
                <w:sz w:val="18"/>
                <w:szCs w:val="18"/>
              </w:rPr>
            </w:pPr>
          </w:p>
        </w:tc>
        <w:tc>
          <w:tcPr>
            <w:tcW w:w="1622" w:type="dxa"/>
          </w:tcPr>
          <w:p w14:paraId="2BE40CCD"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66CBDCDA"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35E482DE" w14:textId="77777777" w:rsidR="00F50542" w:rsidRPr="00800B65" w:rsidRDefault="00F50542" w:rsidP="00F50542">
            <w:pPr>
              <w:spacing w:after="60" w:line="240" w:lineRule="auto"/>
              <w:jc w:val="both"/>
              <w:rPr>
                <w:rFonts w:cs="Times New Roman"/>
                <w:i/>
                <w:noProof/>
                <w:sz w:val="18"/>
                <w:szCs w:val="18"/>
              </w:rPr>
            </w:pPr>
          </w:p>
        </w:tc>
        <w:tc>
          <w:tcPr>
            <w:tcW w:w="1222" w:type="dxa"/>
          </w:tcPr>
          <w:p w14:paraId="1A7D592A" w14:textId="77777777" w:rsidR="00F50542" w:rsidRPr="00800B65" w:rsidRDefault="00F50542" w:rsidP="00F50542">
            <w:pPr>
              <w:spacing w:after="60" w:line="240" w:lineRule="auto"/>
              <w:jc w:val="both"/>
              <w:rPr>
                <w:rFonts w:cs="Times New Roman"/>
                <w:i/>
                <w:noProof/>
                <w:sz w:val="18"/>
                <w:szCs w:val="18"/>
              </w:rPr>
            </w:pPr>
          </w:p>
        </w:tc>
        <w:tc>
          <w:tcPr>
            <w:tcW w:w="1210" w:type="dxa"/>
          </w:tcPr>
          <w:p w14:paraId="55D263EB" w14:textId="77777777" w:rsidR="00F50542" w:rsidRPr="00800B65" w:rsidRDefault="00F50542" w:rsidP="00F50542">
            <w:pPr>
              <w:spacing w:after="60" w:line="240" w:lineRule="auto"/>
              <w:jc w:val="both"/>
              <w:rPr>
                <w:rFonts w:cs="Times New Roman"/>
                <w:i/>
                <w:noProof/>
                <w:sz w:val="18"/>
                <w:szCs w:val="18"/>
              </w:rPr>
            </w:pPr>
          </w:p>
        </w:tc>
        <w:tc>
          <w:tcPr>
            <w:tcW w:w="1865" w:type="dxa"/>
          </w:tcPr>
          <w:p w14:paraId="0350090A" w14:textId="77777777" w:rsidR="00F50542" w:rsidRPr="00800B65" w:rsidRDefault="00F50542" w:rsidP="00F50542">
            <w:pPr>
              <w:spacing w:after="60" w:line="240" w:lineRule="auto"/>
              <w:jc w:val="both"/>
              <w:rPr>
                <w:rFonts w:cs="Times New Roman"/>
                <w:i/>
                <w:noProof/>
                <w:sz w:val="18"/>
                <w:szCs w:val="18"/>
              </w:rPr>
            </w:pPr>
          </w:p>
        </w:tc>
      </w:tr>
      <w:tr w:rsidR="00F50542" w:rsidRPr="00F50542" w14:paraId="0FFCD4EC" w14:textId="77777777" w:rsidTr="00800B65">
        <w:tc>
          <w:tcPr>
            <w:tcW w:w="1168" w:type="dxa"/>
            <w:vMerge/>
          </w:tcPr>
          <w:p w14:paraId="710B6A12" w14:textId="77777777" w:rsidR="00F50542" w:rsidRPr="00800B65" w:rsidRDefault="00F50542" w:rsidP="00F50542">
            <w:pPr>
              <w:spacing w:after="60" w:line="240" w:lineRule="auto"/>
              <w:jc w:val="both"/>
              <w:rPr>
                <w:rFonts w:cs="Times New Roman"/>
                <w:i/>
                <w:noProof/>
                <w:sz w:val="18"/>
                <w:szCs w:val="18"/>
              </w:rPr>
            </w:pPr>
          </w:p>
        </w:tc>
        <w:tc>
          <w:tcPr>
            <w:tcW w:w="1237" w:type="dxa"/>
            <w:vMerge/>
          </w:tcPr>
          <w:p w14:paraId="5DF11DE3" w14:textId="77777777" w:rsidR="00F50542" w:rsidRPr="00800B65" w:rsidRDefault="00F50542" w:rsidP="00F50542">
            <w:pPr>
              <w:spacing w:after="60" w:line="240" w:lineRule="auto"/>
              <w:jc w:val="both"/>
              <w:rPr>
                <w:rFonts w:cs="Times New Roman"/>
                <w:i/>
                <w:noProof/>
                <w:sz w:val="18"/>
                <w:szCs w:val="18"/>
              </w:rPr>
            </w:pPr>
          </w:p>
        </w:tc>
        <w:tc>
          <w:tcPr>
            <w:tcW w:w="1545" w:type="dxa"/>
          </w:tcPr>
          <w:p w14:paraId="0614764B" w14:textId="77777777" w:rsidR="00F50542" w:rsidRPr="00800B65" w:rsidRDefault="00F50542" w:rsidP="00F50542">
            <w:pPr>
              <w:spacing w:line="240" w:lineRule="auto"/>
              <w:jc w:val="both"/>
              <w:rPr>
                <w:rFonts w:cs="Times New Roman"/>
                <w:i/>
                <w:noProof/>
                <w:sz w:val="18"/>
                <w:szCs w:val="18"/>
              </w:rPr>
            </w:pPr>
            <w:r>
              <w:rPr>
                <w:i/>
                <w:sz w:val="18"/>
                <w:szCs w:val="18"/>
              </w:rPr>
              <w:t>Sąsiedztwo CBC</w:t>
            </w:r>
            <w:r w:rsidRPr="00800B65">
              <w:rPr>
                <w:rFonts w:cs="Times New Roman"/>
                <w:i/>
                <w:noProof/>
                <w:sz w:val="18"/>
                <w:szCs w:val="18"/>
                <w:vertAlign w:val="superscript"/>
              </w:rPr>
              <w:footnoteReference w:id="10"/>
            </w:r>
          </w:p>
        </w:tc>
        <w:tc>
          <w:tcPr>
            <w:tcW w:w="1533" w:type="dxa"/>
          </w:tcPr>
          <w:p w14:paraId="5A0AD324" w14:textId="77777777" w:rsidR="00F50542" w:rsidRPr="00800B65" w:rsidRDefault="00F50542" w:rsidP="00F50542">
            <w:pPr>
              <w:spacing w:after="60" w:line="240" w:lineRule="auto"/>
              <w:jc w:val="both"/>
              <w:rPr>
                <w:rFonts w:cs="Times New Roman"/>
                <w:i/>
                <w:noProof/>
                <w:sz w:val="18"/>
                <w:szCs w:val="18"/>
              </w:rPr>
            </w:pPr>
          </w:p>
        </w:tc>
        <w:tc>
          <w:tcPr>
            <w:tcW w:w="1696" w:type="dxa"/>
          </w:tcPr>
          <w:p w14:paraId="6C52F93F" w14:textId="77777777" w:rsidR="00F50542" w:rsidRPr="00800B65" w:rsidRDefault="00F50542" w:rsidP="00F50542">
            <w:pPr>
              <w:spacing w:after="60" w:line="240" w:lineRule="auto"/>
              <w:jc w:val="both"/>
              <w:rPr>
                <w:rFonts w:cs="Times New Roman"/>
                <w:i/>
                <w:noProof/>
                <w:sz w:val="18"/>
                <w:szCs w:val="18"/>
              </w:rPr>
            </w:pPr>
          </w:p>
        </w:tc>
        <w:tc>
          <w:tcPr>
            <w:tcW w:w="1622" w:type="dxa"/>
          </w:tcPr>
          <w:p w14:paraId="4630D8AD"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5AF5492D"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0F052582" w14:textId="77777777" w:rsidR="00F50542" w:rsidRPr="00800B65" w:rsidRDefault="00F50542" w:rsidP="00F50542">
            <w:pPr>
              <w:spacing w:after="60" w:line="240" w:lineRule="auto"/>
              <w:jc w:val="both"/>
              <w:rPr>
                <w:rFonts w:cs="Times New Roman"/>
                <w:i/>
                <w:noProof/>
                <w:sz w:val="18"/>
                <w:szCs w:val="18"/>
              </w:rPr>
            </w:pPr>
          </w:p>
        </w:tc>
        <w:tc>
          <w:tcPr>
            <w:tcW w:w="1222" w:type="dxa"/>
          </w:tcPr>
          <w:p w14:paraId="537C9DC1" w14:textId="77777777" w:rsidR="00F50542" w:rsidRPr="00800B65" w:rsidRDefault="00F50542" w:rsidP="00F50542">
            <w:pPr>
              <w:spacing w:after="60" w:line="240" w:lineRule="auto"/>
              <w:jc w:val="both"/>
              <w:rPr>
                <w:rFonts w:cs="Times New Roman"/>
                <w:i/>
                <w:noProof/>
                <w:sz w:val="18"/>
                <w:szCs w:val="18"/>
              </w:rPr>
            </w:pPr>
          </w:p>
        </w:tc>
        <w:tc>
          <w:tcPr>
            <w:tcW w:w="1210" w:type="dxa"/>
          </w:tcPr>
          <w:p w14:paraId="6EBCD16C" w14:textId="77777777" w:rsidR="00F50542" w:rsidRPr="00800B65" w:rsidRDefault="00F50542" w:rsidP="00F50542">
            <w:pPr>
              <w:spacing w:after="60" w:line="240" w:lineRule="auto"/>
              <w:jc w:val="both"/>
              <w:rPr>
                <w:rFonts w:cs="Times New Roman"/>
                <w:i/>
                <w:noProof/>
                <w:sz w:val="18"/>
                <w:szCs w:val="18"/>
              </w:rPr>
            </w:pPr>
          </w:p>
        </w:tc>
        <w:tc>
          <w:tcPr>
            <w:tcW w:w="1865" w:type="dxa"/>
          </w:tcPr>
          <w:p w14:paraId="5CBB140B" w14:textId="77777777" w:rsidR="00F50542" w:rsidRPr="00800B65" w:rsidRDefault="00F50542" w:rsidP="00F50542">
            <w:pPr>
              <w:spacing w:after="60" w:line="240" w:lineRule="auto"/>
              <w:jc w:val="both"/>
              <w:rPr>
                <w:rFonts w:cs="Times New Roman"/>
                <w:i/>
                <w:noProof/>
                <w:sz w:val="18"/>
                <w:szCs w:val="18"/>
              </w:rPr>
            </w:pPr>
          </w:p>
        </w:tc>
      </w:tr>
      <w:tr w:rsidR="00F50542" w:rsidRPr="00F50542" w14:paraId="147DEAAB" w14:textId="77777777" w:rsidTr="00800B65">
        <w:tc>
          <w:tcPr>
            <w:tcW w:w="1168" w:type="dxa"/>
            <w:vMerge/>
          </w:tcPr>
          <w:p w14:paraId="71811CED" w14:textId="77777777" w:rsidR="00F50542" w:rsidRPr="00800B65" w:rsidRDefault="00F50542" w:rsidP="00F50542">
            <w:pPr>
              <w:spacing w:after="60" w:line="240" w:lineRule="auto"/>
              <w:jc w:val="both"/>
              <w:rPr>
                <w:rFonts w:cs="Times New Roman"/>
                <w:i/>
                <w:noProof/>
                <w:sz w:val="18"/>
                <w:szCs w:val="18"/>
              </w:rPr>
            </w:pPr>
          </w:p>
        </w:tc>
        <w:tc>
          <w:tcPr>
            <w:tcW w:w="1237" w:type="dxa"/>
            <w:vMerge/>
          </w:tcPr>
          <w:p w14:paraId="013F9CF9" w14:textId="77777777" w:rsidR="00F50542" w:rsidRPr="00800B65" w:rsidRDefault="00F50542" w:rsidP="00F50542">
            <w:pPr>
              <w:spacing w:after="60" w:line="240" w:lineRule="auto"/>
              <w:jc w:val="both"/>
              <w:rPr>
                <w:rFonts w:cs="Times New Roman"/>
                <w:i/>
                <w:noProof/>
                <w:sz w:val="18"/>
                <w:szCs w:val="18"/>
              </w:rPr>
            </w:pPr>
          </w:p>
        </w:tc>
        <w:tc>
          <w:tcPr>
            <w:tcW w:w="1545" w:type="dxa"/>
          </w:tcPr>
          <w:p w14:paraId="0075AD17" w14:textId="77777777" w:rsidR="00F50542" w:rsidRPr="00800B65" w:rsidRDefault="00F50542" w:rsidP="00F50542">
            <w:pPr>
              <w:spacing w:line="240" w:lineRule="auto"/>
              <w:jc w:val="both"/>
              <w:rPr>
                <w:rFonts w:cs="Times New Roman"/>
                <w:i/>
                <w:noProof/>
                <w:sz w:val="18"/>
                <w:szCs w:val="18"/>
              </w:rPr>
            </w:pPr>
            <w:r>
              <w:rPr>
                <w:i/>
                <w:sz w:val="18"/>
                <w:szCs w:val="18"/>
              </w:rPr>
              <w:t>IPA III</w:t>
            </w:r>
            <w:r w:rsidRPr="00800B65">
              <w:rPr>
                <w:rFonts w:cs="Times New Roman"/>
                <w:i/>
                <w:noProof/>
                <w:sz w:val="18"/>
                <w:szCs w:val="18"/>
                <w:vertAlign w:val="superscript"/>
              </w:rPr>
              <w:footnoteReference w:id="11"/>
            </w:r>
          </w:p>
        </w:tc>
        <w:tc>
          <w:tcPr>
            <w:tcW w:w="1533" w:type="dxa"/>
          </w:tcPr>
          <w:p w14:paraId="3D7DFA69" w14:textId="77777777" w:rsidR="00F50542" w:rsidRPr="00800B65" w:rsidRDefault="00F50542" w:rsidP="00F50542">
            <w:pPr>
              <w:spacing w:after="60" w:line="240" w:lineRule="auto"/>
              <w:jc w:val="both"/>
              <w:rPr>
                <w:rFonts w:cs="Times New Roman"/>
                <w:i/>
                <w:noProof/>
                <w:sz w:val="18"/>
                <w:szCs w:val="18"/>
              </w:rPr>
            </w:pPr>
          </w:p>
        </w:tc>
        <w:tc>
          <w:tcPr>
            <w:tcW w:w="1696" w:type="dxa"/>
          </w:tcPr>
          <w:p w14:paraId="24FC762F" w14:textId="77777777" w:rsidR="00F50542" w:rsidRPr="00800B65" w:rsidRDefault="00F50542" w:rsidP="00F50542">
            <w:pPr>
              <w:spacing w:after="60" w:line="240" w:lineRule="auto"/>
              <w:jc w:val="both"/>
              <w:rPr>
                <w:rFonts w:cs="Times New Roman"/>
                <w:i/>
                <w:noProof/>
                <w:sz w:val="18"/>
                <w:szCs w:val="18"/>
              </w:rPr>
            </w:pPr>
          </w:p>
        </w:tc>
        <w:tc>
          <w:tcPr>
            <w:tcW w:w="1622" w:type="dxa"/>
          </w:tcPr>
          <w:p w14:paraId="044EA0C0"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577997A7"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6EBBBA75" w14:textId="77777777" w:rsidR="00F50542" w:rsidRPr="00800B65" w:rsidRDefault="00F50542" w:rsidP="00F50542">
            <w:pPr>
              <w:spacing w:after="60" w:line="240" w:lineRule="auto"/>
              <w:jc w:val="both"/>
              <w:rPr>
                <w:rFonts w:cs="Times New Roman"/>
                <w:i/>
                <w:noProof/>
                <w:sz w:val="18"/>
                <w:szCs w:val="18"/>
              </w:rPr>
            </w:pPr>
          </w:p>
        </w:tc>
        <w:tc>
          <w:tcPr>
            <w:tcW w:w="1222" w:type="dxa"/>
          </w:tcPr>
          <w:p w14:paraId="32ECFDB6" w14:textId="77777777" w:rsidR="00F50542" w:rsidRPr="00800B65" w:rsidRDefault="00F50542" w:rsidP="00F50542">
            <w:pPr>
              <w:spacing w:after="60" w:line="240" w:lineRule="auto"/>
              <w:jc w:val="both"/>
              <w:rPr>
                <w:rFonts w:cs="Times New Roman"/>
                <w:i/>
                <w:noProof/>
                <w:sz w:val="18"/>
                <w:szCs w:val="18"/>
              </w:rPr>
            </w:pPr>
          </w:p>
        </w:tc>
        <w:tc>
          <w:tcPr>
            <w:tcW w:w="1210" w:type="dxa"/>
          </w:tcPr>
          <w:p w14:paraId="48CDF57A" w14:textId="77777777" w:rsidR="00F50542" w:rsidRPr="00800B65" w:rsidRDefault="00F50542" w:rsidP="00F50542">
            <w:pPr>
              <w:spacing w:after="60" w:line="240" w:lineRule="auto"/>
              <w:jc w:val="both"/>
              <w:rPr>
                <w:rFonts w:cs="Times New Roman"/>
                <w:i/>
                <w:noProof/>
                <w:sz w:val="18"/>
                <w:szCs w:val="18"/>
              </w:rPr>
            </w:pPr>
          </w:p>
        </w:tc>
        <w:tc>
          <w:tcPr>
            <w:tcW w:w="1865" w:type="dxa"/>
          </w:tcPr>
          <w:p w14:paraId="204F124D" w14:textId="77777777" w:rsidR="00F50542" w:rsidRPr="00800B65" w:rsidRDefault="00F50542" w:rsidP="00F50542">
            <w:pPr>
              <w:spacing w:after="60" w:line="240" w:lineRule="auto"/>
              <w:jc w:val="both"/>
              <w:rPr>
                <w:rFonts w:cs="Times New Roman"/>
                <w:i/>
                <w:noProof/>
                <w:sz w:val="18"/>
                <w:szCs w:val="18"/>
              </w:rPr>
            </w:pPr>
          </w:p>
        </w:tc>
      </w:tr>
      <w:tr w:rsidR="00F50542" w:rsidRPr="00F50542" w14:paraId="2527D809" w14:textId="77777777" w:rsidTr="00800B65">
        <w:tc>
          <w:tcPr>
            <w:tcW w:w="1168" w:type="dxa"/>
            <w:vMerge/>
          </w:tcPr>
          <w:p w14:paraId="3DA05BAB" w14:textId="77777777" w:rsidR="00F50542" w:rsidRPr="00800B65" w:rsidRDefault="00F50542" w:rsidP="00F50542">
            <w:pPr>
              <w:spacing w:after="60" w:line="240" w:lineRule="auto"/>
              <w:jc w:val="both"/>
              <w:rPr>
                <w:rFonts w:cs="Times New Roman"/>
                <w:i/>
                <w:noProof/>
                <w:sz w:val="18"/>
                <w:szCs w:val="18"/>
              </w:rPr>
            </w:pPr>
          </w:p>
        </w:tc>
        <w:tc>
          <w:tcPr>
            <w:tcW w:w="1237" w:type="dxa"/>
            <w:vMerge/>
          </w:tcPr>
          <w:p w14:paraId="4BE975C7" w14:textId="77777777" w:rsidR="00F50542" w:rsidRPr="00800B65" w:rsidRDefault="00F50542" w:rsidP="00F50542">
            <w:pPr>
              <w:spacing w:after="60" w:line="240" w:lineRule="auto"/>
              <w:jc w:val="both"/>
              <w:rPr>
                <w:rFonts w:cs="Times New Roman"/>
                <w:i/>
                <w:noProof/>
                <w:sz w:val="18"/>
                <w:szCs w:val="18"/>
              </w:rPr>
            </w:pPr>
          </w:p>
        </w:tc>
        <w:tc>
          <w:tcPr>
            <w:tcW w:w="1545" w:type="dxa"/>
          </w:tcPr>
          <w:p w14:paraId="56583825" w14:textId="77777777" w:rsidR="00F50542" w:rsidRPr="00800B65" w:rsidRDefault="00F50542" w:rsidP="00F50542">
            <w:pPr>
              <w:spacing w:line="240" w:lineRule="auto"/>
              <w:jc w:val="both"/>
              <w:rPr>
                <w:rFonts w:cs="Times New Roman"/>
                <w:i/>
                <w:noProof/>
                <w:sz w:val="18"/>
                <w:szCs w:val="18"/>
              </w:rPr>
            </w:pPr>
            <w:r>
              <w:rPr>
                <w:i/>
                <w:sz w:val="18"/>
                <w:szCs w:val="18"/>
              </w:rPr>
              <w:t>ISWMR</w:t>
            </w:r>
            <w:r w:rsidRPr="00800B65">
              <w:rPr>
                <w:rFonts w:cs="Times New Roman"/>
                <w:i/>
                <w:noProof/>
                <w:sz w:val="18"/>
                <w:szCs w:val="18"/>
                <w:vertAlign w:val="superscript"/>
              </w:rPr>
              <w:footnoteReference w:id="12"/>
            </w:r>
          </w:p>
        </w:tc>
        <w:tc>
          <w:tcPr>
            <w:tcW w:w="1533" w:type="dxa"/>
          </w:tcPr>
          <w:p w14:paraId="116ED004" w14:textId="77777777" w:rsidR="00F50542" w:rsidRPr="00800B65" w:rsidRDefault="00F50542" w:rsidP="00F50542">
            <w:pPr>
              <w:spacing w:after="60" w:line="240" w:lineRule="auto"/>
              <w:jc w:val="both"/>
              <w:rPr>
                <w:rFonts w:cs="Times New Roman"/>
                <w:i/>
                <w:noProof/>
                <w:sz w:val="18"/>
                <w:szCs w:val="18"/>
              </w:rPr>
            </w:pPr>
          </w:p>
        </w:tc>
        <w:tc>
          <w:tcPr>
            <w:tcW w:w="1696" w:type="dxa"/>
          </w:tcPr>
          <w:p w14:paraId="632EE47F" w14:textId="77777777" w:rsidR="00F50542" w:rsidRPr="00800B65" w:rsidRDefault="00F50542" w:rsidP="00F50542">
            <w:pPr>
              <w:spacing w:after="60" w:line="240" w:lineRule="auto"/>
              <w:jc w:val="both"/>
              <w:rPr>
                <w:rFonts w:cs="Times New Roman"/>
                <w:i/>
                <w:noProof/>
                <w:sz w:val="18"/>
                <w:szCs w:val="18"/>
              </w:rPr>
            </w:pPr>
          </w:p>
        </w:tc>
        <w:tc>
          <w:tcPr>
            <w:tcW w:w="1622" w:type="dxa"/>
          </w:tcPr>
          <w:p w14:paraId="1900BB13"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4C1580B3"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6FF720BA" w14:textId="77777777" w:rsidR="00F50542" w:rsidRPr="00800B65" w:rsidRDefault="00F50542" w:rsidP="00F50542">
            <w:pPr>
              <w:spacing w:after="60" w:line="240" w:lineRule="auto"/>
              <w:jc w:val="both"/>
              <w:rPr>
                <w:rFonts w:cs="Times New Roman"/>
                <w:i/>
                <w:noProof/>
                <w:sz w:val="18"/>
                <w:szCs w:val="18"/>
              </w:rPr>
            </w:pPr>
          </w:p>
        </w:tc>
        <w:tc>
          <w:tcPr>
            <w:tcW w:w="1222" w:type="dxa"/>
          </w:tcPr>
          <w:p w14:paraId="76AF6745" w14:textId="77777777" w:rsidR="00F50542" w:rsidRPr="00800B65" w:rsidRDefault="00F50542" w:rsidP="00F50542">
            <w:pPr>
              <w:spacing w:after="60" w:line="240" w:lineRule="auto"/>
              <w:jc w:val="both"/>
              <w:rPr>
                <w:rFonts w:cs="Times New Roman"/>
                <w:i/>
                <w:noProof/>
                <w:sz w:val="18"/>
                <w:szCs w:val="18"/>
              </w:rPr>
            </w:pPr>
          </w:p>
        </w:tc>
        <w:tc>
          <w:tcPr>
            <w:tcW w:w="1210" w:type="dxa"/>
          </w:tcPr>
          <w:p w14:paraId="4219AAE4" w14:textId="77777777" w:rsidR="00F50542" w:rsidRPr="00800B65" w:rsidRDefault="00F50542" w:rsidP="00F50542">
            <w:pPr>
              <w:spacing w:after="60" w:line="240" w:lineRule="auto"/>
              <w:jc w:val="both"/>
              <w:rPr>
                <w:rFonts w:cs="Times New Roman"/>
                <w:i/>
                <w:noProof/>
                <w:sz w:val="18"/>
                <w:szCs w:val="18"/>
              </w:rPr>
            </w:pPr>
          </w:p>
        </w:tc>
        <w:tc>
          <w:tcPr>
            <w:tcW w:w="1865" w:type="dxa"/>
          </w:tcPr>
          <w:p w14:paraId="6DBDCB29" w14:textId="77777777" w:rsidR="00F50542" w:rsidRPr="00800B65" w:rsidRDefault="00F50542" w:rsidP="00F50542">
            <w:pPr>
              <w:spacing w:after="60" w:line="240" w:lineRule="auto"/>
              <w:jc w:val="both"/>
              <w:rPr>
                <w:rFonts w:cs="Times New Roman"/>
                <w:i/>
                <w:noProof/>
                <w:sz w:val="18"/>
                <w:szCs w:val="18"/>
              </w:rPr>
            </w:pPr>
          </w:p>
        </w:tc>
      </w:tr>
      <w:tr w:rsidR="00F50542" w:rsidRPr="00F50542" w14:paraId="79E0B6AD" w14:textId="77777777" w:rsidTr="00800B65">
        <w:tc>
          <w:tcPr>
            <w:tcW w:w="1168" w:type="dxa"/>
            <w:vMerge/>
          </w:tcPr>
          <w:p w14:paraId="049799BB" w14:textId="77777777" w:rsidR="00F50542" w:rsidRPr="00800B65" w:rsidRDefault="00F50542" w:rsidP="00F50542">
            <w:pPr>
              <w:spacing w:after="60" w:line="240" w:lineRule="auto"/>
              <w:jc w:val="both"/>
              <w:rPr>
                <w:rFonts w:cs="Times New Roman"/>
                <w:i/>
                <w:noProof/>
                <w:sz w:val="18"/>
                <w:szCs w:val="18"/>
              </w:rPr>
            </w:pPr>
          </w:p>
        </w:tc>
        <w:tc>
          <w:tcPr>
            <w:tcW w:w="1237" w:type="dxa"/>
            <w:vMerge/>
          </w:tcPr>
          <w:p w14:paraId="46F140D9" w14:textId="77777777" w:rsidR="00F50542" w:rsidRPr="00800B65" w:rsidRDefault="00F50542" w:rsidP="00F50542">
            <w:pPr>
              <w:spacing w:after="60" w:line="240" w:lineRule="auto"/>
              <w:jc w:val="both"/>
              <w:rPr>
                <w:rFonts w:cs="Times New Roman"/>
                <w:i/>
                <w:noProof/>
                <w:sz w:val="18"/>
                <w:szCs w:val="18"/>
              </w:rPr>
            </w:pPr>
          </w:p>
        </w:tc>
        <w:tc>
          <w:tcPr>
            <w:tcW w:w="1545" w:type="dxa"/>
          </w:tcPr>
          <w:p w14:paraId="30519B3A" w14:textId="77777777" w:rsidR="00F50542" w:rsidRPr="00800B65" w:rsidRDefault="00F50542" w:rsidP="00F50542">
            <w:pPr>
              <w:spacing w:line="240" w:lineRule="auto"/>
              <w:jc w:val="both"/>
              <w:rPr>
                <w:rFonts w:cs="Times New Roman"/>
                <w:i/>
                <w:noProof/>
                <w:sz w:val="18"/>
                <w:szCs w:val="18"/>
              </w:rPr>
            </w:pPr>
            <w:r>
              <w:rPr>
                <w:i/>
                <w:sz w:val="18"/>
                <w:szCs w:val="18"/>
              </w:rPr>
              <w:t>PKTZ Grenlandia</w:t>
            </w:r>
            <w:r w:rsidRPr="00800B65">
              <w:rPr>
                <w:rFonts w:cs="Times New Roman"/>
                <w:i/>
                <w:noProof/>
                <w:sz w:val="18"/>
                <w:szCs w:val="18"/>
                <w:vertAlign w:val="superscript"/>
              </w:rPr>
              <w:footnoteReference w:id="13"/>
            </w:r>
          </w:p>
        </w:tc>
        <w:tc>
          <w:tcPr>
            <w:tcW w:w="1533" w:type="dxa"/>
          </w:tcPr>
          <w:p w14:paraId="45BCC41B" w14:textId="77777777" w:rsidR="00F50542" w:rsidRPr="00800B65" w:rsidRDefault="00F50542" w:rsidP="00F50542">
            <w:pPr>
              <w:spacing w:after="60" w:line="240" w:lineRule="auto"/>
              <w:jc w:val="both"/>
              <w:rPr>
                <w:rFonts w:cs="Times New Roman"/>
                <w:i/>
                <w:noProof/>
                <w:sz w:val="18"/>
                <w:szCs w:val="18"/>
              </w:rPr>
            </w:pPr>
          </w:p>
        </w:tc>
        <w:tc>
          <w:tcPr>
            <w:tcW w:w="1696" w:type="dxa"/>
          </w:tcPr>
          <w:p w14:paraId="75BC16F2" w14:textId="77777777" w:rsidR="00F50542" w:rsidRPr="00800B65" w:rsidRDefault="00F50542" w:rsidP="00F50542">
            <w:pPr>
              <w:spacing w:after="60" w:line="240" w:lineRule="auto"/>
              <w:jc w:val="both"/>
              <w:rPr>
                <w:rFonts w:cs="Times New Roman"/>
                <w:i/>
                <w:noProof/>
                <w:sz w:val="18"/>
                <w:szCs w:val="18"/>
              </w:rPr>
            </w:pPr>
          </w:p>
        </w:tc>
        <w:tc>
          <w:tcPr>
            <w:tcW w:w="1622" w:type="dxa"/>
          </w:tcPr>
          <w:p w14:paraId="4BC94BA2"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04675A4D"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0BFFE44A" w14:textId="77777777" w:rsidR="00F50542" w:rsidRPr="00800B65" w:rsidRDefault="00F50542" w:rsidP="00F50542">
            <w:pPr>
              <w:spacing w:after="60" w:line="240" w:lineRule="auto"/>
              <w:jc w:val="both"/>
              <w:rPr>
                <w:rFonts w:cs="Times New Roman"/>
                <w:i/>
                <w:noProof/>
                <w:sz w:val="18"/>
                <w:szCs w:val="18"/>
              </w:rPr>
            </w:pPr>
          </w:p>
        </w:tc>
        <w:tc>
          <w:tcPr>
            <w:tcW w:w="1222" w:type="dxa"/>
          </w:tcPr>
          <w:p w14:paraId="72E593B7" w14:textId="77777777" w:rsidR="00F50542" w:rsidRPr="00800B65" w:rsidRDefault="00F50542" w:rsidP="00F50542">
            <w:pPr>
              <w:spacing w:after="60" w:line="240" w:lineRule="auto"/>
              <w:jc w:val="both"/>
              <w:rPr>
                <w:rFonts w:cs="Times New Roman"/>
                <w:i/>
                <w:noProof/>
                <w:sz w:val="18"/>
                <w:szCs w:val="18"/>
              </w:rPr>
            </w:pPr>
          </w:p>
        </w:tc>
        <w:tc>
          <w:tcPr>
            <w:tcW w:w="1210" w:type="dxa"/>
          </w:tcPr>
          <w:p w14:paraId="6C60D375" w14:textId="77777777" w:rsidR="00F50542" w:rsidRPr="00800B65" w:rsidRDefault="00F50542" w:rsidP="00F50542">
            <w:pPr>
              <w:spacing w:after="60" w:line="240" w:lineRule="auto"/>
              <w:jc w:val="both"/>
              <w:rPr>
                <w:rFonts w:cs="Times New Roman"/>
                <w:i/>
                <w:noProof/>
                <w:sz w:val="18"/>
                <w:szCs w:val="18"/>
              </w:rPr>
            </w:pPr>
          </w:p>
        </w:tc>
        <w:tc>
          <w:tcPr>
            <w:tcW w:w="1865" w:type="dxa"/>
          </w:tcPr>
          <w:p w14:paraId="599D12A2" w14:textId="77777777" w:rsidR="00F50542" w:rsidRPr="00800B65" w:rsidRDefault="00F50542" w:rsidP="00F50542">
            <w:pPr>
              <w:spacing w:after="60" w:line="240" w:lineRule="auto"/>
              <w:jc w:val="both"/>
              <w:rPr>
                <w:rFonts w:cs="Times New Roman"/>
                <w:i/>
                <w:noProof/>
                <w:sz w:val="18"/>
                <w:szCs w:val="18"/>
              </w:rPr>
            </w:pPr>
          </w:p>
        </w:tc>
      </w:tr>
      <w:tr w:rsidR="00F50542" w:rsidRPr="00F50542" w14:paraId="3570D2B8" w14:textId="77777777" w:rsidTr="00800B65">
        <w:tc>
          <w:tcPr>
            <w:tcW w:w="1168" w:type="dxa"/>
            <w:vMerge/>
          </w:tcPr>
          <w:p w14:paraId="3CCD0548" w14:textId="77777777" w:rsidR="00F50542" w:rsidRPr="00800B65" w:rsidRDefault="00F50542" w:rsidP="00F50542">
            <w:pPr>
              <w:spacing w:after="60" w:line="240" w:lineRule="auto"/>
              <w:jc w:val="both"/>
              <w:rPr>
                <w:rFonts w:cs="Times New Roman"/>
                <w:i/>
                <w:noProof/>
                <w:sz w:val="18"/>
                <w:szCs w:val="18"/>
              </w:rPr>
            </w:pPr>
          </w:p>
        </w:tc>
        <w:tc>
          <w:tcPr>
            <w:tcW w:w="1237" w:type="dxa"/>
            <w:vMerge/>
          </w:tcPr>
          <w:p w14:paraId="20506D81" w14:textId="77777777" w:rsidR="00F50542" w:rsidRPr="00800B65" w:rsidRDefault="00F50542" w:rsidP="00F50542">
            <w:pPr>
              <w:spacing w:after="60" w:line="240" w:lineRule="auto"/>
              <w:jc w:val="both"/>
              <w:rPr>
                <w:rFonts w:cs="Times New Roman"/>
                <w:i/>
                <w:noProof/>
                <w:sz w:val="18"/>
                <w:szCs w:val="18"/>
              </w:rPr>
            </w:pPr>
          </w:p>
        </w:tc>
        <w:tc>
          <w:tcPr>
            <w:tcW w:w="1545" w:type="dxa"/>
          </w:tcPr>
          <w:p w14:paraId="4885B93E" w14:textId="77777777" w:rsidR="00F50542" w:rsidRPr="00800B65" w:rsidRDefault="00F50542" w:rsidP="00F50542">
            <w:pPr>
              <w:spacing w:line="240" w:lineRule="auto"/>
              <w:jc w:val="both"/>
              <w:rPr>
                <w:rFonts w:cs="Times New Roman"/>
                <w:i/>
                <w:noProof/>
                <w:sz w:val="18"/>
                <w:szCs w:val="18"/>
              </w:rPr>
            </w:pPr>
            <w:r>
              <w:rPr>
                <w:i/>
                <w:sz w:val="18"/>
                <w:szCs w:val="18"/>
              </w:rPr>
              <w:t>PKTZ</w:t>
            </w:r>
            <w:r w:rsidRPr="00800B65">
              <w:rPr>
                <w:rFonts w:cs="Times New Roman"/>
                <w:i/>
                <w:noProof/>
                <w:sz w:val="18"/>
                <w:szCs w:val="18"/>
                <w:vertAlign w:val="superscript"/>
              </w:rPr>
              <w:footnoteReference w:id="14"/>
            </w:r>
          </w:p>
        </w:tc>
        <w:tc>
          <w:tcPr>
            <w:tcW w:w="1533" w:type="dxa"/>
          </w:tcPr>
          <w:p w14:paraId="4D204F06" w14:textId="77777777" w:rsidR="00F50542" w:rsidRPr="00800B65" w:rsidRDefault="00F50542" w:rsidP="00F50542">
            <w:pPr>
              <w:spacing w:after="60" w:line="240" w:lineRule="auto"/>
              <w:jc w:val="both"/>
              <w:rPr>
                <w:rFonts w:cs="Times New Roman"/>
                <w:i/>
                <w:noProof/>
                <w:sz w:val="18"/>
                <w:szCs w:val="18"/>
              </w:rPr>
            </w:pPr>
          </w:p>
        </w:tc>
        <w:tc>
          <w:tcPr>
            <w:tcW w:w="1696" w:type="dxa"/>
          </w:tcPr>
          <w:p w14:paraId="6B84684D" w14:textId="77777777" w:rsidR="00F50542" w:rsidRPr="00800B65" w:rsidRDefault="00F50542" w:rsidP="00F50542">
            <w:pPr>
              <w:spacing w:after="60" w:line="240" w:lineRule="auto"/>
              <w:jc w:val="both"/>
              <w:rPr>
                <w:rFonts w:cs="Times New Roman"/>
                <w:i/>
                <w:noProof/>
                <w:sz w:val="18"/>
                <w:szCs w:val="18"/>
              </w:rPr>
            </w:pPr>
          </w:p>
        </w:tc>
        <w:tc>
          <w:tcPr>
            <w:tcW w:w="1622" w:type="dxa"/>
          </w:tcPr>
          <w:p w14:paraId="51A24AFB"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5A236682"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1B207593" w14:textId="77777777" w:rsidR="00F50542" w:rsidRPr="00800B65" w:rsidRDefault="00F50542" w:rsidP="00F50542">
            <w:pPr>
              <w:spacing w:after="60" w:line="240" w:lineRule="auto"/>
              <w:jc w:val="both"/>
              <w:rPr>
                <w:rFonts w:cs="Times New Roman"/>
                <w:i/>
                <w:noProof/>
                <w:sz w:val="18"/>
                <w:szCs w:val="18"/>
              </w:rPr>
            </w:pPr>
          </w:p>
        </w:tc>
        <w:tc>
          <w:tcPr>
            <w:tcW w:w="1222" w:type="dxa"/>
          </w:tcPr>
          <w:p w14:paraId="474B54E7" w14:textId="77777777" w:rsidR="00F50542" w:rsidRPr="00800B65" w:rsidRDefault="00F50542" w:rsidP="00F50542">
            <w:pPr>
              <w:spacing w:after="60" w:line="240" w:lineRule="auto"/>
              <w:jc w:val="both"/>
              <w:rPr>
                <w:rFonts w:cs="Times New Roman"/>
                <w:i/>
                <w:noProof/>
                <w:sz w:val="18"/>
                <w:szCs w:val="18"/>
              </w:rPr>
            </w:pPr>
          </w:p>
        </w:tc>
        <w:tc>
          <w:tcPr>
            <w:tcW w:w="1210" w:type="dxa"/>
          </w:tcPr>
          <w:p w14:paraId="30050D37" w14:textId="77777777" w:rsidR="00F50542" w:rsidRPr="00800B65" w:rsidRDefault="00F50542" w:rsidP="00F50542">
            <w:pPr>
              <w:spacing w:after="60" w:line="240" w:lineRule="auto"/>
              <w:jc w:val="both"/>
              <w:rPr>
                <w:rFonts w:cs="Times New Roman"/>
                <w:i/>
                <w:noProof/>
                <w:sz w:val="18"/>
                <w:szCs w:val="18"/>
              </w:rPr>
            </w:pPr>
          </w:p>
        </w:tc>
        <w:tc>
          <w:tcPr>
            <w:tcW w:w="1865" w:type="dxa"/>
          </w:tcPr>
          <w:p w14:paraId="4CD8D504" w14:textId="77777777" w:rsidR="00F50542" w:rsidRPr="00800B65" w:rsidRDefault="00F50542" w:rsidP="00F50542">
            <w:pPr>
              <w:spacing w:after="60" w:line="240" w:lineRule="auto"/>
              <w:jc w:val="both"/>
              <w:rPr>
                <w:rFonts w:cs="Times New Roman"/>
                <w:i/>
                <w:noProof/>
                <w:sz w:val="18"/>
                <w:szCs w:val="18"/>
              </w:rPr>
            </w:pPr>
          </w:p>
        </w:tc>
      </w:tr>
      <w:tr w:rsidR="00F50542" w:rsidRPr="00F50542" w14:paraId="7CD95533" w14:textId="77777777" w:rsidTr="00800B65">
        <w:tc>
          <w:tcPr>
            <w:tcW w:w="1168" w:type="dxa"/>
            <w:vMerge/>
            <w:tcBorders>
              <w:bottom w:val="single" w:sz="4" w:space="0" w:color="auto"/>
            </w:tcBorders>
          </w:tcPr>
          <w:p w14:paraId="4450B5A2" w14:textId="77777777" w:rsidR="00F50542" w:rsidRPr="00800B65" w:rsidRDefault="00F50542" w:rsidP="00F50542">
            <w:pPr>
              <w:spacing w:after="60" w:line="240" w:lineRule="auto"/>
              <w:jc w:val="both"/>
              <w:rPr>
                <w:rFonts w:cs="Times New Roman"/>
                <w:i/>
                <w:noProof/>
                <w:sz w:val="18"/>
                <w:szCs w:val="18"/>
              </w:rPr>
            </w:pPr>
          </w:p>
        </w:tc>
        <w:tc>
          <w:tcPr>
            <w:tcW w:w="1237" w:type="dxa"/>
            <w:vMerge/>
          </w:tcPr>
          <w:p w14:paraId="6754EB0E" w14:textId="77777777" w:rsidR="00F50542" w:rsidRPr="00800B65" w:rsidRDefault="00F50542" w:rsidP="00F50542">
            <w:pPr>
              <w:spacing w:after="60" w:line="240" w:lineRule="auto"/>
              <w:jc w:val="both"/>
              <w:rPr>
                <w:rFonts w:cs="Times New Roman"/>
                <w:i/>
                <w:noProof/>
                <w:sz w:val="18"/>
                <w:szCs w:val="18"/>
              </w:rPr>
            </w:pPr>
          </w:p>
        </w:tc>
        <w:tc>
          <w:tcPr>
            <w:tcW w:w="1545" w:type="dxa"/>
          </w:tcPr>
          <w:p w14:paraId="3FCA64CF" w14:textId="77777777" w:rsidR="00F50542" w:rsidRPr="00800B65" w:rsidRDefault="00F50542" w:rsidP="00F50542">
            <w:pPr>
              <w:spacing w:line="240" w:lineRule="auto"/>
              <w:jc w:val="both"/>
              <w:rPr>
                <w:rFonts w:cs="Times New Roman"/>
                <w:i/>
                <w:noProof/>
                <w:sz w:val="18"/>
                <w:szCs w:val="18"/>
                <w:highlight w:val="yellow"/>
              </w:rPr>
            </w:pPr>
            <w:r>
              <w:rPr>
                <w:i/>
                <w:sz w:val="18"/>
                <w:szCs w:val="18"/>
              </w:rPr>
              <w:t xml:space="preserve">Fundusze </w:t>
            </w:r>
            <w:proofErr w:type="spellStart"/>
            <w:r>
              <w:rPr>
                <w:i/>
                <w:sz w:val="18"/>
                <w:szCs w:val="18"/>
              </w:rPr>
              <w:t>Interreg</w:t>
            </w:r>
            <w:proofErr w:type="spellEnd"/>
            <w:r w:rsidRPr="00800B65">
              <w:rPr>
                <w:rFonts w:cs="Times New Roman"/>
                <w:i/>
                <w:noProof/>
                <w:sz w:val="18"/>
                <w:szCs w:val="18"/>
                <w:vertAlign w:val="superscript"/>
              </w:rPr>
              <w:footnoteReference w:id="15"/>
            </w:r>
          </w:p>
        </w:tc>
        <w:tc>
          <w:tcPr>
            <w:tcW w:w="1533" w:type="dxa"/>
          </w:tcPr>
          <w:p w14:paraId="528A222E" w14:textId="77777777" w:rsidR="00F50542" w:rsidRPr="00800B65" w:rsidRDefault="00F50542" w:rsidP="00F50542">
            <w:pPr>
              <w:spacing w:after="60" w:line="240" w:lineRule="auto"/>
              <w:jc w:val="both"/>
              <w:rPr>
                <w:rFonts w:cs="Times New Roman"/>
                <w:i/>
                <w:noProof/>
                <w:sz w:val="18"/>
                <w:szCs w:val="18"/>
              </w:rPr>
            </w:pPr>
          </w:p>
        </w:tc>
        <w:tc>
          <w:tcPr>
            <w:tcW w:w="1696" w:type="dxa"/>
          </w:tcPr>
          <w:p w14:paraId="184E1568" w14:textId="77777777" w:rsidR="00F50542" w:rsidRPr="00800B65" w:rsidRDefault="00F50542" w:rsidP="00F50542">
            <w:pPr>
              <w:spacing w:after="60" w:line="240" w:lineRule="auto"/>
              <w:jc w:val="both"/>
              <w:rPr>
                <w:rFonts w:cs="Times New Roman"/>
                <w:i/>
                <w:noProof/>
                <w:sz w:val="18"/>
                <w:szCs w:val="18"/>
              </w:rPr>
            </w:pPr>
          </w:p>
        </w:tc>
        <w:tc>
          <w:tcPr>
            <w:tcW w:w="1622" w:type="dxa"/>
          </w:tcPr>
          <w:p w14:paraId="0697F054"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0DEB8D2D" w14:textId="77777777" w:rsidR="00F50542" w:rsidRPr="00800B65" w:rsidRDefault="00F50542" w:rsidP="00F50542">
            <w:pPr>
              <w:spacing w:after="60" w:line="240" w:lineRule="auto"/>
              <w:jc w:val="both"/>
              <w:rPr>
                <w:rFonts w:cs="Times New Roman"/>
                <w:i/>
                <w:noProof/>
                <w:sz w:val="18"/>
                <w:szCs w:val="18"/>
              </w:rPr>
            </w:pPr>
          </w:p>
        </w:tc>
        <w:tc>
          <w:tcPr>
            <w:tcW w:w="1145" w:type="dxa"/>
          </w:tcPr>
          <w:p w14:paraId="2093B5D7" w14:textId="77777777" w:rsidR="00F50542" w:rsidRPr="00800B65" w:rsidRDefault="00F50542" w:rsidP="00F50542">
            <w:pPr>
              <w:spacing w:after="60" w:line="240" w:lineRule="auto"/>
              <w:jc w:val="both"/>
              <w:rPr>
                <w:rFonts w:cs="Times New Roman"/>
                <w:i/>
                <w:noProof/>
                <w:sz w:val="18"/>
                <w:szCs w:val="18"/>
              </w:rPr>
            </w:pPr>
          </w:p>
        </w:tc>
        <w:tc>
          <w:tcPr>
            <w:tcW w:w="1222" w:type="dxa"/>
          </w:tcPr>
          <w:p w14:paraId="5DB3BF50" w14:textId="77777777" w:rsidR="00F50542" w:rsidRPr="00800B65" w:rsidRDefault="00F50542" w:rsidP="00F50542">
            <w:pPr>
              <w:spacing w:after="60" w:line="240" w:lineRule="auto"/>
              <w:jc w:val="both"/>
              <w:rPr>
                <w:rFonts w:cs="Times New Roman"/>
                <w:i/>
                <w:noProof/>
                <w:sz w:val="18"/>
                <w:szCs w:val="18"/>
              </w:rPr>
            </w:pPr>
          </w:p>
        </w:tc>
        <w:tc>
          <w:tcPr>
            <w:tcW w:w="1210" w:type="dxa"/>
          </w:tcPr>
          <w:p w14:paraId="53BF4178" w14:textId="77777777" w:rsidR="00F50542" w:rsidRPr="00800B65" w:rsidRDefault="00F50542" w:rsidP="00F50542">
            <w:pPr>
              <w:spacing w:after="60" w:line="240" w:lineRule="auto"/>
              <w:jc w:val="both"/>
              <w:rPr>
                <w:rFonts w:cs="Times New Roman"/>
                <w:i/>
                <w:noProof/>
                <w:sz w:val="18"/>
                <w:szCs w:val="18"/>
              </w:rPr>
            </w:pPr>
          </w:p>
        </w:tc>
        <w:tc>
          <w:tcPr>
            <w:tcW w:w="1865" w:type="dxa"/>
          </w:tcPr>
          <w:p w14:paraId="6B3F7787" w14:textId="77777777" w:rsidR="00F50542" w:rsidRPr="00800B65" w:rsidRDefault="00F50542" w:rsidP="00F50542">
            <w:pPr>
              <w:spacing w:after="60" w:line="240" w:lineRule="auto"/>
              <w:jc w:val="both"/>
              <w:rPr>
                <w:rFonts w:cs="Times New Roman"/>
                <w:i/>
                <w:noProof/>
                <w:sz w:val="18"/>
                <w:szCs w:val="18"/>
              </w:rPr>
            </w:pPr>
          </w:p>
        </w:tc>
      </w:tr>
      <w:tr w:rsidR="004C063B" w:rsidRPr="00F50542" w14:paraId="59E5ABDA" w14:textId="77777777" w:rsidTr="00800B65">
        <w:tc>
          <w:tcPr>
            <w:tcW w:w="1168" w:type="dxa"/>
            <w:shd w:val="pct25" w:color="auto" w:fill="auto"/>
          </w:tcPr>
          <w:p w14:paraId="611C277B" w14:textId="77777777" w:rsidR="004C063B" w:rsidRPr="00800B65" w:rsidRDefault="004C063B" w:rsidP="004C063B">
            <w:pPr>
              <w:spacing w:after="60" w:line="240" w:lineRule="auto"/>
              <w:jc w:val="both"/>
              <w:rPr>
                <w:rFonts w:cs="Times New Roman"/>
                <w:b/>
                <w:i/>
                <w:noProof/>
                <w:sz w:val="18"/>
                <w:szCs w:val="18"/>
              </w:rPr>
            </w:pPr>
          </w:p>
        </w:tc>
        <w:tc>
          <w:tcPr>
            <w:tcW w:w="1237" w:type="dxa"/>
          </w:tcPr>
          <w:p w14:paraId="1023806A" w14:textId="77777777" w:rsidR="004C063B" w:rsidRPr="00800B65" w:rsidRDefault="004C063B" w:rsidP="004C063B">
            <w:pPr>
              <w:spacing w:after="60" w:line="240" w:lineRule="auto"/>
              <w:jc w:val="both"/>
              <w:rPr>
                <w:rFonts w:cs="Times New Roman"/>
                <w:b/>
                <w:i/>
                <w:noProof/>
                <w:sz w:val="18"/>
                <w:szCs w:val="18"/>
              </w:rPr>
            </w:pPr>
            <w:r>
              <w:rPr>
                <w:b/>
                <w:i/>
                <w:sz w:val="18"/>
                <w:szCs w:val="18"/>
              </w:rPr>
              <w:t>Ogółem</w:t>
            </w:r>
          </w:p>
        </w:tc>
        <w:tc>
          <w:tcPr>
            <w:tcW w:w="1545" w:type="dxa"/>
          </w:tcPr>
          <w:p w14:paraId="3D02171C" w14:textId="77777777" w:rsidR="004C063B" w:rsidRPr="00800B65" w:rsidRDefault="004C063B" w:rsidP="004C063B">
            <w:pPr>
              <w:spacing w:after="60" w:line="240" w:lineRule="auto"/>
              <w:jc w:val="both"/>
              <w:rPr>
                <w:rFonts w:cs="Times New Roman"/>
                <w:b/>
                <w:i/>
                <w:noProof/>
                <w:sz w:val="18"/>
                <w:szCs w:val="18"/>
              </w:rPr>
            </w:pPr>
            <w:r>
              <w:rPr>
                <w:b/>
                <w:i/>
                <w:sz w:val="18"/>
                <w:szCs w:val="18"/>
              </w:rPr>
              <w:t>Fundusze łącznie</w:t>
            </w:r>
          </w:p>
        </w:tc>
        <w:tc>
          <w:tcPr>
            <w:tcW w:w="1533" w:type="dxa"/>
          </w:tcPr>
          <w:p w14:paraId="143D5448" w14:textId="3E38184D" w:rsidR="004C063B" w:rsidRPr="00800B65" w:rsidRDefault="004C063B" w:rsidP="004C063B">
            <w:pPr>
              <w:spacing w:after="60" w:line="240" w:lineRule="auto"/>
              <w:jc w:val="both"/>
              <w:rPr>
                <w:rFonts w:cs="Times New Roman"/>
                <w:i/>
                <w:noProof/>
                <w:sz w:val="18"/>
                <w:szCs w:val="18"/>
              </w:rPr>
            </w:pPr>
            <w:r>
              <w:rPr>
                <w:i/>
                <w:sz w:val="18"/>
                <w:szCs w:val="18"/>
              </w:rPr>
              <w:t>45 000 000</w:t>
            </w:r>
          </w:p>
        </w:tc>
        <w:tc>
          <w:tcPr>
            <w:tcW w:w="1696" w:type="dxa"/>
          </w:tcPr>
          <w:p w14:paraId="0FD71019" w14:textId="09090AA8" w:rsidR="004C063B" w:rsidRPr="00800B65" w:rsidRDefault="004C063B" w:rsidP="004C063B">
            <w:pPr>
              <w:spacing w:after="60" w:line="240" w:lineRule="auto"/>
              <w:jc w:val="both"/>
              <w:rPr>
                <w:rFonts w:cs="Times New Roman"/>
                <w:i/>
                <w:noProof/>
                <w:sz w:val="18"/>
                <w:szCs w:val="18"/>
              </w:rPr>
            </w:pPr>
            <w:r>
              <w:rPr>
                <w:i/>
                <w:sz w:val="18"/>
                <w:szCs w:val="18"/>
              </w:rPr>
              <w:t>45 000 000</w:t>
            </w:r>
          </w:p>
        </w:tc>
        <w:tc>
          <w:tcPr>
            <w:tcW w:w="1622" w:type="dxa"/>
          </w:tcPr>
          <w:p w14:paraId="48913C90" w14:textId="3AEA89DA" w:rsidR="004C063B" w:rsidRPr="00800B65" w:rsidRDefault="004C063B" w:rsidP="004C063B">
            <w:pPr>
              <w:spacing w:after="60" w:line="240" w:lineRule="auto"/>
              <w:jc w:val="both"/>
              <w:rPr>
                <w:rFonts w:cs="Times New Roman"/>
                <w:i/>
                <w:noProof/>
                <w:sz w:val="18"/>
                <w:szCs w:val="18"/>
              </w:rPr>
            </w:pPr>
            <w:r>
              <w:rPr>
                <w:i/>
                <w:sz w:val="18"/>
                <w:szCs w:val="18"/>
              </w:rPr>
              <w:t>11 250 000</w:t>
            </w:r>
          </w:p>
        </w:tc>
        <w:tc>
          <w:tcPr>
            <w:tcW w:w="1145" w:type="dxa"/>
          </w:tcPr>
          <w:p w14:paraId="06CD43F9" w14:textId="52B73A39" w:rsidR="004C063B" w:rsidRPr="00800B65" w:rsidRDefault="004C063B" w:rsidP="004C063B">
            <w:pPr>
              <w:spacing w:after="60" w:line="240" w:lineRule="auto"/>
              <w:jc w:val="both"/>
              <w:rPr>
                <w:rFonts w:cs="Times New Roman"/>
                <w:i/>
                <w:noProof/>
                <w:sz w:val="18"/>
                <w:szCs w:val="18"/>
              </w:rPr>
            </w:pPr>
            <w:r>
              <w:rPr>
                <w:i/>
                <w:sz w:val="18"/>
                <w:szCs w:val="18"/>
              </w:rPr>
              <w:t>11 250 000</w:t>
            </w:r>
          </w:p>
        </w:tc>
        <w:tc>
          <w:tcPr>
            <w:tcW w:w="1145" w:type="dxa"/>
          </w:tcPr>
          <w:p w14:paraId="0BB54AE7" w14:textId="5A41883A" w:rsidR="004C063B" w:rsidRPr="00800B65" w:rsidRDefault="004C063B" w:rsidP="004C063B">
            <w:pPr>
              <w:spacing w:after="60" w:line="240" w:lineRule="auto"/>
              <w:jc w:val="both"/>
              <w:rPr>
                <w:rFonts w:cs="Times New Roman"/>
                <w:i/>
                <w:noProof/>
                <w:sz w:val="18"/>
                <w:szCs w:val="18"/>
              </w:rPr>
            </w:pPr>
            <w:r>
              <w:rPr>
                <w:i/>
                <w:sz w:val="18"/>
                <w:szCs w:val="18"/>
              </w:rPr>
              <w:t>0</w:t>
            </w:r>
          </w:p>
        </w:tc>
        <w:tc>
          <w:tcPr>
            <w:tcW w:w="1222" w:type="dxa"/>
          </w:tcPr>
          <w:p w14:paraId="4507302C" w14:textId="1F140C03" w:rsidR="004C063B" w:rsidRPr="00800B65" w:rsidRDefault="004C063B" w:rsidP="004C063B">
            <w:pPr>
              <w:spacing w:after="60" w:line="240" w:lineRule="auto"/>
              <w:jc w:val="both"/>
              <w:rPr>
                <w:rFonts w:cs="Times New Roman"/>
                <w:i/>
                <w:noProof/>
                <w:sz w:val="18"/>
                <w:szCs w:val="18"/>
              </w:rPr>
            </w:pPr>
            <w:r>
              <w:rPr>
                <w:i/>
                <w:sz w:val="18"/>
                <w:szCs w:val="18"/>
              </w:rPr>
              <w:t>56 250 000</w:t>
            </w:r>
          </w:p>
        </w:tc>
        <w:tc>
          <w:tcPr>
            <w:tcW w:w="1210" w:type="dxa"/>
          </w:tcPr>
          <w:p w14:paraId="3FCFE0ED" w14:textId="5F1D9AFE" w:rsidR="004C063B" w:rsidRPr="00800B65" w:rsidRDefault="004C063B" w:rsidP="004C063B">
            <w:pPr>
              <w:spacing w:after="60" w:line="240" w:lineRule="auto"/>
              <w:jc w:val="both"/>
              <w:rPr>
                <w:rFonts w:cs="Times New Roman"/>
                <w:i/>
                <w:noProof/>
                <w:sz w:val="18"/>
                <w:szCs w:val="18"/>
              </w:rPr>
            </w:pPr>
            <w:r>
              <w:rPr>
                <w:i/>
                <w:sz w:val="18"/>
                <w:szCs w:val="18"/>
              </w:rPr>
              <w:t>20%</w:t>
            </w:r>
          </w:p>
        </w:tc>
        <w:tc>
          <w:tcPr>
            <w:tcW w:w="1865" w:type="dxa"/>
          </w:tcPr>
          <w:p w14:paraId="24F4AEE1" w14:textId="0DCFDC31" w:rsidR="004C063B" w:rsidRPr="00800B65" w:rsidRDefault="004C063B" w:rsidP="004C063B">
            <w:pPr>
              <w:spacing w:after="60" w:line="240" w:lineRule="auto"/>
              <w:jc w:val="both"/>
              <w:rPr>
                <w:rFonts w:cs="Times New Roman"/>
                <w:i/>
                <w:noProof/>
                <w:sz w:val="18"/>
                <w:szCs w:val="18"/>
              </w:rPr>
            </w:pPr>
            <w:r>
              <w:rPr>
                <w:i/>
                <w:sz w:val="18"/>
                <w:szCs w:val="18"/>
              </w:rPr>
              <w:t>162 800</w:t>
            </w:r>
          </w:p>
        </w:tc>
      </w:tr>
    </w:tbl>
    <w:p w14:paraId="5AFEBA49" w14:textId="77777777" w:rsidR="00F50542" w:rsidRPr="00F50542" w:rsidRDefault="00F50542" w:rsidP="00F50542">
      <w:pPr>
        <w:spacing w:after="120" w:line="240" w:lineRule="auto"/>
        <w:jc w:val="both"/>
        <w:rPr>
          <w:rFonts w:cs="Times New Roman"/>
          <w:i/>
          <w:noProof/>
          <w:szCs w:val="24"/>
          <w:lang w:val="en-GB"/>
        </w:rPr>
        <w:sectPr w:rsidR="00F50542" w:rsidRPr="00F505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pPr>
    </w:p>
    <w:p w14:paraId="793D7887" w14:textId="77777777" w:rsidR="00F50542" w:rsidRPr="00F50542" w:rsidRDefault="00F50542" w:rsidP="009D5413">
      <w:pPr>
        <w:keepNext/>
        <w:numPr>
          <w:ilvl w:val="0"/>
          <w:numId w:val="10"/>
        </w:numPr>
        <w:spacing w:before="240" w:after="240" w:line="240" w:lineRule="auto"/>
        <w:ind w:left="709" w:hanging="709"/>
        <w:rPr>
          <w:rFonts w:eastAsia="Times New Roman" w:cs="Times New Roman"/>
          <w:b/>
          <w:iCs/>
          <w:noProof/>
          <w:szCs w:val="24"/>
        </w:rPr>
      </w:pPr>
      <w:r>
        <w:rPr>
          <w:b/>
          <w:iCs/>
          <w:szCs w:val="24"/>
        </w:rPr>
        <w:lastRenderedPageBreak/>
        <w:t xml:space="preserve">Działania podjęte w celu zaangażowania odpowiednich partnerów programu w przygotowanie programu </w:t>
      </w:r>
      <w:proofErr w:type="spellStart"/>
      <w:r>
        <w:rPr>
          <w:b/>
          <w:iCs/>
          <w:szCs w:val="24"/>
        </w:rPr>
        <w:t>Interreg</w:t>
      </w:r>
      <w:proofErr w:type="spellEnd"/>
      <w:r>
        <w:rPr>
          <w:b/>
          <w:iCs/>
          <w:szCs w:val="24"/>
        </w:rPr>
        <w:t xml:space="preserve"> oraz rola tych partnerów programu we wdrażaniu, monitorowaniu i ocenie</w:t>
      </w:r>
    </w:p>
    <w:p w14:paraId="4645D678" w14:textId="77777777" w:rsidR="00F50542" w:rsidRPr="00F50542" w:rsidRDefault="00F50542" w:rsidP="00715013">
      <w:pPr>
        <w:keepNext/>
        <w:spacing w:after="200" w:line="240" w:lineRule="auto"/>
        <w:jc w:val="both"/>
        <w:rPr>
          <w:rFonts w:eastAsia="Times New Roman" w:cs="Times New Roman"/>
          <w:b/>
          <w:i/>
          <w:iCs/>
          <w:noProof/>
          <w:szCs w:val="24"/>
        </w:rPr>
      </w:pPr>
      <w:r>
        <w:rPr>
          <w:i/>
          <w:color w:val="000000"/>
          <w:szCs w:val="24"/>
        </w:rPr>
        <w:t>Odniesienie: Art. 17(4)(h)</w:t>
      </w:r>
    </w:p>
    <w:p w14:paraId="6C777560" w14:textId="63FABA6A" w:rsidR="00974BE5" w:rsidRPr="00D07D4F" w:rsidRDefault="00974BE5" w:rsidP="00D07D4F">
      <w:pPr>
        <w:pStyle w:val="Normalpararaph"/>
      </w:pPr>
      <w:r>
        <w:t>Identyfikacja odpowiednich interesariuszy leży w rękach Instytucji Zarządzającej (IZ) w porozumieniu z krajami uczestniczącymi w programie.  Budowanie partnerstwa jest zgodne z priorytetami programu i specyfiką terytorialną (a także wynikającymi z nich specyficznymi potrzebami programów). Włączone organizacje powinny mieć możliwość wniesienia wkładu do programu podczas jego przygotowywania i wdrażania</w:t>
      </w:r>
      <w:r w:rsidR="003751A0">
        <w:t xml:space="preserve"> lub podlegać potencjalnemu wpływowi ze strony programu</w:t>
      </w:r>
      <w:r>
        <w:t xml:space="preserve"> </w:t>
      </w:r>
      <w:proofErr w:type="spellStart"/>
      <w:r>
        <w:t>Interact</w:t>
      </w:r>
      <w:proofErr w:type="spellEnd"/>
      <w:r>
        <w:t>.</w:t>
      </w:r>
    </w:p>
    <w:p w14:paraId="3DDEE055" w14:textId="24CE6A72" w:rsidR="00EE62E3" w:rsidRDefault="00974BE5" w:rsidP="00172260">
      <w:pPr>
        <w:pStyle w:val="Normalpararaph"/>
        <w:rPr>
          <w:rFonts w:eastAsia="'Times New Roman'"/>
        </w:rPr>
      </w:pPr>
      <w:r>
        <w:t xml:space="preserve">Z tego powodu </w:t>
      </w:r>
      <w:proofErr w:type="spellStart"/>
      <w:r>
        <w:t>Interact</w:t>
      </w:r>
      <w:proofErr w:type="spellEnd"/>
      <w:r>
        <w:t xml:space="preserve"> ustalił następujące trzy zasady przewodnie:</w:t>
      </w:r>
    </w:p>
    <w:p w14:paraId="2A50F9DE" w14:textId="592DDB50" w:rsidR="00EE62E3" w:rsidRPr="00EE62E3" w:rsidRDefault="00EE62E3" w:rsidP="00740118">
      <w:pPr>
        <w:pStyle w:val="Numberedlist"/>
        <w:numPr>
          <w:ilvl w:val="0"/>
          <w:numId w:val="18"/>
        </w:numPr>
        <w:rPr>
          <w:rFonts w:eastAsia="'Times New Roman'"/>
        </w:rPr>
      </w:pPr>
      <w:r>
        <w:t>Znaczenie potencjalnych partnerów dla nadrzędnego celu programu, tj. celu s</w:t>
      </w:r>
      <w:r w:rsidR="00EB5F27">
        <w:t>pecyficznego</w:t>
      </w:r>
      <w:r>
        <w:t xml:space="preserve"> </w:t>
      </w:r>
      <w:proofErr w:type="spellStart"/>
      <w:r>
        <w:t>Interreg</w:t>
      </w:r>
      <w:proofErr w:type="spellEnd"/>
      <w:r>
        <w:t xml:space="preserve"> </w:t>
      </w:r>
      <w:r w:rsidR="00EB5F27">
        <w:t>„L</w:t>
      </w:r>
      <w:r>
        <w:t>epsz</w:t>
      </w:r>
      <w:r w:rsidR="00EB5F27">
        <w:t>e</w:t>
      </w:r>
      <w:r>
        <w:t xml:space="preserve"> zarządzanie współpracą</w:t>
      </w:r>
      <w:r w:rsidR="00EB5F27">
        <w:t>”</w:t>
      </w:r>
      <w:r>
        <w:t>,</w:t>
      </w:r>
    </w:p>
    <w:p w14:paraId="7F8E7D15" w14:textId="77777777" w:rsidR="00EE62E3" w:rsidRDefault="00EE62E3" w:rsidP="00740118">
      <w:pPr>
        <w:pStyle w:val="Numberedlist"/>
        <w:rPr>
          <w:rFonts w:eastAsia="'Times New Roman'"/>
        </w:rPr>
      </w:pPr>
      <w:r>
        <w:t xml:space="preserve">Specyfika terytorialna i </w:t>
      </w:r>
    </w:p>
    <w:p w14:paraId="18617AC1" w14:textId="77777777" w:rsidR="00974BE5" w:rsidRPr="00172260" w:rsidRDefault="00EE62E3" w:rsidP="00740118">
      <w:pPr>
        <w:pStyle w:val="Numberedlist"/>
      </w:pPr>
      <w:r>
        <w:t>Proporcjonalność podejścia.</w:t>
      </w:r>
    </w:p>
    <w:p w14:paraId="6EAEF5C8" w14:textId="4F4378DC" w:rsidR="00974BE5" w:rsidRDefault="00974BE5" w:rsidP="00172260">
      <w:pPr>
        <w:pStyle w:val="Normalpararaph"/>
      </w:pPr>
      <w:r>
        <w:t xml:space="preserve">W programie </w:t>
      </w:r>
      <w:proofErr w:type="spellStart"/>
      <w:r>
        <w:t>Interact</w:t>
      </w:r>
      <w:proofErr w:type="spellEnd"/>
      <w:r>
        <w:t xml:space="preserve"> IV, w którym żadne projekty w normalnych okolicznościach działania </w:t>
      </w:r>
      <w:proofErr w:type="spellStart"/>
      <w:r>
        <w:t>Interreg</w:t>
      </w:r>
      <w:proofErr w:type="spellEnd"/>
      <w:r>
        <w:t xml:space="preserve"> nie są finansowane, a usługi są oferowane społeczności </w:t>
      </w:r>
      <w:proofErr w:type="spellStart"/>
      <w:r>
        <w:t>Interreg</w:t>
      </w:r>
      <w:proofErr w:type="spellEnd"/>
      <w:r>
        <w:t xml:space="preserve"> a także podmiotom spoza tej społeczności, większość członków partnerstwa to grupy docelowe usług organizacji (patrz: sekcja 2.1.4) .</w:t>
      </w:r>
    </w:p>
    <w:p w14:paraId="4917F849" w14:textId="77777777" w:rsidR="00974BE5" w:rsidRDefault="00974BE5" w:rsidP="00172260">
      <w:pPr>
        <w:pStyle w:val="Subtitle1"/>
      </w:pPr>
      <w:r>
        <w:t>Znaczenie partnerów w kontekście celu programu</w:t>
      </w:r>
    </w:p>
    <w:p w14:paraId="379CE176" w14:textId="6A805FDE" w:rsidR="00974BE5" w:rsidRPr="00C7189A" w:rsidRDefault="00974BE5" w:rsidP="00C7189A">
      <w:pPr>
        <w:pStyle w:val="Normalpararaph"/>
      </w:pPr>
      <w:proofErr w:type="spellStart"/>
      <w:r>
        <w:t>Interact</w:t>
      </w:r>
      <w:proofErr w:type="spellEnd"/>
      <w:r>
        <w:t xml:space="preserve"> IV skupia się na celu s</w:t>
      </w:r>
      <w:r w:rsidR="00EB5F27">
        <w:t>pecyficznym</w:t>
      </w:r>
      <w:r>
        <w:t xml:space="preserve"> </w:t>
      </w:r>
      <w:proofErr w:type="spellStart"/>
      <w:r>
        <w:t>Interreg</w:t>
      </w:r>
      <w:proofErr w:type="spellEnd"/>
      <w:r>
        <w:t xml:space="preserve"> „Lepsze zarządzanie współpracą”, dlatego typem partnerów będą raczej instytucje, takie jak władze publiczne i administracyjne.</w:t>
      </w:r>
    </w:p>
    <w:p w14:paraId="188236A6" w14:textId="1DEAF46A" w:rsidR="00974BE5" w:rsidRPr="00C7189A" w:rsidRDefault="00974BE5" w:rsidP="00C7189A">
      <w:pPr>
        <w:pStyle w:val="Normalpararaph"/>
      </w:pPr>
      <w:r>
        <w:t xml:space="preserve">Mając na uwadze powyższe założenie, członkami partnerstwa powinny być organy odpowiedzialne za zarządzanie, wdrażanie i kontrolę programów </w:t>
      </w:r>
      <w:proofErr w:type="spellStart"/>
      <w:r>
        <w:t>Interreg</w:t>
      </w:r>
      <w:proofErr w:type="spellEnd"/>
      <w:r>
        <w:t xml:space="preserve"> (a także programów współpracy zewnętrznej, a w szczególnych przypadkach także programów</w:t>
      </w:r>
      <w:r w:rsidR="003751A0">
        <w:t xml:space="preserve"> </w:t>
      </w:r>
      <w:r w:rsidR="00DE5B9B">
        <w:t>krajowych i regionalnych</w:t>
      </w:r>
      <w:r>
        <w:t>), takie jak: Instytucje zarządzające, wspólne sekretariaty, organy zarządzające i weryfikujące, organy audytowe, przedstawiciele krajowi i pośrednio także beneficjenci projektów. Obejmuje to również konkretne strony i podmioty zainteresowane współpracą, takie jak: koordynatorzy strategii makroregionalnych i strategii dotyczących basenów morskich, Komisja Europejska, Parlament Europejski, Komitet Regionów, EUWT i inne.</w:t>
      </w:r>
    </w:p>
    <w:p w14:paraId="56773C6B" w14:textId="77777777" w:rsidR="00974BE5" w:rsidRPr="00C7189A" w:rsidRDefault="00974BE5" w:rsidP="00C7189A">
      <w:pPr>
        <w:pStyle w:val="Normalpararaph"/>
      </w:pPr>
      <w:r>
        <w:t xml:space="preserve">Ponadto, aby objąć część szkoleniową programu, </w:t>
      </w:r>
      <w:proofErr w:type="spellStart"/>
      <w:r>
        <w:t>Interact</w:t>
      </w:r>
      <w:proofErr w:type="spellEnd"/>
      <w:r>
        <w:t xml:space="preserve"> tworzy powiązania z podobnymi organami mającymi siedzibę w Europie (CPMR, MOT, AEBR, TESIM, CBIB+).</w:t>
      </w:r>
    </w:p>
    <w:p w14:paraId="3755C4F7" w14:textId="77777777" w:rsidR="00974BE5" w:rsidRDefault="00974BE5" w:rsidP="00172260">
      <w:pPr>
        <w:pStyle w:val="Subtitle1"/>
      </w:pPr>
      <w:r>
        <w:lastRenderedPageBreak/>
        <w:t>Specyfika terytorialna</w:t>
      </w:r>
    </w:p>
    <w:p w14:paraId="70720760" w14:textId="77777777" w:rsidR="00974BE5" w:rsidRDefault="00974BE5" w:rsidP="00172260">
      <w:pPr>
        <w:pStyle w:val="Normalpararaph"/>
      </w:pPr>
      <w:proofErr w:type="spellStart"/>
      <w:r>
        <w:t>Interact</w:t>
      </w:r>
      <w:proofErr w:type="spellEnd"/>
      <w:r>
        <w:t xml:space="preserve"> IV to program obejmujący swoim zakresem cały obszar UE oraz krajów stowarzyszonych, kandydujących na członków i sąsiadujących. Ściślej mówiąc: </w:t>
      </w:r>
      <w:proofErr w:type="spellStart"/>
      <w:r>
        <w:t>Interact</w:t>
      </w:r>
      <w:proofErr w:type="spellEnd"/>
      <w:r>
        <w:t xml:space="preserve"> IV obejmuje obszar UE oraz Norwegię i Szwajcarię jako kraje finansujące. Jednak w ramach </w:t>
      </w:r>
      <w:proofErr w:type="spellStart"/>
      <w:r>
        <w:t>Interact</w:t>
      </w:r>
      <w:proofErr w:type="spellEnd"/>
      <w:r>
        <w:t xml:space="preserve"> IV oferuje się również usługi dla programów współpracy zewnętrznej UE w oparciu o wcześniej określone potrzeby (</w:t>
      </w:r>
      <w:proofErr w:type="spellStart"/>
      <w:r>
        <w:t>Interreg</w:t>
      </w:r>
      <w:proofErr w:type="spellEnd"/>
      <w:r>
        <w:t xml:space="preserve"> IPA CBC, </w:t>
      </w:r>
      <w:proofErr w:type="spellStart"/>
      <w:r>
        <w:t>Interreg</w:t>
      </w:r>
      <w:proofErr w:type="spellEnd"/>
      <w:r>
        <w:t xml:space="preserve"> NEXT, OMR), tj. stara się zaangażować również odpowiednich partnerów z zaangażowanych państw trzecich (jeśli są bezpośrednio istotni dla realizacji programów </w:t>
      </w:r>
      <w:proofErr w:type="spellStart"/>
      <w:r>
        <w:t>Interreg</w:t>
      </w:r>
      <w:proofErr w:type="spellEnd"/>
      <w:r>
        <w:t>).</w:t>
      </w:r>
    </w:p>
    <w:p w14:paraId="6191F14C" w14:textId="77777777" w:rsidR="00974BE5" w:rsidRDefault="00974BE5" w:rsidP="00172260">
      <w:pPr>
        <w:pStyle w:val="Subtitle1"/>
      </w:pPr>
      <w:r>
        <w:t>Proporcjonalność podejścia</w:t>
      </w:r>
    </w:p>
    <w:p w14:paraId="36E2E187" w14:textId="77777777" w:rsidR="00974BE5" w:rsidRPr="00172260" w:rsidRDefault="00974BE5" w:rsidP="00172260">
      <w:pPr>
        <w:pStyle w:val="Normalpararaph"/>
      </w:pPr>
      <w:r>
        <w:t xml:space="preserve">Zastosowanie tej zasady w </w:t>
      </w:r>
      <w:proofErr w:type="spellStart"/>
      <w:r>
        <w:t>Interact</w:t>
      </w:r>
      <w:proofErr w:type="spellEnd"/>
      <w:r>
        <w:t xml:space="preserve"> IV oznacza utrzymanie liczby partnerów proporcjonalnie do wielkości programu i jego finansowania. Dofinansowanie programu wynosi około XXX EUR. Należy wziąć to pod uwagę podczas omawiania poziomów usług i zakresu dotarcia do klientów, tj. osób pracujących w programach i dla nich.</w:t>
      </w:r>
    </w:p>
    <w:p w14:paraId="38F2C79E" w14:textId="77777777" w:rsidR="00974BE5" w:rsidRDefault="00974BE5" w:rsidP="00172260">
      <w:pPr>
        <w:pStyle w:val="Normalpararaph"/>
      </w:pPr>
      <w:r>
        <w:t xml:space="preserve">W fazie przygotowania i wdrażania, </w:t>
      </w:r>
      <w:proofErr w:type="spellStart"/>
      <w:r>
        <w:t>Interact</w:t>
      </w:r>
      <w:proofErr w:type="spellEnd"/>
      <w:r>
        <w:t xml:space="preserve"> IV będzie w stanie zaangażować wielu partnerów. Biorąc pod uwagę fakt, że program obejmuje cały obszar UE (i więcej), udział w posiedzeniach Komitetu monitorującego jest ograniczony do reprezentacji organizacji patronackich na poziomie UE, co wskazano w rozporządzeniu delegowanym Komisji (UE) nr 240/2014 (Europejski kodeks postępowania w zakresie partnerstwa w ramach EFSI; Art.10 (2)). W tym przypadku część odpowiedzialności spoczywa zatem na państwach członkowskich, ponieważ – jak stanowi odpowiedni artykuł – zasada partnerstwa jest przestrzegana poprzez pryzmat wcześniejszego zaangażowania partnerów w przygotowanie komitetów.</w:t>
      </w:r>
    </w:p>
    <w:p w14:paraId="54E0CE7D" w14:textId="77777777" w:rsidR="00106374" w:rsidRDefault="00974BE5" w:rsidP="00172260">
      <w:pPr>
        <w:pStyle w:val="Subtitle1"/>
        <w:rPr>
          <w:rFonts w:eastAsia="'Times New Roman'"/>
        </w:rPr>
      </w:pPr>
      <w:r>
        <w:t>Działania podjęte w celu ułatwienia szerokiego zaangażowania i aktywnego udziału partnerów w przygotowaniu programu</w:t>
      </w:r>
    </w:p>
    <w:p w14:paraId="476AA208" w14:textId="77777777" w:rsidR="007C319B" w:rsidRPr="00961DA7" w:rsidRDefault="007C319B" w:rsidP="00154A16">
      <w:pPr>
        <w:shd w:val="clear" w:color="auto" w:fill="FFFFFF"/>
        <w:rPr>
          <w:rFonts w:eastAsia="'Times New Roman'" w:cs="Times New Roman"/>
          <w:color w:val="000000"/>
          <w:szCs w:val="24"/>
        </w:rPr>
      </w:pPr>
      <w:r>
        <w:rPr>
          <w:color w:val="000000"/>
          <w:szCs w:val="24"/>
        </w:rPr>
        <w:t xml:space="preserve">Programy </w:t>
      </w:r>
      <w:proofErr w:type="spellStart"/>
      <w:r>
        <w:rPr>
          <w:color w:val="000000"/>
          <w:szCs w:val="24"/>
        </w:rPr>
        <w:t>Interreg</w:t>
      </w:r>
      <w:proofErr w:type="spellEnd"/>
      <w:r>
        <w:rPr>
          <w:color w:val="000000"/>
          <w:szCs w:val="24"/>
        </w:rPr>
        <w:t xml:space="preserve"> są zobowiązane do przeprowadzenia konsultacji społecznych </w:t>
      </w:r>
    </w:p>
    <w:p w14:paraId="4A223F48" w14:textId="49F30CE7" w:rsidR="007C319B" w:rsidRPr="00961DA7" w:rsidRDefault="007C319B" w:rsidP="00154A16">
      <w:pPr>
        <w:shd w:val="clear" w:color="auto" w:fill="FFFFFF"/>
        <w:rPr>
          <w:rFonts w:eastAsia="'Times New Roman'" w:cs="Times New Roman"/>
          <w:color w:val="000000"/>
          <w:szCs w:val="24"/>
        </w:rPr>
      </w:pPr>
      <w:r>
        <w:rPr>
          <w:color w:val="000000"/>
          <w:szCs w:val="24"/>
        </w:rPr>
        <w:t xml:space="preserve">w celu „ułatwienia szerokiego zaangażowania i aktywnego udziału partnerów w przygotowaniu programu”. W przypadku </w:t>
      </w:r>
      <w:proofErr w:type="spellStart"/>
      <w:r>
        <w:rPr>
          <w:color w:val="000000"/>
          <w:szCs w:val="24"/>
        </w:rPr>
        <w:t>Interact</w:t>
      </w:r>
      <w:proofErr w:type="spellEnd"/>
      <w:r>
        <w:rPr>
          <w:color w:val="000000"/>
          <w:szCs w:val="24"/>
        </w:rPr>
        <w:t xml:space="preserve"> do partnerów tych należą programy </w:t>
      </w:r>
      <w:proofErr w:type="spellStart"/>
      <w:r>
        <w:rPr>
          <w:color w:val="000000"/>
          <w:szCs w:val="24"/>
        </w:rPr>
        <w:t>Interreg</w:t>
      </w:r>
      <w:proofErr w:type="spellEnd"/>
      <w:r>
        <w:rPr>
          <w:color w:val="000000"/>
          <w:szCs w:val="24"/>
        </w:rPr>
        <w:t xml:space="preserve">, interesariusze i użytkownicy usług w samorządach regionalnych i innych tego typu lokalizacjach.  Głównym celem konsultacji jest zidentyfikowanie wszelkich znaczących pominięć w dotychczasowym podejściu </w:t>
      </w:r>
      <w:proofErr w:type="spellStart"/>
      <w:r>
        <w:rPr>
          <w:color w:val="000000"/>
          <w:szCs w:val="24"/>
        </w:rPr>
        <w:t>Interact</w:t>
      </w:r>
      <w:proofErr w:type="spellEnd"/>
      <w:r>
        <w:rPr>
          <w:color w:val="000000"/>
          <w:szCs w:val="24"/>
        </w:rPr>
        <w:t xml:space="preserve"> IV, a także uzyskanie wszelkich dodatkowych informacji zwrotnych na temat sposobów usprawnienia programu, aby lepiej służył potrzebom przyszłych działań i podmiotów współpracujących. </w:t>
      </w:r>
    </w:p>
    <w:p w14:paraId="38E1D7AC" w14:textId="77777777" w:rsidR="007C319B" w:rsidRPr="00643B66" w:rsidRDefault="007C319B" w:rsidP="00154A16">
      <w:pPr>
        <w:shd w:val="clear" w:color="auto" w:fill="FFFFFF"/>
        <w:rPr>
          <w:rFonts w:eastAsia="'Times New Roman'" w:cs="Times New Roman"/>
          <w:color w:val="000000"/>
          <w:szCs w:val="24"/>
          <w:lang w:eastAsia="en-GB"/>
        </w:rPr>
      </w:pPr>
    </w:p>
    <w:p w14:paraId="7D835A35" w14:textId="34A90F31" w:rsidR="007C319B" w:rsidRPr="00961DA7" w:rsidRDefault="007C319B" w:rsidP="00154A16">
      <w:pPr>
        <w:shd w:val="clear" w:color="auto" w:fill="FFFFFF"/>
        <w:rPr>
          <w:rFonts w:eastAsia="'Times New Roman'" w:cs="Times New Roman"/>
          <w:color w:val="000000"/>
          <w:szCs w:val="24"/>
        </w:rPr>
      </w:pPr>
      <w:proofErr w:type="spellStart"/>
      <w:r>
        <w:rPr>
          <w:color w:val="000000"/>
          <w:szCs w:val="24"/>
        </w:rPr>
        <w:t>Interact</w:t>
      </w:r>
      <w:proofErr w:type="spellEnd"/>
      <w:r>
        <w:rPr>
          <w:color w:val="000000"/>
          <w:szCs w:val="24"/>
        </w:rPr>
        <w:t xml:space="preserve"> przeprowadził w ramach konsultacji publicznych w listopadzie 2020 r. ankietę i spotkanie konsultacyjne w sprawie (drugiego) projektu programu </w:t>
      </w:r>
      <w:proofErr w:type="spellStart"/>
      <w:r>
        <w:rPr>
          <w:color w:val="000000"/>
          <w:szCs w:val="24"/>
        </w:rPr>
        <w:t>Interact</w:t>
      </w:r>
      <w:proofErr w:type="spellEnd"/>
      <w:r>
        <w:rPr>
          <w:color w:val="000000"/>
          <w:szCs w:val="24"/>
        </w:rPr>
        <w:t xml:space="preserve"> IV, zaktualizowanego w </w:t>
      </w:r>
      <w:r>
        <w:rPr>
          <w:color w:val="000000"/>
          <w:szCs w:val="24"/>
        </w:rPr>
        <w:lastRenderedPageBreak/>
        <w:t xml:space="preserve">następstwie kluczowych informacji zwrotnych otrzymanych od październikowego Komitetu programowego.  Głównym celem konsultacji była próba zrozumienia, czy wystąpiły jakiekolwiek błędy, problemy lub pominięcia w opracowywaniu dokumentu programowego, a w szczególności proponowanych perspektyw stworzonych przy wsparciu Komitetu programowego i Zespołu zadaniowego. </w:t>
      </w:r>
    </w:p>
    <w:p w14:paraId="7852F93B" w14:textId="77777777" w:rsidR="00974BE5" w:rsidRPr="00961DA7" w:rsidRDefault="00974BE5" w:rsidP="00716193">
      <w:pPr>
        <w:pStyle w:val="Subtitle1"/>
        <w:rPr>
          <w:rFonts w:eastAsia="'Times New Roman'"/>
        </w:rPr>
      </w:pPr>
      <w:r>
        <w:t>Zaangażowanie partnerów podczas realizacji</w:t>
      </w:r>
    </w:p>
    <w:p w14:paraId="223054A8" w14:textId="77777777" w:rsidR="00974BE5" w:rsidRDefault="00974BE5" w:rsidP="00172260">
      <w:pPr>
        <w:pStyle w:val="Normalpararaph"/>
      </w:pPr>
      <w:proofErr w:type="spellStart"/>
      <w:r>
        <w:t>Interact</w:t>
      </w:r>
      <w:proofErr w:type="spellEnd"/>
      <w:r>
        <w:t xml:space="preserve"> ma na celu uwzględnienie opinii partnerów podczas wdrażania i oceny </w:t>
      </w:r>
      <w:proofErr w:type="spellStart"/>
      <w:r>
        <w:t>Interact</w:t>
      </w:r>
      <w:proofErr w:type="spellEnd"/>
      <w:r>
        <w:t xml:space="preserve"> IV. Dlatego też ich opinie zostaną uwzględnione w różnych propozycjach przeznaczonych do omówienia podczas procesów planowania i oceny działań </w:t>
      </w:r>
      <w:proofErr w:type="spellStart"/>
      <w:r>
        <w:t>Interact</w:t>
      </w:r>
      <w:proofErr w:type="spellEnd"/>
      <w:r>
        <w:t>, a także samego programu.</w:t>
      </w:r>
    </w:p>
    <w:p w14:paraId="332C6D33" w14:textId="47E7B7E6" w:rsidR="00974BE5" w:rsidRPr="00172260" w:rsidRDefault="00974BE5" w:rsidP="00172260">
      <w:pPr>
        <w:pStyle w:val="Normalpararaph"/>
      </w:pPr>
      <w:r>
        <w:t xml:space="preserve">Jak wskazano w sekcji dotyczącej proporcjonalności podejścia, w przypadku gdyby </w:t>
      </w:r>
      <w:proofErr w:type="spellStart"/>
      <w:r>
        <w:t>Interreg</w:t>
      </w:r>
      <w:proofErr w:type="spellEnd"/>
      <w:r>
        <w:t xml:space="preserve"> i inni partnerzy byli zainteresowani przesłaniem opinii na potrzeby dyskusji Komitetu monitorującego (KM), interesariusz powinien skontaktować się z krajow</w:t>
      </w:r>
      <w:r w:rsidR="003751A0">
        <w:t>ymi</w:t>
      </w:r>
      <w:r>
        <w:t xml:space="preserve"> osobami kontaktowymi / członkami KM lub </w:t>
      </w:r>
      <w:r w:rsidR="003751A0">
        <w:t>iż,</w:t>
      </w:r>
      <w:r>
        <w:t xml:space="preserve"> odpowiedzialnymi za zbieranie i kompilowanie danych wejściowych otrzymanych z odpowiednich terytoriów lub od interesariuszy. Potrzeby społeczności </w:t>
      </w:r>
      <w:proofErr w:type="spellStart"/>
      <w:r>
        <w:t>Interreg</w:t>
      </w:r>
      <w:proofErr w:type="spellEnd"/>
      <w:r>
        <w:t xml:space="preserve"> są regularnie oceniane poprzez: ankiety oceniające potrzeby, opinie zbierane podczas wydarzeń i liczne codzienne kontakty z osobami uczestniczącymi w programie. W celu wsparcia rozwoju ukierunkowanych usług, wszyscy partnerzy będą mieli możliwość uczestniczenia w corocznej ocenie potrzeb. Ocena potrzeb jest stałym elementem wspólnego rocznego planu prac, który jest zatwierdzany i monitorowany przez KM. Wreszcie partnerzy będą brani pod uwagę pod kątem udziału w procesie oceny (poprzez ukierunkowane ankiety).</w:t>
      </w:r>
    </w:p>
    <w:p w14:paraId="4A6611E5" w14:textId="1F86DD8E" w:rsidR="00974BE5" w:rsidRPr="00172260" w:rsidRDefault="00974BE5" w:rsidP="00172260">
      <w:pPr>
        <w:pStyle w:val="Normalpararaph"/>
      </w:pPr>
      <w:r>
        <w:t xml:space="preserve">Oprócz tych opcji, aby mieć coś do powiedzenia w systemie </w:t>
      </w:r>
      <w:proofErr w:type="spellStart"/>
      <w:r>
        <w:t>Interact</w:t>
      </w:r>
      <w:proofErr w:type="spellEnd"/>
      <w:r>
        <w:t xml:space="preserve"> IV, członkowie </w:t>
      </w:r>
      <w:r w:rsidR="00F870CC">
        <w:t xml:space="preserve">Komitetu Monitorującego </w:t>
      </w:r>
      <w:proofErr w:type="spellStart"/>
      <w:r>
        <w:t>Interact</w:t>
      </w:r>
      <w:proofErr w:type="spellEnd"/>
      <w:r>
        <w:t xml:space="preserve"> często reprezentują instytucje, jednostki lub biura odpowiedzialne za koordynację społeczności </w:t>
      </w:r>
      <w:proofErr w:type="spellStart"/>
      <w:r>
        <w:t>Interreg</w:t>
      </w:r>
      <w:proofErr w:type="spellEnd"/>
      <w:r>
        <w:t xml:space="preserve"> w swoich krajach. Dzięki temu osoby te są świadome specyficznych potrzeb i praktyk.</w:t>
      </w:r>
    </w:p>
    <w:p w14:paraId="48C96C43" w14:textId="77777777" w:rsidR="00974BE5" w:rsidRPr="0051187F" w:rsidRDefault="00974BE5" w:rsidP="0051187F">
      <w:pPr>
        <w:pStyle w:val="Normalpararaph"/>
      </w:pPr>
      <w:r>
        <w:t xml:space="preserve">W celu zapewnienia przejrzystości związanej z podejmowaniem decyzji </w:t>
      </w:r>
      <w:hyperlink>
        <w:r>
          <w:t>IZ opublikuje podsumowanie odpowiednich decyzji podjętych na posiedzeniach KM.</w:t>
        </w:r>
      </w:hyperlink>
    </w:p>
    <w:p w14:paraId="724B19A8" w14:textId="77777777" w:rsidR="004D1F9C" w:rsidRDefault="00C86107" w:rsidP="00C7189A">
      <w:pPr>
        <w:pStyle w:val="Subtitle1"/>
        <w:rPr>
          <w:rFonts w:eastAsia="'Times New Roman'"/>
        </w:rPr>
      </w:pPr>
      <w:r>
        <w:t>Podejście regionalne</w:t>
      </w:r>
    </w:p>
    <w:p w14:paraId="462441A2" w14:textId="77777777" w:rsidR="004D1F9C" w:rsidRDefault="00C86107" w:rsidP="00C7189A">
      <w:pPr>
        <w:pStyle w:val="Normalpararaph"/>
        <w:rPr>
          <w:rFonts w:ascii="'Times New Roman'" w:eastAsia="'Times New Roman'" w:hAnsi="'Times New Roman'"/>
        </w:rPr>
      </w:pPr>
      <w:r>
        <w:t>Mając na uwadze ambicje określone w trzech perspektywach opisanych w sekcji 2.1.1.1, bliski kontakt z naszymi interesariuszami będzie odgrywać kluczową rolę w osiągnięciu sukcesu w naszej pracy.</w:t>
      </w:r>
    </w:p>
    <w:p w14:paraId="77F6CA93" w14:textId="77777777" w:rsidR="004D1F9C" w:rsidRPr="004C6FE0" w:rsidRDefault="00C86107" w:rsidP="004C6FE0">
      <w:pPr>
        <w:pStyle w:val="Normalpararaph"/>
        <w:rPr>
          <w:rFonts w:eastAsia="'Times New Roman'"/>
        </w:rPr>
      </w:pPr>
      <w:r>
        <w:t xml:space="preserve">Praca z procedurami programu i ogólnymi strukturami zarządzania w celu uczynienia ich bardziej wydajnymi i skutecznymi wymaga dość dobrego zrozumienia tych procesów w ich kontekście </w:t>
      </w:r>
      <w:r>
        <w:lastRenderedPageBreak/>
        <w:t xml:space="preserve">lokalnym. Pomoże to określić granice możliwej harmonizacji i pokazać, że </w:t>
      </w:r>
      <w:proofErr w:type="spellStart"/>
      <w:r>
        <w:t>Interact</w:t>
      </w:r>
      <w:proofErr w:type="spellEnd"/>
      <w:r>
        <w:t xml:space="preserve"> rozumie argumenty za lub przeciw takim procesom.</w:t>
      </w:r>
    </w:p>
    <w:p w14:paraId="51C66ABA" w14:textId="13EE52C0" w:rsidR="004D1F9C" w:rsidRPr="004C6FE0" w:rsidRDefault="00C86107" w:rsidP="004C6FE0">
      <w:pPr>
        <w:pStyle w:val="Normalpararaph"/>
      </w:pPr>
      <w:r>
        <w:t xml:space="preserve">Zachęcanie do współpracy i koordynacji między podmiotami </w:t>
      </w:r>
      <w:proofErr w:type="spellStart"/>
      <w:r>
        <w:t>Interreg</w:t>
      </w:r>
      <w:proofErr w:type="spellEnd"/>
      <w:r>
        <w:t xml:space="preserve"> i/lub </w:t>
      </w:r>
      <w:r w:rsidR="00DE5B9B">
        <w:t>zaangażowanymi w realizację programów krajowych i regionalnych</w:t>
      </w:r>
      <w:r>
        <w:t xml:space="preserve"> cechuje się mocną perspektywą regionalną, a nawet krajową. Odbywa się to zawsze w kontekście ram terytorialnych i/lub politycznych (np. określone cele polityki, strategie inteligentnej specjalizacji itp.). Znajomość tych ram i śledzenie ich rozwoju pomaga zidentyfikować synergie, a tym samym największy potencjał współpracy, który może przynieść korzyści społeczności </w:t>
      </w:r>
      <w:proofErr w:type="spellStart"/>
      <w:r>
        <w:t>Interreg</w:t>
      </w:r>
      <w:proofErr w:type="spellEnd"/>
      <w:r>
        <w:t>.</w:t>
      </w:r>
    </w:p>
    <w:p w14:paraId="43F94F31" w14:textId="77777777" w:rsidR="00B65439" w:rsidRPr="004C6FE0" w:rsidRDefault="00345141" w:rsidP="004C6FE0">
      <w:pPr>
        <w:pStyle w:val="Normalpararaph"/>
        <w:rPr>
          <w:rFonts w:eastAsia="'Times New Roman'"/>
        </w:rPr>
      </w:pPr>
      <w:r>
        <w:t>Wreszcie, zgodnie z podejściem terytorialnym, większość wyników programu będzie miała wpływ i kontekst lokalny/regionalny. Zrozumienie tej różnorodności na poziomie regionalnym powinno pomóc lepiej zrozumieć wyniki, a tym samym – zidentyfikować dobry materiał komunikacyjny.</w:t>
      </w:r>
    </w:p>
    <w:p w14:paraId="47F3E1C0" w14:textId="6A00E001" w:rsidR="00CA292C" w:rsidRPr="004C6FE0" w:rsidRDefault="00345141" w:rsidP="004C6FE0">
      <w:pPr>
        <w:pStyle w:val="Normalpararaph"/>
        <w:rPr>
          <w:rFonts w:eastAsia="'Times New Roman'"/>
        </w:rPr>
      </w:pPr>
      <w:r>
        <w:t xml:space="preserve">Dlatego uważa się, że podejście regionalne zastosowane w </w:t>
      </w:r>
      <w:proofErr w:type="spellStart"/>
      <w:r>
        <w:t>Interact</w:t>
      </w:r>
      <w:proofErr w:type="spellEnd"/>
      <w:r>
        <w:t xml:space="preserve"> III może być w dużym stopniu wykorzystane w </w:t>
      </w:r>
      <w:proofErr w:type="spellStart"/>
      <w:r>
        <w:t>Interact</w:t>
      </w:r>
      <w:proofErr w:type="spellEnd"/>
      <w:r>
        <w:t xml:space="preserve"> IV, a bliskość i ukierunkowanie na grupy docelowe można dodatkowo zwiększyć. Bliskość grup docelowych oznacza, że zespół </w:t>
      </w:r>
      <w:proofErr w:type="spellStart"/>
      <w:r>
        <w:t>Interact</w:t>
      </w:r>
      <w:proofErr w:type="spellEnd"/>
      <w:r>
        <w:t xml:space="preserve"> zna interesariuszy, ich kulturę i język administracyjny, z czym się borykają i jakie są ich oczekiwania dotyczące wsparcia od </w:t>
      </w:r>
      <w:proofErr w:type="spellStart"/>
      <w:r>
        <w:t>Interact</w:t>
      </w:r>
      <w:proofErr w:type="spellEnd"/>
      <w:r>
        <w:t xml:space="preserve">. Dotyczy to głównie zakresu </w:t>
      </w:r>
      <w:proofErr w:type="spellStart"/>
      <w:r>
        <w:t>Interreg</w:t>
      </w:r>
      <w:proofErr w:type="spellEnd"/>
      <w:r>
        <w:t xml:space="preserve">, ale równie dobrze może pomóc w programach </w:t>
      </w:r>
      <w:r w:rsidR="00DE5B9B">
        <w:t>krajowych i regionalnych</w:t>
      </w:r>
      <w:r>
        <w:t>, tworząc nową grupę docelową.</w:t>
      </w:r>
    </w:p>
    <w:p w14:paraId="4E5FDAAC" w14:textId="137D17A6" w:rsidR="00B65439" w:rsidRPr="004C6FE0" w:rsidRDefault="00345141" w:rsidP="004C6FE0">
      <w:pPr>
        <w:pStyle w:val="Normalpararaph"/>
      </w:pPr>
      <w:r>
        <w:t xml:space="preserve">O ile będzie to właściwe, program mógłby dodatkowo wzmocnić swoją koordynację z </w:t>
      </w:r>
      <w:r w:rsidR="00D04F94">
        <w:t>koordynatorami krajowymi</w:t>
      </w:r>
      <w:r>
        <w:t xml:space="preserve"> i władzami krajowymi w celu skuteczniejszej integracji i harmonizacji inicjatyw w zakresie budowania zdolności i koordynacji prowadzonych na poziomie międzyregionalnym i krajowym. </w:t>
      </w:r>
      <w:r w:rsidR="00D04F94">
        <w:t>Koordynatorzy krajowi</w:t>
      </w:r>
      <w:r>
        <w:t xml:space="preserve"> mogą być również wspiera</w:t>
      </w:r>
      <w:r w:rsidR="00BA5202">
        <w:t>n</w:t>
      </w:r>
      <w:r w:rsidR="00D04F94">
        <w:t>i</w:t>
      </w:r>
      <w:r>
        <w:t xml:space="preserve"> za pomocą specjalnych narzędzi (opartych np. na uproszczonych</w:t>
      </w:r>
      <w:r w:rsidR="00D04F94">
        <w:t xml:space="preserve"> metodach rozliczeń</w:t>
      </w:r>
      <w:r>
        <w:t xml:space="preserve">) lub wiedzy fachowej itp. Pozwoliłoby to skuteczniej zająć się nową grupą docelową programów głównego nurtu. Lepsza komunikacja i dzielenie się wiedzą z tymi grupami oznacza również, że dobre praktyki zidentyfikowane w ramach usług regionalnych/krajowych mogą być szeroko promowane na różnych obszarach. Mając tak dobry przegląd terytorialny, łatwiej będzie ocenić, w jaki sposób </w:t>
      </w:r>
      <w:proofErr w:type="spellStart"/>
      <w:r>
        <w:t>Interact</w:t>
      </w:r>
      <w:proofErr w:type="spellEnd"/>
      <w:r>
        <w:t xml:space="preserve"> zaspokaja potrzeby konkretnych obszarów i upewnić się, że wszystkie obszary Europy są zaangażowane w </w:t>
      </w:r>
      <w:proofErr w:type="spellStart"/>
      <w:r>
        <w:t>Interact</w:t>
      </w:r>
      <w:proofErr w:type="spellEnd"/>
      <w:r>
        <w:t xml:space="preserve"> w zrównoważony sposób.</w:t>
      </w:r>
    </w:p>
    <w:p w14:paraId="4E54EA73" w14:textId="77777777" w:rsidR="00B65439" w:rsidRPr="00716193" w:rsidRDefault="00345141" w:rsidP="00716193">
      <w:pPr>
        <w:pStyle w:val="Subtitle1"/>
      </w:pPr>
      <w:r>
        <w:t>Zasady</w:t>
      </w:r>
    </w:p>
    <w:p w14:paraId="2AB3222F" w14:textId="77777777" w:rsidR="00B65439" w:rsidRPr="004C6FE0" w:rsidRDefault="00345141" w:rsidP="000E208A">
      <w:pPr>
        <w:pStyle w:val="Normalpararaph"/>
        <w:keepNext/>
      </w:pPr>
      <w:r>
        <w:t xml:space="preserve">Pracując z sieciami regionalnymi/krajowymi, Biura </w:t>
      </w:r>
      <w:proofErr w:type="spellStart"/>
      <w:r>
        <w:t>Interact</w:t>
      </w:r>
      <w:proofErr w:type="spellEnd"/>
      <w:r>
        <w:t xml:space="preserve"> kierują się następującymi zasadami:</w:t>
      </w:r>
    </w:p>
    <w:p w14:paraId="353327D6" w14:textId="77777777" w:rsidR="00B65439" w:rsidRPr="004C6FE0" w:rsidRDefault="00345141" w:rsidP="004C6FE0">
      <w:pPr>
        <w:pStyle w:val="Bulletedlist1"/>
        <w:keepNext/>
      </w:pPr>
      <w:r>
        <w:t>Zrównoważyć wysiłek/koszty/korzyści</w:t>
      </w:r>
    </w:p>
    <w:p w14:paraId="068C1084" w14:textId="4CCEFA7F" w:rsidR="00B65439" w:rsidRPr="004C6FE0" w:rsidRDefault="00345141" w:rsidP="004C6FE0">
      <w:pPr>
        <w:pStyle w:val="Normalpararaph"/>
        <w:ind w:left="340"/>
      </w:pPr>
      <w:r>
        <w:t xml:space="preserve">Ponieważ zasoby </w:t>
      </w:r>
      <w:proofErr w:type="spellStart"/>
      <w:r>
        <w:t>Interact</w:t>
      </w:r>
      <w:proofErr w:type="spellEnd"/>
      <w:r>
        <w:t xml:space="preserve"> są ograniczone, świadczone usługi są przeznaczone tylko dla określonego regionu, państwa członkowskiego lub określonej liczby programów tylko wtedy, gdy jest to najlepsza metoda świadczenia usługi dla potrzeb określonych dla tych interesariuszy. </w:t>
      </w:r>
      <w:r>
        <w:lastRenderedPageBreak/>
        <w:t>Podczas planowania działań skierowanych do określonych obszarów zachowana zostanie równowaga między podejściem regionalnym a wymianą między obszarami UE. Do celów promowania wzajemnej wymiany wiedzy, menedżerowie programów z obszaru regionalnego powinni mieć możliwość spotykania się i wymiany praktyk dotyczących programów z innych obszarów.</w:t>
      </w:r>
    </w:p>
    <w:p w14:paraId="46624E47" w14:textId="5ED79DAB" w:rsidR="00B65439" w:rsidRPr="004C6FE0" w:rsidRDefault="00345141" w:rsidP="004C6FE0">
      <w:pPr>
        <w:pStyle w:val="Bulletedlist1"/>
        <w:keepNext/>
      </w:pPr>
      <w:r>
        <w:t>Równo</w:t>
      </w:r>
      <w:r w:rsidR="006F237F">
        <w:t>rzędna rola języków narodowych i pochodzenia</w:t>
      </w:r>
      <w:r>
        <w:t xml:space="preserve"> </w:t>
      </w:r>
    </w:p>
    <w:p w14:paraId="4461C7B8" w14:textId="77777777" w:rsidR="00B65439" w:rsidRPr="004C6FE0" w:rsidRDefault="00345141" w:rsidP="004C6FE0">
      <w:pPr>
        <w:pStyle w:val="Normalpararaph"/>
        <w:ind w:left="340"/>
      </w:pPr>
      <w:r>
        <w:t xml:space="preserve">W profilu zespołu </w:t>
      </w:r>
      <w:proofErr w:type="spellStart"/>
      <w:r>
        <w:t>Interact</w:t>
      </w:r>
      <w:proofErr w:type="spellEnd"/>
      <w:r>
        <w:t xml:space="preserve"> zapewniona jest ogólna równowaga między różnymi językami i środowiskami administracyjnymi w różnych biurach. Niemniej jednak nie jest możliwe, aby zespoły </w:t>
      </w:r>
      <w:proofErr w:type="spellStart"/>
      <w:r>
        <w:t>Interact</w:t>
      </w:r>
      <w:proofErr w:type="spellEnd"/>
      <w:r>
        <w:t xml:space="preserve"> obejmowały wszystkie języki we wszystkich tematycznych dziedzinach wiedzy. Oficjalnym językiem programu jest język angielski, wszelkie usługi będą zatem świadczone w języku angielskim. Specyficzne dla regionu/kraju porady </w:t>
      </w:r>
      <w:r>
        <w:rPr>
          <w:i/>
          <w:iCs/>
        </w:rPr>
        <w:t>ad hoc</w:t>
      </w:r>
      <w:r>
        <w:t xml:space="preserve"> w językach narodowych są, w granicach zasobów i specjalistycznej wiedzy dostępnej w </w:t>
      </w:r>
      <w:proofErr w:type="spellStart"/>
      <w:r>
        <w:t>Interact</w:t>
      </w:r>
      <w:proofErr w:type="spellEnd"/>
      <w:r>
        <w:t>, nadal możliwe dzięki współpracy z krajowymi punktami kontaktowymi.</w:t>
      </w:r>
    </w:p>
    <w:p w14:paraId="7637B415" w14:textId="77777777" w:rsidR="00B65439" w:rsidRPr="004C6FE0" w:rsidRDefault="00345141" w:rsidP="004C6FE0">
      <w:pPr>
        <w:pStyle w:val="Bulletedlist1"/>
        <w:keepNext/>
      </w:pPr>
      <w:r>
        <w:t>Zdobywanie wiedzy regionalnej</w:t>
      </w:r>
    </w:p>
    <w:p w14:paraId="52048C74" w14:textId="77777777" w:rsidR="00B65439" w:rsidRPr="004C6FE0" w:rsidRDefault="00345141" w:rsidP="004C6FE0">
      <w:pPr>
        <w:pStyle w:val="Normalpararaph"/>
        <w:ind w:left="340"/>
        <w:rPr>
          <w:rFonts w:eastAsia="'Times New Roman'"/>
        </w:rPr>
      </w:pPr>
      <w:r>
        <w:t xml:space="preserve">Biura </w:t>
      </w:r>
      <w:proofErr w:type="spellStart"/>
      <w:r>
        <w:t>Interact</w:t>
      </w:r>
      <w:proofErr w:type="spellEnd"/>
      <w:r>
        <w:t xml:space="preserve"> nieustannie poszerzają wiedzę na temat programów i sieci krajowych w dziedzinie, która jest również przydatna w usługach horyzontalnych.</w:t>
      </w:r>
    </w:p>
    <w:p w14:paraId="138D1DAD" w14:textId="77777777" w:rsidR="00B65439" w:rsidRPr="004C6FE0" w:rsidRDefault="00345141" w:rsidP="004C6FE0">
      <w:pPr>
        <w:pStyle w:val="Bulletedlist1"/>
        <w:keepNext/>
      </w:pPr>
      <w:r>
        <w:t>Podejście do sieci otwartych</w:t>
      </w:r>
    </w:p>
    <w:p w14:paraId="27B84007" w14:textId="77777777" w:rsidR="00B65439" w:rsidRPr="004C6FE0" w:rsidRDefault="00345141" w:rsidP="004C6FE0">
      <w:pPr>
        <w:pStyle w:val="Normalpararaph"/>
        <w:ind w:left="340"/>
        <w:rPr>
          <w:rFonts w:eastAsia="'Times New Roman'"/>
        </w:rPr>
      </w:pPr>
      <w:r>
        <w:t xml:space="preserve">Sieć wiedzy jest siłą rzeczy otwarta, ponieważ tworzenie/udostępnianie wiedzy w zamkniętych kręgach osób jest bardzo ograniczone. Sieci regionalne i krajowe będą również korzystać z ogólnoeuropejskiej wiedzy dostarczanej przez </w:t>
      </w:r>
      <w:proofErr w:type="spellStart"/>
      <w:r>
        <w:t>Interact</w:t>
      </w:r>
      <w:proofErr w:type="spellEnd"/>
      <w:r>
        <w:t xml:space="preserve"> lub podmiotów zewnętrznych. Dlatego każda usługa ukierunkowana geograficznie będzie zawierała z zasady przykłady z zewnątrz. Aby umożliwić rzeczywistą wymianę wiedzy, udział w spotkaniach sieci jest ogólnie otwarty.</w:t>
      </w:r>
    </w:p>
    <w:p w14:paraId="627D1FA3" w14:textId="10C88A9B" w:rsidR="00B65439" w:rsidRPr="004C6FE0" w:rsidRDefault="00345141" w:rsidP="004C6FE0">
      <w:pPr>
        <w:pStyle w:val="Bulletedlist1"/>
        <w:keepNext/>
      </w:pPr>
      <w:r>
        <w:t xml:space="preserve">Praca oparta na </w:t>
      </w:r>
      <w:r w:rsidR="00BA5202">
        <w:t>realnych potrzebach</w:t>
      </w:r>
    </w:p>
    <w:p w14:paraId="75339AE9" w14:textId="77777777" w:rsidR="00B65439" w:rsidRPr="004C6FE0" w:rsidRDefault="00345141" w:rsidP="004C6FE0">
      <w:pPr>
        <w:pStyle w:val="Normalpararaph"/>
        <w:ind w:left="340"/>
      </w:pPr>
      <w:r>
        <w:t xml:space="preserve">Podstawową zasadą zapewniającą dobre działanie sieci regionalnych jest fakt, że mają one rzeczywistą i konkretną potrzebę lub zainteresowanie współpracą i wymianą. Dlatego klucz do sukcesu opiera się w całości na tematach, które zostaną uzgodnione zarówno przez </w:t>
      </w:r>
      <w:proofErr w:type="spellStart"/>
      <w:r>
        <w:t>Interact</w:t>
      </w:r>
      <w:proofErr w:type="spellEnd"/>
      <w:r>
        <w:t xml:space="preserve">, jak i członków tych sieci, biorąc pod uwagę potrzeby i zainteresowania mniej i bardziej doświadczonych pracowników </w:t>
      </w:r>
      <w:proofErr w:type="spellStart"/>
      <w:r>
        <w:t>Interreg</w:t>
      </w:r>
      <w:proofErr w:type="spellEnd"/>
      <w:r>
        <w:t>.</w:t>
      </w:r>
    </w:p>
    <w:p w14:paraId="57CACFA9" w14:textId="7F8B2EDE" w:rsidR="00B65439" w:rsidRPr="00716193" w:rsidRDefault="00BA5202" w:rsidP="00716193">
      <w:pPr>
        <w:pStyle w:val="Subtitle1"/>
      </w:pPr>
      <w:r>
        <w:t>Z</w:t>
      </w:r>
      <w:r w:rsidR="006F237F">
        <w:t>asięg geograficzny</w:t>
      </w:r>
    </w:p>
    <w:p w14:paraId="66D31020" w14:textId="1991EF2A" w:rsidR="00283AF9" w:rsidRPr="00060318" w:rsidRDefault="00345141" w:rsidP="00060318">
      <w:pPr>
        <w:pStyle w:val="Normalpararaph"/>
        <w:rPr>
          <w:rFonts w:eastAsia="'Times New Roman'"/>
        </w:rPr>
      </w:pPr>
      <w:r>
        <w:t xml:space="preserve">Biorąc pod uwagę powyższe podejście i zasady, </w:t>
      </w:r>
      <w:proofErr w:type="spellStart"/>
      <w:r>
        <w:t>Interact</w:t>
      </w:r>
      <w:proofErr w:type="spellEnd"/>
      <w:r>
        <w:t xml:space="preserve"> zapewni, że wszystkie uczestniczące kraje i programy skorzystają na swoim zaangażowaniu w </w:t>
      </w:r>
      <w:r w:rsidR="00C84940">
        <w:t>p</w:t>
      </w:r>
      <w:r>
        <w:t xml:space="preserve">rogram </w:t>
      </w:r>
      <w:proofErr w:type="spellStart"/>
      <w:r>
        <w:t>Interact</w:t>
      </w:r>
      <w:proofErr w:type="spellEnd"/>
      <w:r>
        <w:t>.</w:t>
      </w:r>
    </w:p>
    <w:p w14:paraId="1A8D5958" w14:textId="5377FACF" w:rsidR="00B65439" w:rsidRPr="00060318" w:rsidRDefault="00345141" w:rsidP="00060318">
      <w:pPr>
        <w:pStyle w:val="Normalpararaph"/>
        <w:keepNext/>
      </w:pPr>
      <w:r>
        <w:lastRenderedPageBreak/>
        <w:t>Dodatkowo:</w:t>
      </w:r>
    </w:p>
    <w:p w14:paraId="3BA93B5E" w14:textId="77777777" w:rsidR="00B65439" w:rsidRPr="00060318" w:rsidRDefault="00345141" w:rsidP="00060318">
      <w:pPr>
        <w:pStyle w:val="Bulletedlist1"/>
      </w:pPr>
      <w:r>
        <w:t>Analiza udziału programów będzie obejmowała aspekty terytorialne;</w:t>
      </w:r>
    </w:p>
    <w:p w14:paraId="66575A0A" w14:textId="77777777" w:rsidR="00B65439" w:rsidRPr="00060318" w:rsidRDefault="00345141" w:rsidP="00060318">
      <w:pPr>
        <w:pStyle w:val="Bulletedlist1"/>
      </w:pPr>
      <w:r>
        <w:t>Plan oceny będzie obejmował analizę regionalną i środki;</w:t>
      </w:r>
    </w:p>
    <w:p w14:paraId="40262A1E" w14:textId="77777777" w:rsidR="00B65439" w:rsidRPr="00060318" w:rsidRDefault="00345141" w:rsidP="00060318">
      <w:pPr>
        <w:pStyle w:val="Bulletedlist1"/>
        <w:rPr>
          <w:rFonts w:eastAsia="'Times New Roman'"/>
        </w:rPr>
      </w:pPr>
      <w:r>
        <w:t xml:space="preserve">Plany komunikacji będą obejmować analizę i konkretne środki dla regionów/krajów (np. osoby niewystarczająco zaangażowane, nieuczestniczące lub korzystające z usług </w:t>
      </w:r>
      <w:proofErr w:type="spellStart"/>
      <w:r>
        <w:t>Interact</w:t>
      </w:r>
      <w:proofErr w:type="spellEnd"/>
      <w:r>
        <w:t>).</w:t>
      </w:r>
    </w:p>
    <w:p w14:paraId="132A9DBD" w14:textId="77777777" w:rsidR="00B65439" w:rsidRPr="00A32993" w:rsidRDefault="00345141">
      <w:pPr>
        <w:numPr>
          <w:ilvl w:val="0"/>
          <w:numId w:val="12"/>
        </w:numPr>
        <w:spacing w:before="240" w:after="240" w:line="240" w:lineRule="auto"/>
        <w:ind w:left="709" w:hanging="709"/>
        <w:rPr>
          <w:rFonts w:eastAsia="'Times New Roman'" w:cs="Times New Roman"/>
          <w:b/>
        </w:rPr>
      </w:pPr>
      <w:r>
        <w:rPr>
          <w:b/>
        </w:rPr>
        <w:t xml:space="preserve">Podejście do komunikacji i widoczności programu </w:t>
      </w:r>
      <w:proofErr w:type="spellStart"/>
      <w:r>
        <w:rPr>
          <w:b/>
        </w:rPr>
        <w:t>Interreg</w:t>
      </w:r>
      <w:proofErr w:type="spellEnd"/>
      <w:r>
        <w:rPr>
          <w:b/>
        </w:rPr>
        <w:t xml:space="preserve"> (cele, docelowi odbiorcy, kanały komunikacji, w tym, w stosownych przypadkach, zasięg w mediach społecznościowych, planowany budżet i odpowiednie wskaźniki monitorowania i oceny)</w:t>
      </w:r>
    </w:p>
    <w:p w14:paraId="64F21128" w14:textId="77777777" w:rsidR="00B65439" w:rsidRPr="002E2450" w:rsidRDefault="00345141">
      <w:pPr>
        <w:spacing w:after="200" w:line="276" w:lineRule="auto"/>
        <w:jc w:val="both"/>
        <w:rPr>
          <w:rFonts w:eastAsia="'Times New Roman'" w:cs="Times New Roman"/>
          <w:b/>
          <w:i/>
        </w:rPr>
      </w:pPr>
      <w:r>
        <w:rPr>
          <w:i/>
          <w:color w:val="000000"/>
        </w:rPr>
        <w:t>Odniesienie: Art. 17(4)(i)</w:t>
      </w:r>
    </w:p>
    <w:p w14:paraId="1AB1A08C" w14:textId="77777777" w:rsidR="007C319B" w:rsidRPr="00961DA7" w:rsidRDefault="007C319B" w:rsidP="00154A16">
      <w:pPr>
        <w:pStyle w:val="NORMStandard2"/>
        <w:spacing w:after="0" w:line="360" w:lineRule="auto"/>
        <w:rPr>
          <w:rFonts w:ascii="Times New Roman" w:hAnsi="Times New Roman" w:cs="Times New Roman"/>
          <w:iCs/>
          <w:sz w:val="24"/>
          <w:szCs w:val="24"/>
        </w:rPr>
      </w:pPr>
      <w:proofErr w:type="spellStart"/>
      <w:r>
        <w:rPr>
          <w:rFonts w:ascii="Times New Roman" w:hAnsi="Times New Roman"/>
          <w:iCs/>
          <w:sz w:val="24"/>
          <w:szCs w:val="24"/>
        </w:rPr>
        <w:t>Interact</w:t>
      </w:r>
      <w:proofErr w:type="spellEnd"/>
      <w:r>
        <w:rPr>
          <w:rFonts w:ascii="Times New Roman" w:hAnsi="Times New Roman"/>
          <w:iCs/>
          <w:sz w:val="24"/>
          <w:szCs w:val="24"/>
        </w:rPr>
        <w:t xml:space="preserve"> oferuje specjalistyczne usługi dla interesariuszy, włączając w to także inne programy. W tym rozdziale opisano, w jaki sposób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podejmie działania związane z komunikacją i widocznością, w celu zapewnienia skuteczności pracy swojej i docelowych odbiorców.</w:t>
      </w:r>
    </w:p>
    <w:p w14:paraId="2B68E484" w14:textId="77777777" w:rsidR="007C319B" w:rsidRPr="00154A16" w:rsidRDefault="007C319B" w:rsidP="00154A16">
      <w:pPr>
        <w:pStyle w:val="NORMStandard2"/>
        <w:keepNext/>
        <w:spacing w:after="0" w:line="360" w:lineRule="auto"/>
        <w:rPr>
          <w:rFonts w:ascii="Times New Roman" w:hAnsi="Times New Roman" w:cs="Times New Roman"/>
          <w:b/>
          <w:bCs/>
          <w:iCs/>
          <w:sz w:val="24"/>
          <w:szCs w:val="24"/>
        </w:rPr>
      </w:pPr>
      <w:r>
        <w:rPr>
          <w:rFonts w:ascii="Times New Roman" w:hAnsi="Times New Roman"/>
          <w:b/>
          <w:bCs/>
          <w:iCs/>
          <w:sz w:val="24"/>
          <w:szCs w:val="24"/>
        </w:rPr>
        <w:t>Cele</w:t>
      </w:r>
    </w:p>
    <w:p w14:paraId="721364A1" w14:textId="77777777" w:rsidR="007C319B" w:rsidRPr="00961DA7" w:rsidRDefault="007C319B" w:rsidP="00154A16">
      <w:pPr>
        <w:pStyle w:val="NORMStandard2"/>
        <w:spacing w:after="0" w:line="360" w:lineRule="auto"/>
        <w:rPr>
          <w:rFonts w:ascii="Times New Roman" w:hAnsi="Times New Roman" w:cs="Times New Roman"/>
          <w:iCs/>
          <w:sz w:val="24"/>
          <w:szCs w:val="24"/>
        </w:rPr>
      </w:pPr>
      <w:r>
        <w:rPr>
          <w:rFonts w:ascii="Times New Roman" w:hAnsi="Times New Roman"/>
          <w:iCs/>
          <w:sz w:val="24"/>
          <w:szCs w:val="24"/>
        </w:rPr>
        <w:t>Głównym powodem istnienia celów komunikacyjnych jest uzupełnienie realizacji ogólnego celu programu, jak również określonych celów szczegółowych.</w:t>
      </w:r>
    </w:p>
    <w:p w14:paraId="6D087C08" w14:textId="77777777" w:rsidR="007C319B" w:rsidRPr="00961DA7" w:rsidRDefault="007C319B" w:rsidP="00154A16">
      <w:pPr>
        <w:pStyle w:val="NORMStandard2"/>
        <w:spacing w:after="0" w:line="360" w:lineRule="auto"/>
        <w:rPr>
          <w:rFonts w:ascii="Times New Roman" w:hAnsi="Times New Roman" w:cs="Times New Roman"/>
          <w:iCs/>
          <w:sz w:val="24"/>
          <w:szCs w:val="24"/>
        </w:rPr>
      </w:pPr>
      <w:r>
        <w:rPr>
          <w:rFonts w:ascii="Times New Roman" w:hAnsi="Times New Roman"/>
          <w:iCs/>
          <w:sz w:val="24"/>
          <w:szCs w:val="24"/>
        </w:rPr>
        <w:t>Aby sprostać tym potrzebom wyznacza się cele komunikacji, które:</w:t>
      </w:r>
    </w:p>
    <w:p w14:paraId="798B2F5F" w14:textId="77777777" w:rsidR="007C319B" w:rsidRPr="00961DA7" w:rsidRDefault="007C319B" w:rsidP="00154A16">
      <w:pPr>
        <w:pStyle w:val="Listnumber1"/>
        <w:numPr>
          <w:ilvl w:val="0"/>
          <w:numId w:val="23"/>
        </w:numPr>
        <w:spacing w:after="0" w:line="360" w:lineRule="auto"/>
        <w:rPr>
          <w:rFonts w:ascii="Times New Roman" w:hAnsi="Times New Roman" w:cs="Times New Roman"/>
          <w:iCs/>
          <w:sz w:val="24"/>
          <w:szCs w:val="24"/>
        </w:rPr>
      </w:pPr>
      <w:r>
        <w:rPr>
          <w:rFonts w:ascii="Times New Roman" w:hAnsi="Times New Roman"/>
          <w:iCs/>
          <w:sz w:val="24"/>
          <w:szCs w:val="24"/>
        </w:rPr>
        <w:t xml:space="preserve">Promują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i wykorzystanie kluczowych narzędzi i usług wspierających współpracę.</w:t>
      </w:r>
    </w:p>
    <w:p w14:paraId="6BA54213" w14:textId="77777777" w:rsidR="007C319B" w:rsidRPr="00961DA7" w:rsidRDefault="007C319B" w:rsidP="00154A16">
      <w:pPr>
        <w:pStyle w:val="Listnumber1"/>
        <w:spacing w:after="0" w:line="360" w:lineRule="auto"/>
        <w:rPr>
          <w:rFonts w:ascii="Times New Roman" w:hAnsi="Times New Roman" w:cs="Times New Roman"/>
          <w:iCs/>
          <w:sz w:val="24"/>
          <w:szCs w:val="24"/>
        </w:rPr>
      </w:pPr>
      <w:r>
        <w:rPr>
          <w:rFonts w:ascii="Times New Roman" w:hAnsi="Times New Roman"/>
          <w:iCs/>
          <w:sz w:val="24"/>
          <w:szCs w:val="24"/>
        </w:rPr>
        <w:t>Wspierają szersze rozpowszechnianie najlepszych praktyk i wiedzy wśród docelowych odbiorców.</w:t>
      </w:r>
    </w:p>
    <w:p w14:paraId="3DE4C8C4" w14:textId="77777777" w:rsidR="007C319B" w:rsidRPr="00961DA7" w:rsidRDefault="007C319B" w:rsidP="00154A16">
      <w:pPr>
        <w:pStyle w:val="Listnumber1"/>
        <w:spacing w:after="0" w:line="360" w:lineRule="auto"/>
        <w:rPr>
          <w:rFonts w:ascii="Times New Roman" w:hAnsi="Times New Roman" w:cs="Times New Roman"/>
          <w:iCs/>
          <w:sz w:val="24"/>
          <w:szCs w:val="24"/>
        </w:rPr>
      </w:pPr>
      <w:r>
        <w:rPr>
          <w:rFonts w:ascii="Times New Roman" w:hAnsi="Times New Roman"/>
          <w:iCs/>
          <w:sz w:val="24"/>
          <w:szCs w:val="24"/>
        </w:rPr>
        <w:t xml:space="preserve">Wykazują, że „współpraca działa!”; </w:t>
      </w:r>
    </w:p>
    <w:p w14:paraId="0CF6D668" w14:textId="77777777" w:rsidR="007C319B" w:rsidRPr="00961DA7" w:rsidRDefault="007C319B" w:rsidP="00154A16">
      <w:pPr>
        <w:pStyle w:val="Listletter"/>
        <w:numPr>
          <w:ilvl w:val="0"/>
          <w:numId w:val="24"/>
        </w:numPr>
        <w:spacing w:after="0" w:line="360" w:lineRule="auto"/>
        <w:ind w:left="680"/>
        <w:rPr>
          <w:rFonts w:ascii="Times New Roman" w:hAnsi="Times New Roman"/>
          <w:iCs/>
          <w:sz w:val="24"/>
          <w:szCs w:val="24"/>
        </w:rPr>
      </w:pPr>
      <w:r>
        <w:rPr>
          <w:rFonts w:ascii="Times New Roman" w:hAnsi="Times New Roman"/>
          <w:iCs/>
          <w:sz w:val="24"/>
          <w:szCs w:val="24"/>
        </w:rPr>
        <w:t xml:space="preserve">poprzez osiągnięcia </w:t>
      </w:r>
      <w:proofErr w:type="spellStart"/>
      <w:r>
        <w:rPr>
          <w:rFonts w:ascii="Times New Roman" w:hAnsi="Times New Roman"/>
          <w:iCs/>
          <w:sz w:val="24"/>
          <w:szCs w:val="24"/>
        </w:rPr>
        <w:t>Interact</w:t>
      </w:r>
      <w:proofErr w:type="spellEnd"/>
      <w:r>
        <w:rPr>
          <w:rFonts w:ascii="Times New Roman" w:hAnsi="Times New Roman"/>
          <w:iCs/>
          <w:sz w:val="24"/>
          <w:szCs w:val="24"/>
        </w:rPr>
        <w:t>.</w:t>
      </w:r>
    </w:p>
    <w:p w14:paraId="748C0708" w14:textId="77777777" w:rsidR="007C319B" w:rsidRPr="00961DA7" w:rsidRDefault="007C319B" w:rsidP="00154A16">
      <w:pPr>
        <w:pStyle w:val="Listletter"/>
        <w:numPr>
          <w:ilvl w:val="0"/>
          <w:numId w:val="22"/>
        </w:numPr>
        <w:spacing w:after="0" w:line="360" w:lineRule="auto"/>
        <w:ind w:left="680"/>
        <w:rPr>
          <w:rFonts w:ascii="Times New Roman" w:hAnsi="Times New Roman"/>
          <w:iCs/>
          <w:sz w:val="24"/>
          <w:szCs w:val="24"/>
        </w:rPr>
      </w:pPr>
      <w:r>
        <w:rPr>
          <w:rFonts w:ascii="Times New Roman" w:hAnsi="Times New Roman"/>
          <w:iCs/>
          <w:sz w:val="24"/>
          <w:szCs w:val="24"/>
        </w:rPr>
        <w:t xml:space="preserve">poprzez zestawienie osiągnięć </w:t>
      </w:r>
      <w:proofErr w:type="spellStart"/>
      <w:r>
        <w:rPr>
          <w:rFonts w:ascii="Times New Roman" w:hAnsi="Times New Roman"/>
          <w:iCs/>
          <w:sz w:val="24"/>
          <w:szCs w:val="24"/>
        </w:rPr>
        <w:t>Interreg</w:t>
      </w:r>
      <w:proofErr w:type="spellEnd"/>
      <w:r>
        <w:rPr>
          <w:rFonts w:ascii="Times New Roman" w:hAnsi="Times New Roman"/>
          <w:iCs/>
          <w:sz w:val="24"/>
          <w:szCs w:val="24"/>
        </w:rPr>
        <w:t>.</w:t>
      </w:r>
    </w:p>
    <w:p w14:paraId="3AF6A109" w14:textId="77777777" w:rsidR="007C319B" w:rsidRPr="00961DA7" w:rsidRDefault="007C319B" w:rsidP="00154A16">
      <w:pPr>
        <w:pStyle w:val="Listletter"/>
        <w:numPr>
          <w:ilvl w:val="0"/>
          <w:numId w:val="22"/>
        </w:numPr>
        <w:spacing w:after="0" w:line="360" w:lineRule="auto"/>
        <w:ind w:left="680"/>
        <w:rPr>
          <w:rFonts w:ascii="Times New Roman" w:hAnsi="Times New Roman"/>
          <w:iCs/>
          <w:sz w:val="24"/>
          <w:szCs w:val="24"/>
        </w:rPr>
      </w:pPr>
      <w:r>
        <w:rPr>
          <w:rFonts w:ascii="Times New Roman" w:hAnsi="Times New Roman"/>
          <w:iCs/>
          <w:sz w:val="24"/>
          <w:szCs w:val="24"/>
        </w:rPr>
        <w:t>poprzez dzielenie się wiedzą z innymi podmiotami współpracy.</w:t>
      </w:r>
    </w:p>
    <w:p w14:paraId="586167D1" w14:textId="77777777" w:rsidR="007C319B" w:rsidRPr="00961DA7" w:rsidRDefault="007C319B" w:rsidP="00154A16">
      <w:pPr>
        <w:pStyle w:val="NORMStandard2"/>
        <w:keepNext/>
        <w:spacing w:after="0" w:line="360" w:lineRule="auto"/>
        <w:rPr>
          <w:rFonts w:ascii="Times New Roman" w:hAnsi="Times New Roman" w:cs="Times New Roman"/>
          <w:iCs/>
          <w:sz w:val="24"/>
          <w:szCs w:val="24"/>
        </w:rPr>
      </w:pPr>
      <w:r>
        <w:rPr>
          <w:rFonts w:ascii="Times New Roman" w:hAnsi="Times New Roman"/>
          <w:iCs/>
          <w:sz w:val="24"/>
          <w:szCs w:val="24"/>
        </w:rPr>
        <w:t xml:space="preserve">Przedmiot komunikacji będzie się zmieniał w całym okresie i będzie regularnie poddawany przeglądowi. Na początku tego okresu priorytetem będzie wspieranie budowania relacji z nowymi odbiorcami, a także zapewnienie rozpowszechniania wspólnych interpretacji nowych zasad współpracy. </w:t>
      </w:r>
    </w:p>
    <w:p w14:paraId="228CBC19" w14:textId="02823615" w:rsidR="007C319B" w:rsidRPr="00154A16" w:rsidRDefault="007C319B" w:rsidP="00154A16">
      <w:pPr>
        <w:pStyle w:val="NORMStandard2"/>
        <w:keepNext/>
        <w:spacing w:after="0" w:line="360" w:lineRule="auto"/>
        <w:rPr>
          <w:rFonts w:ascii="Times New Roman" w:hAnsi="Times New Roman" w:cs="Times New Roman"/>
          <w:b/>
          <w:bCs/>
          <w:iCs/>
          <w:sz w:val="24"/>
          <w:szCs w:val="24"/>
        </w:rPr>
      </w:pPr>
      <w:r>
        <w:rPr>
          <w:rFonts w:ascii="Times New Roman" w:hAnsi="Times New Roman"/>
          <w:b/>
          <w:bCs/>
          <w:iCs/>
          <w:sz w:val="24"/>
          <w:szCs w:val="24"/>
        </w:rPr>
        <w:t>Docelowi odbiorcy</w:t>
      </w:r>
    </w:p>
    <w:p w14:paraId="0C18DF28" w14:textId="77777777" w:rsidR="007C319B" w:rsidRPr="00961DA7" w:rsidRDefault="007C319B" w:rsidP="00154A16">
      <w:pPr>
        <w:pStyle w:val="NORMStandard2"/>
        <w:spacing w:after="0" w:line="360" w:lineRule="auto"/>
        <w:rPr>
          <w:rFonts w:ascii="Times New Roman" w:hAnsi="Times New Roman" w:cs="Times New Roman"/>
          <w:iCs/>
          <w:sz w:val="24"/>
          <w:szCs w:val="24"/>
        </w:rPr>
      </w:pPr>
      <w:r>
        <w:rPr>
          <w:rFonts w:ascii="Times New Roman" w:hAnsi="Times New Roman"/>
          <w:iCs/>
          <w:sz w:val="24"/>
          <w:szCs w:val="24"/>
        </w:rPr>
        <w:t xml:space="preserve">Docelowi odbiorcy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zostali wskazani powyżej (2.1.1.3). Główni docelowi odbiorcy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już podjęli współpracę, ale mogą nie znać wszystkich zasobów i narzędzi, które mogą wykorzystać do celów wspierania. Kluczowym szczególnym celem w następnym okresie będzie zapewnienie wyjścia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poza istniejące relacje – szczególnie w miejscach zaangażowania nowych odbiorców.</w:t>
      </w:r>
    </w:p>
    <w:p w14:paraId="3135AD5E" w14:textId="77777777" w:rsidR="007C319B" w:rsidRPr="00961DA7" w:rsidRDefault="007C319B" w:rsidP="00154A16">
      <w:pPr>
        <w:pStyle w:val="NORMStandard2"/>
        <w:spacing w:after="0" w:line="360" w:lineRule="auto"/>
        <w:rPr>
          <w:rFonts w:ascii="Times New Roman" w:hAnsi="Times New Roman" w:cs="Times New Roman"/>
          <w:iCs/>
          <w:sz w:val="24"/>
          <w:szCs w:val="24"/>
        </w:rPr>
      </w:pPr>
      <w:r>
        <w:rPr>
          <w:rFonts w:ascii="Times New Roman" w:hAnsi="Times New Roman"/>
          <w:iCs/>
          <w:sz w:val="24"/>
          <w:szCs w:val="24"/>
        </w:rPr>
        <w:lastRenderedPageBreak/>
        <w:t xml:space="preserve">Interakcyjna komunikacja powinna również nadawać priorytet pracy z szerszymi podmiotami politycznymi w celu dalszego rozwoju partnerstwa i tworzenia sieci ambasadorów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Ambasadorowie ci będą potrzebować aktualnej wiedzy i informacji o rozwiązaniach opracowanych przez </w:t>
      </w:r>
      <w:proofErr w:type="spellStart"/>
      <w:r>
        <w:rPr>
          <w:rFonts w:ascii="Times New Roman" w:hAnsi="Times New Roman"/>
          <w:iCs/>
          <w:sz w:val="24"/>
          <w:szCs w:val="24"/>
        </w:rPr>
        <w:t>Interact</w:t>
      </w:r>
      <w:proofErr w:type="spellEnd"/>
      <w:r>
        <w:rPr>
          <w:rFonts w:ascii="Times New Roman" w:hAnsi="Times New Roman"/>
          <w:iCs/>
          <w:sz w:val="24"/>
          <w:szCs w:val="24"/>
        </w:rPr>
        <w:t>, aby móc dzielić się odpowiednią pracą ze stronami trzecimi.</w:t>
      </w:r>
    </w:p>
    <w:p w14:paraId="7348AC96" w14:textId="77777777" w:rsidR="007C319B" w:rsidRPr="00961DA7" w:rsidRDefault="007C319B" w:rsidP="00154A16">
      <w:pPr>
        <w:pStyle w:val="NORMStandard2"/>
        <w:spacing w:after="0" w:line="360" w:lineRule="auto"/>
        <w:rPr>
          <w:rFonts w:ascii="Times New Roman" w:hAnsi="Times New Roman" w:cs="Times New Roman"/>
          <w:iCs/>
          <w:sz w:val="24"/>
          <w:szCs w:val="24"/>
        </w:rPr>
      </w:pPr>
      <w:proofErr w:type="spellStart"/>
      <w:r>
        <w:rPr>
          <w:rFonts w:ascii="Times New Roman" w:hAnsi="Times New Roman"/>
          <w:iCs/>
          <w:sz w:val="24"/>
          <w:szCs w:val="24"/>
        </w:rPr>
        <w:t>Interact</w:t>
      </w:r>
      <w:proofErr w:type="spellEnd"/>
      <w:r>
        <w:rPr>
          <w:rFonts w:ascii="Times New Roman" w:hAnsi="Times New Roman"/>
          <w:iCs/>
          <w:sz w:val="24"/>
          <w:szCs w:val="24"/>
        </w:rPr>
        <w:t xml:space="preserve"> bierze pod uwagę możliwość wykorzystania zagregowanych osiągnięć programów </w:t>
      </w:r>
      <w:proofErr w:type="spellStart"/>
      <w:r>
        <w:rPr>
          <w:rFonts w:ascii="Times New Roman" w:hAnsi="Times New Roman"/>
          <w:iCs/>
          <w:sz w:val="24"/>
          <w:szCs w:val="24"/>
        </w:rPr>
        <w:t>Interreg</w:t>
      </w:r>
      <w:proofErr w:type="spellEnd"/>
      <w:r>
        <w:rPr>
          <w:rFonts w:ascii="Times New Roman" w:hAnsi="Times New Roman"/>
          <w:iCs/>
          <w:sz w:val="24"/>
          <w:szCs w:val="24"/>
        </w:rPr>
        <w:t xml:space="preserve"> do promowania ogólnoeuropejskiej współpracy z obywatelami, wspierając programy w skuteczniejszym docieraniu do ich docelowych odbiorców. Poprzez te działania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wspiera komunikację </w:t>
      </w:r>
      <w:proofErr w:type="spellStart"/>
      <w:r>
        <w:rPr>
          <w:rFonts w:ascii="Times New Roman" w:hAnsi="Times New Roman"/>
          <w:iCs/>
          <w:sz w:val="24"/>
          <w:szCs w:val="24"/>
        </w:rPr>
        <w:t>Interreg</w:t>
      </w:r>
      <w:proofErr w:type="spellEnd"/>
      <w:r>
        <w:rPr>
          <w:rFonts w:ascii="Times New Roman" w:hAnsi="Times New Roman"/>
          <w:iCs/>
          <w:sz w:val="24"/>
          <w:szCs w:val="24"/>
        </w:rPr>
        <w:t xml:space="preserve"> z obywatelami Europy.</w:t>
      </w:r>
    </w:p>
    <w:p w14:paraId="4611F499" w14:textId="77777777" w:rsidR="007C319B" w:rsidRPr="00154A16" w:rsidRDefault="007C319B" w:rsidP="00154A16">
      <w:pPr>
        <w:pStyle w:val="NORMStandard2"/>
        <w:keepNext/>
        <w:spacing w:after="0" w:line="360" w:lineRule="auto"/>
        <w:rPr>
          <w:rFonts w:ascii="Times New Roman" w:hAnsi="Times New Roman" w:cs="Times New Roman"/>
          <w:b/>
          <w:bCs/>
          <w:iCs/>
          <w:sz w:val="24"/>
          <w:szCs w:val="24"/>
        </w:rPr>
      </w:pPr>
      <w:r>
        <w:rPr>
          <w:rFonts w:ascii="Times New Roman" w:hAnsi="Times New Roman"/>
          <w:b/>
          <w:bCs/>
          <w:iCs/>
          <w:sz w:val="24"/>
          <w:szCs w:val="24"/>
        </w:rPr>
        <w:t>Kanały komunikacji</w:t>
      </w:r>
    </w:p>
    <w:p w14:paraId="39E16008" w14:textId="77777777" w:rsidR="007C319B" w:rsidRPr="00961DA7" w:rsidRDefault="007C319B" w:rsidP="00154A16">
      <w:pPr>
        <w:pStyle w:val="NORMStandard2"/>
        <w:spacing w:after="0" w:line="360" w:lineRule="auto"/>
        <w:rPr>
          <w:rFonts w:ascii="Times New Roman" w:hAnsi="Times New Roman" w:cs="Times New Roman"/>
          <w:iCs/>
          <w:sz w:val="24"/>
          <w:szCs w:val="24"/>
        </w:rPr>
      </w:pPr>
      <w:proofErr w:type="spellStart"/>
      <w:r>
        <w:rPr>
          <w:rFonts w:ascii="Times New Roman" w:hAnsi="Times New Roman"/>
          <w:iCs/>
          <w:sz w:val="24"/>
          <w:szCs w:val="24"/>
        </w:rPr>
        <w:t>Interact</w:t>
      </w:r>
      <w:proofErr w:type="spellEnd"/>
      <w:r>
        <w:rPr>
          <w:rFonts w:ascii="Times New Roman" w:hAnsi="Times New Roman"/>
          <w:iCs/>
          <w:sz w:val="24"/>
          <w:szCs w:val="24"/>
        </w:rPr>
        <w:t xml:space="preserve"> będzie utrzymywać witrynę internetową, która będzie głównym źródłem informacji i zasobów dla docelowych odbiorców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będzie również utrzymywać platformę wymiany, z łatwym dostępem z poziomu strony internetowej, co umożliwia wymianę na zasadzie „</w:t>
      </w:r>
      <w:proofErr w:type="spellStart"/>
      <w:r>
        <w:rPr>
          <w:rFonts w:ascii="Times New Roman" w:hAnsi="Times New Roman"/>
          <w:iCs/>
          <w:sz w:val="24"/>
          <w:szCs w:val="24"/>
        </w:rPr>
        <w:t>peer</w:t>
      </w:r>
      <w:proofErr w:type="spellEnd"/>
      <w:r>
        <w:rPr>
          <w:rFonts w:ascii="Times New Roman" w:hAnsi="Times New Roman"/>
          <w:iCs/>
          <w:sz w:val="24"/>
          <w:szCs w:val="24"/>
        </w:rPr>
        <w:t>-to-</w:t>
      </w:r>
      <w:proofErr w:type="spellStart"/>
      <w:r>
        <w:rPr>
          <w:rFonts w:ascii="Times New Roman" w:hAnsi="Times New Roman"/>
          <w:iCs/>
          <w:sz w:val="24"/>
          <w:szCs w:val="24"/>
        </w:rPr>
        <w:t>peer</w:t>
      </w:r>
      <w:proofErr w:type="spellEnd"/>
      <w:r>
        <w:rPr>
          <w:rFonts w:ascii="Times New Roman" w:hAnsi="Times New Roman"/>
          <w:iCs/>
          <w:sz w:val="24"/>
          <w:szCs w:val="24"/>
        </w:rPr>
        <w:t xml:space="preserve">”. </w:t>
      </w:r>
    </w:p>
    <w:p w14:paraId="162DF391" w14:textId="77777777" w:rsidR="007C319B" w:rsidRPr="00961DA7" w:rsidRDefault="007C319B" w:rsidP="00154A16">
      <w:pPr>
        <w:pStyle w:val="NORMStandard2"/>
        <w:spacing w:after="0" w:line="360" w:lineRule="auto"/>
        <w:rPr>
          <w:rFonts w:ascii="Times New Roman" w:hAnsi="Times New Roman" w:cs="Times New Roman"/>
          <w:iCs/>
          <w:sz w:val="24"/>
          <w:szCs w:val="24"/>
        </w:rPr>
      </w:pPr>
      <w:r>
        <w:rPr>
          <w:rFonts w:ascii="Times New Roman" w:hAnsi="Times New Roman"/>
          <w:iCs/>
          <w:sz w:val="24"/>
          <w:szCs w:val="24"/>
        </w:rPr>
        <w:t xml:space="preserve">Promując pracę </w:t>
      </w:r>
      <w:proofErr w:type="spellStart"/>
      <w:r>
        <w:rPr>
          <w:rFonts w:ascii="Times New Roman" w:hAnsi="Times New Roman"/>
          <w:iCs/>
          <w:sz w:val="24"/>
          <w:szCs w:val="24"/>
        </w:rPr>
        <w:t>Interact</w:t>
      </w:r>
      <w:proofErr w:type="spellEnd"/>
      <w:r>
        <w:rPr>
          <w:rFonts w:ascii="Times New Roman" w:hAnsi="Times New Roman"/>
          <w:iCs/>
          <w:sz w:val="24"/>
          <w:szCs w:val="24"/>
        </w:rPr>
        <w:t>, należy używać skutecznych narzędzi komunikacji elektronicznej. Utrzymywanie aktualnej bazy danych kontaktów zapewni skuteczne narzędzie docierania do kluczowych odbiorców za pośrednictwem regularnych biuletynów wysyłanych pocztą e-mail. Ponadto zostaną wykorzystane inne narzędzia komunikacji elektronicznej.</w:t>
      </w:r>
    </w:p>
    <w:p w14:paraId="7BE5C149" w14:textId="77777777" w:rsidR="007C319B" w:rsidRPr="00961DA7" w:rsidRDefault="007C319B" w:rsidP="00154A16">
      <w:pPr>
        <w:pStyle w:val="NORMStandard2"/>
        <w:spacing w:after="0" w:line="360" w:lineRule="auto"/>
        <w:rPr>
          <w:rFonts w:ascii="Times New Roman" w:hAnsi="Times New Roman" w:cs="Times New Roman"/>
          <w:iCs/>
          <w:sz w:val="24"/>
          <w:szCs w:val="24"/>
        </w:rPr>
      </w:pPr>
      <w:r>
        <w:rPr>
          <w:rFonts w:ascii="Times New Roman" w:hAnsi="Times New Roman"/>
          <w:iCs/>
          <w:sz w:val="24"/>
          <w:szCs w:val="24"/>
        </w:rPr>
        <w:t xml:space="preserve">Chociaż głównym celem działań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jest elektronika odzwierciedlająca profesjonalną publiczność, kluczowe elementy mogą być także przekazywane w formie drukowanej. Ma to zastosowanie w szczególnych wydarzeniach w obszarze UE na dużą skalę, które oferują możliwości nawiązywania kontaktów i podnoszenia świadomości na temat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i </w:t>
      </w:r>
      <w:proofErr w:type="spellStart"/>
      <w:r>
        <w:rPr>
          <w:rFonts w:ascii="Times New Roman" w:hAnsi="Times New Roman"/>
          <w:iCs/>
          <w:sz w:val="24"/>
          <w:szCs w:val="24"/>
        </w:rPr>
        <w:t>Interreg</w:t>
      </w:r>
      <w:proofErr w:type="spellEnd"/>
      <w:r>
        <w:rPr>
          <w:rFonts w:ascii="Times New Roman" w:hAnsi="Times New Roman"/>
          <w:iCs/>
          <w:sz w:val="24"/>
          <w:szCs w:val="24"/>
        </w:rPr>
        <w:t>.</w:t>
      </w:r>
    </w:p>
    <w:p w14:paraId="383515E4" w14:textId="77777777" w:rsidR="007C319B" w:rsidRPr="00961DA7" w:rsidRDefault="007C319B" w:rsidP="00154A16">
      <w:pPr>
        <w:pStyle w:val="NORMStandard2"/>
        <w:keepNext/>
        <w:spacing w:after="0" w:line="360" w:lineRule="auto"/>
        <w:rPr>
          <w:rFonts w:ascii="Times New Roman" w:hAnsi="Times New Roman" w:cs="Times New Roman"/>
          <w:iCs/>
          <w:sz w:val="24"/>
          <w:szCs w:val="24"/>
        </w:rPr>
      </w:pPr>
      <w:r>
        <w:rPr>
          <w:rFonts w:ascii="Times New Roman" w:hAnsi="Times New Roman"/>
          <w:iCs/>
          <w:sz w:val="24"/>
          <w:szCs w:val="24"/>
        </w:rPr>
        <w:t>Zasięg w mediach społecznościowych</w:t>
      </w:r>
    </w:p>
    <w:p w14:paraId="679595C8" w14:textId="77777777" w:rsidR="007C319B" w:rsidRPr="00961DA7" w:rsidRDefault="007C319B" w:rsidP="00154A16">
      <w:pPr>
        <w:pStyle w:val="NORMStandard2"/>
        <w:spacing w:after="0" w:line="360" w:lineRule="auto"/>
        <w:rPr>
          <w:rFonts w:ascii="Times New Roman" w:hAnsi="Times New Roman" w:cs="Times New Roman"/>
          <w:iCs/>
          <w:sz w:val="24"/>
          <w:szCs w:val="24"/>
        </w:rPr>
      </w:pPr>
      <w:proofErr w:type="spellStart"/>
      <w:r>
        <w:rPr>
          <w:rFonts w:ascii="Times New Roman" w:hAnsi="Times New Roman"/>
          <w:iCs/>
          <w:sz w:val="24"/>
          <w:szCs w:val="24"/>
        </w:rPr>
        <w:t>Interact</w:t>
      </w:r>
      <w:proofErr w:type="spellEnd"/>
      <w:r>
        <w:rPr>
          <w:rFonts w:ascii="Times New Roman" w:hAnsi="Times New Roman"/>
          <w:iCs/>
          <w:sz w:val="24"/>
          <w:szCs w:val="24"/>
        </w:rPr>
        <w:t xml:space="preserve"> zbudował swoją solidną obecność na </w:t>
      </w:r>
      <w:proofErr w:type="spellStart"/>
      <w:r>
        <w:rPr>
          <w:rFonts w:ascii="Times New Roman" w:hAnsi="Times New Roman"/>
          <w:iCs/>
          <w:sz w:val="24"/>
          <w:szCs w:val="24"/>
        </w:rPr>
        <w:t>Twitterze</w:t>
      </w:r>
      <w:proofErr w:type="spellEnd"/>
      <w:r>
        <w:rPr>
          <w:rFonts w:ascii="Times New Roman" w:hAnsi="Times New Roman"/>
          <w:iCs/>
          <w:sz w:val="24"/>
          <w:szCs w:val="24"/>
        </w:rPr>
        <w:t xml:space="preserve">, Facebooku i LinkedIn. Chociaż odbiorcy różnią się w zależności od platformy, wszystkie trzy narzędzia zapewniają skuteczne zasięgi programu.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będzie nadal monitorować inne platformy mediów społecznościowych, aby zrozumieć, gdzie istnieją skuteczne możliwości profesjonalnego dotarcia do odbiorców.</w:t>
      </w:r>
    </w:p>
    <w:p w14:paraId="709FFE35" w14:textId="77777777" w:rsidR="007C319B" w:rsidRPr="00961DA7" w:rsidRDefault="007C319B" w:rsidP="00154A16">
      <w:pPr>
        <w:pStyle w:val="NORMStandard2"/>
        <w:spacing w:after="0" w:line="360" w:lineRule="auto"/>
        <w:rPr>
          <w:rFonts w:ascii="Times New Roman" w:hAnsi="Times New Roman" w:cs="Times New Roman"/>
          <w:iCs/>
          <w:sz w:val="24"/>
          <w:szCs w:val="24"/>
        </w:rPr>
      </w:pPr>
      <w:r>
        <w:rPr>
          <w:rFonts w:ascii="Times New Roman" w:hAnsi="Times New Roman"/>
          <w:iCs/>
          <w:sz w:val="24"/>
          <w:szCs w:val="24"/>
        </w:rPr>
        <w:t xml:space="preserve">Oprócz własnych kont, organizacja ma do dyspozycji także inne zarządzane przez nią konta, koncentrujące się na promowaniu wszystkich działań </w:t>
      </w:r>
      <w:proofErr w:type="spellStart"/>
      <w:r>
        <w:rPr>
          <w:rFonts w:ascii="Times New Roman" w:hAnsi="Times New Roman"/>
          <w:iCs/>
          <w:sz w:val="24"/>
          <w:szCs w:val="24"/>
        </w:rPr>
        <w:t>Interreg</w:t>
      </w:r>
      <w:proofErr w:type="spellEnd"/>
      <w:r>
        <w:rPr>
          <w:rFonts w:ascii="Times New Roman" w:hAnsi="Times New Roman"/>
          <w:iCs/>
          <w:sz w:val="24"/>
          <w:szCs w:val="24"/>
        </w:rPr>
        <w:t>; ich działalność również będzie kontynuowana.</w:t>
      </w:r>
    </w:p>
    <w:p w14:paraId="44E82E51" w14:textId="77777777" w:rsidR="007C319B" w:rsidRPr="00154A16" w:rsidRDefault="007C319B" w:rsidP="00154A16">
      <w:pPr>
        <w:pStyle w:val="NORMStandard2"/>
        <w:keepNext/>
        <w:spacing w:after="0" w:line="360" w:lineRule="auto"/>
        <w:rPr>
          <w:rFonts w:ascii="Times New Roman" w:hAnsi="Times New Roman" w:cs="Times New Roman"/>
          <w:b/>
          <w:bCs/>
          <w:iCs/>
          <w:sz w:val="24"/>
          <w:szCs w:val="24"/>
        </w:rPr>
      </w:pPr>
      <w:r>
        <w:rPr>
          <w:rFonts w:ascii="Times New Roman" w:hAnsi="Times New Roman"/>
          <w:b/>
          <w:bCs/>
          <w:iCs/>
          <w:sz w:val="24"/>
          <w:szCs w:val="24"/>
        </w:rPr>
        <w:t>Planowany budżet</w:t>
      </w:r>
    </w:p>
    <w:p w14:paraId="1A45A508" w14:textId="77777777" w:rsidR="007C319B" w:rsidRPr="00961DA7" w:rsidRDefault="007C319B" w:rsidP="00154A16">
      <w:pPr>
        <w:pStyle w:val="NORMStandard2"/>
        <w:spacing w:after="0" w:line="360" w:lineRule="auto"/>
        <w:rPr>
          <w:rFonts w:ascii="Times New Roman" w:hAnsi="Times New Roman" w:cs="Times New Roman"/>
          <w:iCs/>
          <w:sz w:val="24"/>
          <w:szCs w:val="24"/>
        </w:rPr>
      </w:pPr>
      <w:r>
        <w:rPr>
          <w:rFonts w:ascii="Times New Roman" w:hAnsi="Times New Roman"/>
          <w:iCs/>
          <w:sz w:val="24"/>
          <w:szCs w:val="24"/>
        </w:rPr>
        <w:t xml:space="preserve">Z zastrzeżeniem ostatecznych uzgodnień budżetowych, </w:t>
      </w:r>
      <w:proofErr w:type="spellStart"/>
      <w:r>
        <w:rPr>
          <w:rFonts w:ascii="Times New Roman" w:hAnsi="Times New Roman"/>
          <w:iCs/>
          <w:sz w:val="24"/>
          <w:szCs w:val="24"/>
        </w:rPr>
        <w:t>Interact</w:t>
      </w:r>
      <w:proofErr w:type="spellEnd"/>
      <w:r>
        <w:rPr>
          <w:rFonts w:ascii="Times New Roman" w:hAnsi="Times New Roman"/>
          <w:iCs/>
          <w:sz w:val="24"/>
          <w:szCs w:val="24"/>
        </w:rPr>
        <w:t xml:space="preserve"> planuje wydać co najmniej 0,5% całkowitego budżetu programu na komunikację. Zapewnić ma to skuteczną stronę internetową programu, markowe szablony materiałów i materiałów promocyjnych, a także inne materiały drukowane i cyfrowe wspomagające pracę programu.</w:t>
      </w:r>
    </w:p>
    <w:p w14:paraId="7CD8E1F2" w14:textId="77777777" w:rsidR="007C319B" w:rsidRPr="00154A16" w:rsidRDefault="007C319B" w:rsidP="00154A16">
      <w:pPr>
        <w:pStyle w:val="NORMStandard2"/>
        <w:keepNext/>
        <w:spacing w:after="0" w:line="360" w:lineRule="auto"/>
        <w:rPr>
          <w:rFonts w:ascii="Times New Roman" w:hAnsi="Times New Roman" w:cs="Times New Roman"/>
          <w:b/>
          <w:bCs/>
          <w:iCs/>
          <w:sz w:val="24"/>
          <w:szCs w:val="24"/>
        </w:rPr>
      </w:pPr>
      <w:r>
        <w:rPr>
          <w:rFonts w:ascii="Times New Roman" w:hAnsi="Times New Roman"/>
          <w:b/>
          <w:bCs/>
          <w:iCs/>
          <w:sz w:val="24"/>
          <w:szCs w:val="24"/>
        </w:rPr>
        <w:lastRenderedPageBreak/>
        <w:t>Monitorowanie i ocena</w:t>
      </w:r>
    </w:p>
    <w:p w14:paraId="2760EA0A" w14:textId="77777777" w:rsidR="007C319B" w:rsidRPr="00961DA7" w:rsidRDefault="007C319B" w:rsidP="00154A16">
      <w:pPr>
        <w:pStyle w:val="NORMStandard2"/>
        <w:spacing w:after="0" w:line="360" w:lineRule="auto"/>
        <w:rPr>
          <w:rFonts w:ascii="Times New Roman" w:hAnsi="Times New Roman" w:cs="Times New Roman"/>
          <w:iCs/>
          <w:sz w:val="24"/>
          <w:szCs w:val="24"/>
        </w:rPr>
      </w:pPr>
      <w:r>
        <w:rPr>
          <w:rFonts w:ascii="Times New Roman" w:hAnsi="Times New Roman"/>
          <w:iCs/>
          <w:sz w:val="24"/>
          <w:szCs w:val="24"/>
        </w:rPr>
        <w:t>Należy dokładnie rozważyć rolę komunikacji we wspieraniu ogólnych celów programów. Chociaż wiele aspektów promocyjnych nie zostanie uwzględnionych w formalnych wskaźnikach programu, należy rozważyć rolę komunikacji w łączeniu właściwej osoby z odpowiednimi rozwiązaniami.</w:t>
      </w:r>
    </w:p>
    <w:p w14:paraId="7CF72E47" w14:textId="77777777" w:rsidR="00862C65" w:rsidRPr="00661CE3" w:rsidRDefault="00862C65" w:rsidP="00862C65">
      <w:pPr>
        <w:numPr>
          <w:ilvl w:val="0"/>
          <w:numId w:val="10"/>
        </w:numPr>
        <w:spacing w:before="240" w:after="200" w:line="276" w:lineRule="auto"/>
        <w:ind w:left="284" w:hanging="284"/>
        <w:rPr>
          <w:rFonts w:eastAsia="Times New Roman"/>
          <w:b/>
          <w:i/>
          <w:iCs/>
          <w:noProof/>
          <w:szCs w:val="24"/>
        </w:rPr>
      </w:pPr>
      <w:r>
        <w:rPr>
          <w:b/>
          <w:iCs/>
          <w:szCs w:val="24"/>
        </w:rPr>
        <w:t xml:space="preserve">Wskazanie wsparcia dla projektów o małej skali, w tym małych projektów w ramach funduszy małych projektów  </w:t>
      </w:r>
    </w:p>
    <w:p w14:paraId="31B74219" w14:textId="77777777" w:rsidR="00862C65" w:rsidRPr="00661CE3" w:rsidRDefault="00862C65" w:rsidP="00862C65">
      <w:pPr>
        <w:spacing w:before="240" w:after="200" w:line="276" w:lineRule="auto"/>
        <w:jc w:val="both"/>
        <w:rPr>
          <w:rFonts w:eastAsia="Times New Roman"/>
          <w:bCs/>
          <w:i/>
          <w:iCs/>
          <w:noProof/>
          <w:szCs w:val="24"/>
        </w:rPr>
      </w:pPr>
      <w:r>
        <w:rPr>
          <w:bCs/>
          <w:i/>
          <w:szCs w:val="24"/>
        </w:rPr>
        <w:t>Odniesienie: Art. 17(4)(nowy j), Art. 24</w:t>
      </w:r>
    </w:p>
    <w:p w14:paraId="2D459744" w14:textId="3EDDAB39" w:rsidR="00B65439" w:rsidRPr="00B245AA" w:rsidRDefault="00862C65">
      <w:pPr>
        <w:keepNext/>
        <w:spacing w:before="240" w:after="240" w:line="240" w:lineRule="auto"/>
        <w:ind w:left="709" w:hanging="709"/>
        <w:jc w:val="both"/>
        <w:rPr>
          <w:rFonts w:eastAsia="'Times New Roman'" w:cs="Times New Roman"/>
          <w:b/>
        </w:rPr>
      </w:pPr>
      <w:r>
        <w:rPr>
          <w:b/>
        </w:rPr>
        <w:t>7.</w:t>
      </w:r>
      <w:r>
        <w:rPr>
          <w:b/>
        </w:rPr>
        <w:tab/>
        <w:t>Przepisy wykonawcze</w:t>
      </w:r>
    </w:p>
    <w:p w14:paraId="61C8DB0D" w14:textId="369C2872" w:rsidR="00B65439" w:rsidRPr="00B245AA" w:rsidRDefault="00862C65">
      <w:pPr>
        <w:keepNext/>
        <w:spacing w:before="240" w:after="240" w:line="240" w:lineRule="auto"/>
        <w:ind w:left="709" w:hanging="709"/>
        <w:jc w:val="both"/>
        <w:rPr>
          <w:rFonts w:eastAsia="'Times New Roman'" w:cs="Times New Roman"/>
          <w:b/>
        </w:rPr>
      </w:pPr>
      <w:r>
        <w:rPr>
          <w:b/>
        </w:rPr>
        <w:t>7,1.</w:t>
      </w:r>
      <w:r>
        <w:rPr>
          <w:b/>
        </w:rPr>
        <w:tab/>
        <w:t xml:space="preserve">Władze programu </w:t>
      </w:r>
    </w:p>
    <w:p w14:paraId="71886945" w14:textId="77777777" w:rsidR="00B65439" w:rsidRPr="00B245AA" w:rsidRDefault="00345141">
      <w:pPr>
        <w:keepNext/>
        <w:spacing w:after="200" w:line="240" w:lineRule="auto"/>
        <w:jc w:val="both"/>
        <w:rPr>
          <w:rFonts w:eastAsia="'Times New Roman'" w:cs="Times New Roman"/>
          <w:b/>
          <w:i/>
        </w:rPr>
      </w:pPr>
      <w:r>
        <w:rPr>
          <w:i/>
          <w:color w:val="000000"/>
        </w:rPr>
        <w:t>Odniesienie: Art. 17(7)(a)</w:t>
      </w:r>
    </w:p>
    <w:p w14:paraId="193B7D52" w14:textId="77777777" w:rsidR="00B65439" w:rsidRPr="00862C65" w:rsidRDefault="00345141" w:rsidP="00961DA7">
      <w:pPr>
        <w:keepNext/>
        <w:spacing w:before="240" w:after="120" w:line="240" w:lineRule="auto"/>
        <w:rPr>
          <w:rFonts w:eastAsia="'Times New Roman'" w:cs="Times New Roman"/>
        </w:rPr>
      </w:pPr>
      <w:r>
        <w:t>Tabela 10</w:t>
      </w:r>
    </w:p>
    <w:tbl>
      <w:tblPr>
        <w:tblStyle w:val="TableGrid1"/>
        <w:tblW w:w="0" w:type="auto"/>
        <w:tblLook w:val="04A0" w:firstRow="1" w:lastRow="0" w:firstColumn="1" w:lastColumn="0" w:noHBand="0" w:noVBand="1"/>
      </w:tblPr>
      <w:tblGrid>
        <w:gridCol w:w="2360"/>
        <w:gridCol w:w="2221"/>
        <w:gridCol w:w="2156"/>
        <w:gridCol w:w="2323"/>
      </w:tblGrid>
      <w:tr w:rsidR="00B65439" w14:paraId="60CF2CF1" w14:textId="77777777">
        <w:trPr>
          <w:tblHeader/>
        </w:trPr>
        <w:tc>
          <w:tcPr>
            <w:tcW w:w="2360" w:type="dxa"/>
          </w:tcPr>
          <w:p w14:paraId="1A437301" w14:textId="77777777" w:rsidR="00B65439" w:rsidRPr="00C435CB" w:rsidRDefault="00345141">
            <w:pPr>
              <w:keepNext/>
              <w:spacing w:before="60" w:after="60" w:line="240" w:lineRule="auto"/>
              <w:rPr>
                <w:rFonts w:eastAsia="'Times New Roman'" w:cs="Times New Roman"/>
                <w:b/>
                <w:sz w:val="18"/>
              </w:rPr>
            </w:pPr>
            <w:r>
              <w:rPr>
                <w:b/>
                <w:sz w:val="18"/>
              </w:rPr>
              <w:t xml:space="preserve">Władze programu </w:t>
            </w:r>
          </w:p>
        </w:tc>
        <w:tc>
          <w:tcPr>
            <w:tcW w:w="2221" w:type="dxa"/>
          </w:tcPr>
          <w:p w14:paraId="289FBA64" w14:textId="77777777" w:rsidR="00B65439" w:rsidRPr="00C435CB" w:rsidRDefault="00345141">
            <w:pPr>
              <w:spacing w:before="60" w:after="60" w:line="240" w:lineRule="auto"/>
              <w:rPr>
                <w:rFonts w:eastAsia="'Times New Roman'" w:cs="Times New Roman"/>
                <w:b/>
                <w:sz w:val="18"/>
              </w:rPr>
            </w:pPr>
            <w:r>
              <w:rPr>
                <w:b/>
                <w:sz w:val="18"/>
              </w:rPr>
              <w:t xml:space="preserve">Nazwa instytucji </w:t>
            </w:r>
            <w:r>
              <w:rPr>
                <w:sz w:val="18"/>
              </w:rPr>
              <w:t>[255]</w:t>
            </w:r>
          </w:p>
        </w:tc>
        <w:tc>
          <w:tcPr>
            <w:tcW w:w="2156" w:type="dxa"/>
          </w:tcPr>
          <w:p w14:paraId="12BE5DAE" w14:textId="77777777" w:rsidR="00B65439" w:rsidRPr="00C435CB" w:rsidRDefault="00345141">
            <w:pPr>
              <w:spacing w:before="60" w:after="60" w:line="240" w:lineRule="auto"/>
              <w:rPr>
                <w:rFonts w:eastAsia="'Times New Roman'" w:cs="Times New Roman"/>
                <w:b/>
                <w:sz w:val="18"/>
              </w:rPr>
            </w:pPr>
            <w:r>
              <w:rPr>
                <w:b/>
                <w:sz w:val="18"/>
              </w:rPr>
              <w:t>Nazwisko osoby kontaktowej</w:t>
            </w:r>
            <w:r>
              <w:rPr>
                <w:sz w:val="18"/>
              </w:rPr>
              <w:t>[200]</w:t>
            </w:r>
          </w:p>
        </w:tc>
        <w:tc>
          <w:tcPr>
            <w:tcW w:w="2323" w:type="dxa"/>
          </w:tcPr>
          <w:p w14:paraId="2C1C9D66" w14:textId="77777777" w:rsidR="00B65439" w:rsidRPr="00C435CB" w:rsidRDefault="00345141">
            <w:pPr>
              <w:spacing w:before="60" w:after="60" w:line="240" w:lineRule="auto"/>
              <w:rPr>
                <w:rFonts w:eastAsia="'Times New Roman'" w:cs="Times New Roman"/>
                <w:b/>
                <w:sz w:val="18"/>
              </w:rPr>
            </w:pPr>
            <w:r>
              <w:rPr>
                <w:b/>
                <w:sz w:val="18"/>
              </w:rPr>
              <w:t xml:space="preserve">Adres e-mail </w:t>
            </w:r>
            <w:r>
              <w:rPr>
                <w:sz w:val="18"/>
              </w:rPr>
              <w:t>[200]</w:t>
            </w:r>
          </w:p>
        </w:tc>
      </w:tr>
      <w:tr w:rsidR="00B65439" w14:paraId="11A16CB4" w14:textId="77777777">
        <w:tc>
          <w:tcPr>
            <w:tcW w:w="2360" w:type="dxa"/>
          </w:tcPr>
          <w:p w14:paraId="06FC000E" w14:textId="77777777" w:rsidR="00B65439" w:rsidRPr="00C435CB" w:rsidRDefault="00345141">
            <w:pPr>
              <w:spacing w:before="60" w:after="60" w:line="240" w:lineRule="auto"/>
              <w:rPr>
                <w:rFonts w:eastAsia="'Times New Roman'" w:cs="Times New Roman"/>
                <w:sz w:val="18"/>
              </w:rPr>
            </w:pPr>
            <w:r>
              <w:rPr>
                <w:sz w:val="18"/>
              </w:rPr>
              <w:t>Instytucja zarządzająca</w:t>
            </w:r>
          </w:p>
        </w:tc>
        <w:tc>
          <w:tcPr>
            <w:tcW w:w="2221" w:type="dxa"/>
          </w:tcPr>
          <w:p w14:paraId="0C9ADF26" w14:textId="65580F96" w:rsidR="00B65439" w:rsidRPr="00C435CB" w:rsidRDefault="00345141">
            <w:pPr>
              <w:spacing w:before="60" w:after="60" w:line="240" w:lineRule="auto"/>
              <w:rPr>
                <w:rFonts w:eastAsia="'Times New Roman'" w:cs="Times New Roman"/>
                <w:color w:val="000000"/>
                <w:sz w:val="18"/>
              </w:rPr>
            </w:pPr>
            <w:r>
              <w:rPr>
                <w:color w:val="000000"/>
                <w:sz w:val="18"/>
              </w:rPr>
              <w:t>Region samorządowy Bratysławy/</w:t>
            </w:r>
            <w:r w:rsidR="00D76F93">
              <w:rPr>
                <w:color w:val="000000"/>
                <w:sz w:val="18"/>
              </w:rPr>
              <w:t>D</w:t>
            </w:r>
            <w:r>
              <w:rPr>
                <w:color w:val="000000"/>
                <w:sz w:val="18"/>
              </w:rPr>
              <w:t>epartament ds.</w:t>
            </w:r>
            <w:r w:rsidR="00D76F93">
              <w:rPr>
                <w:color w:val="000000"/>
                <w:sz w:val="18"/>
              </w:rPr>
              <w:t xml:space="preserve"> programu</w:t>
            </w:r>
            <w:r>
              <w:rPr>
                <w:color w:val="000000"/>
                <w:sz w:val="18"/>
              </w:rPr>
              <w:t xml:space="preserve"> </w:t>
            </w:r>
            <w:proofErr w:type="spellStart"/>
            <w:r w:rsidR="00D76F93">
              <w:rPr>
                <w:color w:val="000000"/>
                <w:sz w:val="18"/>
              </w:rPr>
              <w:t>I</w:t>
            </w:r>
            <w:r w:rsidR="006744E4">
              <w:rPr>
                <w:color w:val="000000"/>
                <w:sz w:val="18"/>
              </w:rPr>
              <w:t>nterac</w:t>
            </w:r>
            <w:r w:rsidR="00D76F93">
              <w:rPr>
                <w:color w:val="000000"/>
                <w:sz w:val="18"/>
              </w:rPr>
              <w:t>t</w:t>
            </w:r>
            <w:proofErr w:type="spellEnd"/>
          </w:p>
        </w:tc>
        <w:tc>
          <w:tcPr>
            <w:tcW w:w="2156" w:type="dxa"/>
          </w:tcPr>
          <w:p w14:paraId="2C6F61EA" w14:textId="77777777" w:rsidR="00B65439" w:rsidRPr="00C435CB" w:rsidRDefault="00B65439">
            <w:pPr>
              <w:spacing w:before="60" w:after="60" w:line="240" w:lineRule="auto"/>
              <w:rPr>
                <w:rFonts w:eastAsia="'Times New Roman'" w:cs="Times New Roman"/>
                <w:color w:val="000000"/>
                <w:sz w:val="18"/>
              </w:rPr>
            </w:pPr>
          </w:p>
        </w:tc>
        <w:tc>
          <w:tcPr>
            <w:tcW w:w="2323" w:type="dxa"/>
          </w:tcPr>
          <w:p w14:paraId="480C0ED2" w14:textId="77777777" w:rsidR="00B65439" w:rsidRPr="00C435CB" w:rsidRDefault="00B65439">
            <w:pPr>
              <w:spacing w:before="60" w:after="60" w:line="240" w:lineRule="auto"/>
              <w:rPr>
                <w:rFonts w:eastAsia="'Times New Roman'" w:cs="Times New Roman"/>
                <w:color w:val="000000"/>
                <w:sz w:val="18"/>
              </w:rPr>
            </w:pPr>
          </w:p>
        </w:tc>
      </w:tr>
      <w:tr w:rsidR="00B65439" w14:paraId="7C9D3C92" w14:textId="77777777">
        <w:tc>
          <w:tcPr>
            <w:tcW w:w="2360" w:type="dxa"/>
          </w:tcPr>
          <w:p w14:paraId="78D3E3C5" w14:textId="6DF8E350" w:rsidR="00B65439" w:rsidRPr="00C435CB" w:rsidRDefault="006F237F">
            <w:pPr>
              <w:spacing w:before="60" w:after="60" w:line="240" w:lineRule="auto"/>
              <w:rPr>
                <w:rFonts w:eastAsia="'Times New Roman'" w:cs="Times New Roman"/>
                <w:sz w:val="18"/>
              </w:rPr>
            </w:pPr>
            <w:r>
              <w:rPr>
                <w:sz w:val="18"/>
              </w:rPr>
              <w:t>Instytucja</w:t>
            </w:r>
            <w:r w:rsidR="00345141">
              <w:rPr>
                <w:sz w:val="18"/>
              </w:rPr>
              <w:t xml:space="preserve"> krajowa (w stosownych przypadkach dla programów z uczestniczącymi krajami trzecimi)</w:t>
            </w:r>
          </w:p>
        </w:tc>
        <w:tc>
          <w:tcPr>
            <w:tcW w:w="2221" w:type="dxa"/>
          </w:tcPr>
          <w:p w14:paraId="73D5E71D" w14:textId="55C04250" w:rsidR="00B65439" w:rsidRPr="00C435CB" w:rsidRDefault="007C319B">
            <w:pPr>
              <w:spacing w:before="60" w:after="60" w:line="240" w:lineRule="auto"/>
              <w:rPr>
                <w:rFonts w:eastAsia="'Times New Roman'" w:cs="Times New Roman"/>
                <w:sz w:val="18"/>
              </w:rPr>
            </w:pPr>
            <w:r>
              <w:rPr>
                <w:sz w:val="18"/>
              </w:rPr>
              <w:t>Nie dotyczy</w:t>
            </w:r>
          </w:p>
        </w:tc>
        <w:tc>
          <w:tcPr>
            <w:tcW w:w="2156" w:type="dxa"/>
          </w:tcPr>
          <w:p w14:paraId="701028C3" w14:textId="77777777" w:rsidR="00B65439" w:rsidRPr="00C435CB" w:rsidRDefault="00B65439">
            <w:pPr>
              <w:spacing w:before="60" w:after="60" w:line="240" w:lineRule="auto"/>
              <w:rPr>
                <w:rFonts w:eastAsia="'Times New Roman'" w:cs="Times New Roman"/>
                <w:sz w:val="18"/>
              </w:rPr>
            </w:pPr>
          </w:p>
        </w:tc>
        <w:tc>
          <w:tcPr>
            <w:tcW w:w="2323" w:type="dxa"/>
          </w:tcPr>
          <w:p w14:paraId="36F8A9F7" w14:textId="77777777" w:rsidR="00B65439" w:rsidRPr="00C435CB" w:rsidRDefault="00B65439">
            <w:pPr>
              <w:spacing w:before="60" w:after="60" w:line="240" w:lineRule="auto"/>
              <w:rPr>
                <w:rFonts w:eastAsia="'Times New Roman'" w:cs="Times New Roman"/>
                <w:sz w:val="18"/>
              </w:rPr>
            </w:pPr>
          </w:p>
        </w:tc>
      </w:tr>
      <w:tr w:rsidR="00B65439" w14:paraId="6FB5860E" w14:textId="77777777">
        <w:tc>
          <w:tcPr>
            <w:tcW w:w="2360" w:type="dxa"/>
          </w:tcPr>
          <w:p w14:paraId="3729B70F" w14:textId="77777777" w:rsidR="00B65439" w:rsidRPr="00C435CB" w:rsidRDefault="00345141">
            <w:pPr>
              <w:spacing w:before="60" w:after="60" w:line="240" w:lineRule="auto"/>
              <w:rPr>
                <w:rFonts w:eastAsia="'Times New Roman'" w:cs="Times New Roman"/>
                <w:sz w:val="18"/>
              </w:rPr>
            </w:pPr>
            <w:r>
              <w:rPr>
                <w:sz w:val="18"/>
              </w:rPr>
              <w:t>Instytucja audytowa</w:t>
            </w:r>
          </w:p>
        </w:tc>
        <w:tc>
          <w:tcPr>
            <w:tcW w:w="2221" w:type="dxa"/>
          </w:tcPr>
          <w:p w14:paraId="56608467" w14:textId="77777777" w:rsidR="00B65439" w:rsidRPr="00C435CB" w:rsidRDefault="00345141">
            <w:pPr>
              <w:spacing w:before="60" w:after="60" w:line="240" w:lineRule="auto"/>
              <w:rPr>
                <w:rFonts w:eastAsia="'Times New Roman'" w:cs="Times New Roman"/>
                <w:color w:val="000000"/>
                <w:sz w:val="18"/>
              </w:rPr>
            </w:pPr>
            <w:r>
              <w:rPr>
                <w:color w:val="000000"/>
                <w:sz w:val="18"/>
              </w:rPr>
              <w:t>Ministerstwo Finansów Republiki Słowackiej/Dział ds. audytu i kontroli</w:t>
            </w:r>
          </w:p>
        </w:tc>
        <w:tc>
          <w:tcPr>
            <w:tcW w:w="2156" w:type="dxa"/>
          </w:tcPr>
          <w:p w14:paraId="4FC447F9" w14:textId="77777777" w:rsidR="00B65439" w:rsidRPr="00C435CB" w:rsidRDefault="00B65439">
            <w:pPr>
              <w:spacing w:before="60" w:after="60" w:line="240" w:lineRule="auto"/>
              <w:rPr>
                <w:rFonts w:eastAsia="'Times New Roman'" w:cs="Times New Roman"/>
                <w:color w:val="000000"/>
                <w:sz w:val="18"/>
              </w:rPr>
            </w:pPr>
          </w:p>
        </w:tc>
        <w:tc>
          <w:tcPr>
            <w:tcW w:w="2323" w:type="dxa"/>
          </w:tcPr>
          <w:p w14:paraId="3809EC28" w14:textId="77777777" w:rsidR="00B65439" w:rsidRPr="00C435CB" w:rsidRDefault="00B65439">
            <w:pPr>
              <w:spacing w:before="60" w:after="60" w:line="240" w:lineRule="auto"/>
              <w:rPr>
                <w:rFonts w:eastAsia="'Times New Roman'" w:cs="Times New Roman"/>
                <w:color w:val="000000"/>
                <w:sz w:val="18"/>
              </w:rPr>
            </w:pPr>
          </w:p>
        </w:tc>
      </w:tr>
      <w:tr w:rsidR="00B65439" w14:paraId="17FE7A07" w14:textId="77777777">
        <w:tc>
          <w:tcPr>
            <w:tcW w:w="2360" w:type="dxa"/>
          </w:tcPr>
          <w:p w14:paraId="21E4CAE3" w14:textId="77777777" w:rsidR="00B65439" w:rsidRPr="00C435CB" w:rsidRDefault="00345141">
            <w:pPr>
              <w:spacing w:before="60" w:after="60" w:line="240" w:lineRule="auto"/>
              <w:rPr>
                <w:rFonts w:eastAsia="'Times New Roman'" w:cs="Times New Roman"/>
                <w:sz w:val="18"/>
              </w:rPr>
            </w:pPr>
            <w:r>
              <w:rPr>
                <w:sz w:val="18"/>
              </w:rPr>
              <w:t>Grupa przedstawicieli audytorów</w:t>
            </w:r>
          </w:p>
        </w:tc>
        <w:tc>
          <w:tcPr>
            <w:tcW w:w="2221" w:type="dxa"/>
          </w:tcPr>
          <w:p w14:paraId="61482D6C" w14:textId="049D3229" w:rsidR="00B65439" w:rsidRPr="00C435CB" w:rsidRDefault="007C319B">
            <w:pPr>
              <w:spacing w:before="60" w:after="60" w:line="240" w:lineRule="auto"/>
              <w:rPr>
                <w:rFonts w:eastAsia="'Times New Roman'" w:cs="Times New Roman"/>
                <w:sz w:val="18"/>
              </w:rPr>
            </w:pPr>
            <w:r>
              <w:rPr>
                <w:sz w:val="18"/>
              </w:rPr>
              <w:t>Nie dotyczy</w:t>
            </w:r>
          </w:p>
        </w:tc>
        <w:tc>
          <w:tcPr>
            <w:tcW w:w="2156" w:type="dxa"/>
          </w:tcPr>
          <w:p w14:paraId="2903629A" w14:textId="77777777" w:rsidR="00B65439" w:rsidRPr="00C435CB" w:rsidRDefault="00B65439">
            <w:pPr>
              <w:spacing w:before="60" w:after="60" w:line="240" w:lineRule="auto"/>
              <w:rPr>
                <w:rFonts w:eastAsia="'Times New Roman'" w:cs="Times New Roman"/>
                <w:sz w:val="18"/>
              </w:rPr>
            </w:pPr>
          </w:p>
        </w:tc>
        <w:tc>
          <w:tcPr>
            <w:tcW w:w="2323" w:type="dxa"/>
          </w:tcPr>
          <w:p w14:paraId="01EA63AC" w14:textId="77777777" w:rsidR="00B65439" w:rsidRPr="00C435CB" w:rsidRDefault="00B65439">
            <w:pPr>
              <w:spacing w:before="60" w:after="60" w:line="240" w:lineRule="auto"/>
              <w:rPr>
                <w:rFonts w:eastAsia="'Times New Roman'" w:cs="Times New Roman"/>
                <w:sz w:val="18"/>
              </w:rPr>
            </w:pPr>
          </w:p>
        </w:tc>
      </w:tr>
      <w:tr w:rsidR="00B65439" w14:paraId="58ECFEAD" w14:textId="77777777">
        <w:tc>
          <w:tcPr>
            <w:tcW w:w="2360" w:type="dxa"/>
          </w:tcPr>
          <w:p w14:paraId="189C2F65" w14:textId="77777777" w:rsidR="00B65439" w:rsidRPr="00C435CB" w:rsidRDefault="00345141">
            <w:pPr>
              <w:spacing w:before="60" w:after="60" w:line="240" w:lineRule="auto"/>
              <w:rPr>
                <w:rFonts w:eastAsia="'Times New Roman'" w:cs="Times New Roman"/>
                <w:sz w:val="18"/>
              </w:rPr>
            </w:pPr>
            <w:r>
              <w:rPr>
                <w:sz w:val="18"/>
              </w:rPr>
              <w:t>Organ, na rzecz którego Komisja ma dokonywać płatności</w:t>
            </w:r>
          </w:p>
        </w:tc>
        <w:tc>
          <w:tcPr>
            <w:tcW w:w="2221" w:type="dxa"/>
          </w:tcPr>
          <w:p w14:paraId="3AD2FFCC" w14:textId="77777777" w:rsidR="00B65439" w:rsidRPr="00C435CB" w:rsidRDefault="00345141">
            <w:pPr>
              <w:spacing w:before="60" w:after="60" w:line="240" w:lineRule="auto"/>
              <w:rPr>
                <w:rFonts w:eastAsia="'Times New Roman'" w:cs="Times New Roman"/>
                <w:color w:val="000000"/>
                <w:sz w:val="18"/>
              </w:rPr>
            </w:pPr>
            <w:r>
              <w:rPr>
                <w:color w:val="000000"/>
                <w:sz w:val="18"/>
              </w:rPr>
              <w:t>Ministerstwo Finansów Republiki Słowackiej/Dział ds. funduszy europejskich</w:t>
            </w:r>
          </w:p>
        </w:tc>
        <w:tc>
          <w:tcPr>
            <w:tcW w:w="2156" w:type="dxa"/>
          </w:tcPr>
          <w:p w14:paraId="4BAC013C" w14:textId="77777777" w:rsidR="00B65439" w:rsidRPr="00C435CB" w:rsidRDefault="00B65439">
            <w:pPr>
              <w:spacing w:before="60" w:after="60" w:line="240" w:lineRule="auto"/>
              <w:rPr>
                <w:rFonts w:eastAsia="'Times New Roman'" w:cs="Times New Roman"/>
                <w:color w:val="000000"/>
                <w:sz w:val="18"/>
              </w:rPr>
            </w:pPr>
          </w:p>
        </w:tc>
        <w:tc>
          <w:tcPr>
            <w:tcW w:w="2323" w:type="dxa"/>
          </w:tcPr>
          <w:p w14:paraId="20B8499E" w14:textId="77777777" w:rsidR="00B65439" w:rsidRPr="00C435CB" w:rsidRDefault="00B65439">
            <w:pPr>
              <w:spacing w:before="60" w:after="60" w:line="240" w:lineRule="auto"/>
              <w:rPr>
                <w:rFonts w:eastAsia="'Times New Roman'" w:cs="Times New Roman"/>
                <w:color w:val="000000"/>
                <w:sz w:val="18"/>
              </w:rPr>
            </w:pPr>
          </w:p>
        </w:tc>
      </w:tr>
    </w:tbl>
    <w:p w14:paraId="16F3093E" w14:textId="77777777" w:rsidR="00B65439" w:rsidRDefault="00B65439">
      <w:pPr>
        <w:spacing w:line="240" w:lineRule="auto"/>
        <w:rPr>
          <w:rFonts w:ascii="'Times New Roman'" w:eastAsia="'Times New Roman'" w:hAnsi="'Times New Roman'"/>
          <w:b/>
        </w:rPr>
      </w:pPr>
    </w:p>
    <w:p w14:paraId="04B65390" w14:textId="3F1580D0" w:rsidR="00B65439" w:rsidRPr="00A32993" w:rsidRDefault="00862C65">
      <w:pPr>
        <w:keepNext/>
        <w:spacing w:before="240" w:after="240" w:line="240" w:lineRule="auto"/>
        <w:ind w:left="709" w:hanging="709"/>
        <w:jc w:val="both"/>
        <w:rPr>
          <w:rFonts w:eastAsia="'Times New Roman'" w:cs="Times New Roman"/>
          <w:b/>
        </w:rPr>
      </w:pPr>
      <w:r>
        <w:rPr>
          <w:b/>
        </w:rPr>
        <w:t>7,2.</w:t>
      </w:r>
      <w:r>
        <w:rPr>
          <w:b/>
        </w:rPr>
        <w:tab/>
        <w:t>Procedura tworzenia wspólnego sekretariatu</w:t>
      </w:r>
    </w:p>
    <w:p w14:paraId="61B06C17" w14:textId="77777777" w:rsidR="00B65439" w:rsidRPr="00A32993" w:rsidRDefault="00345141">
      <w:pPr>
        <w:keepNext/>
        <w:spacing w:after="200" w:line="240" w:lineRule="auto"/>
        <w:jc w:val="both"/>
        <w:rPr>
          <w:rFonts w:eastAsia="'Times New Roman'" w:cs="Times New Roman"/>
          <w:i/>
        </w:rPr>
      </w:pPr>
      <w:r>
        <w:rPr>
          <w:i/>
          <w:color w:val="000000"/>
        </w:rPr>
        <w:t>Odniesienie: Art. 17(7)(b)</w:t>
      </w:r>
    </w:p>
    <w:p w14:paraId="63F5C769" w14:textId="00355ACB" w:rsidR="00B65439" w:rsidRPr="00A32993" w:rsidRDefault="00345141" w:rsidP="00A32993">
      <w:pPr>
        <w:pStyle w:val="Normalpararaph"/>
      </w:pPr>
      <w:r>
        <w:t xml:space="preserve">Instytucja zarządzająca będzie wspomagana przez </w:t>
      </w:r>
      <w:r w:rsidR="006F237F">
        <w:t xml:space="preserve">niewielki </w:t>
      </w:r>
      <w:r>
        <w:t xml:space="preserve">wspólny sekretariat (Sekretariat </w:t>
      </w:r>
      <w:proofErr w:type="spellStart"/>
      <w:r>
        <w:t>Interact</w:t>
      </w:r>
      <w:proofErr w:type="spellEnd"/>
      <w:r>
        <w:t xml:space="preserve">, SI) i będzie zawierać umowy ze zdecentralizowanymi organami wdrażającymi, zwanymi dalej Biurami </w:t>
      </w:r>
      <w:proofErr w:type="spellStart"/>
      <w:r>
        <w:t>Interact</w:t>
      </w:r>
      <w:proofErr w:type="spellEnd"/>
      <w:r>
        <w:t>, przez które organizacja faktycznie będzie dostarczać program grupom docelowym.</w:t>
      </w:r>
    </w:p>
    <w:p w14:paraId="66EFEE3E" w14:textId="77777777" w:rsidR="00B65439" w:rsidRPr="00A32993" w:rsidRDefault="00345141" w:rsidP="00A32993">
      <w:pPr>
        <w:pStyle w:val="Normalpararaph"/>
      </w:pPr>
      <w:r>
        <w:t xml:space="preserve">Zapewniona zostanie ścisła współpraca między Instytucją zarządzającą, Sekretariatem </w:t>
      </w:r>
      <w:proofErr w:type="spellStart"/>
      <w:r>
        <w:t>Interact</w:t>
      </w:r>
      <w:proofErr w:type="spellEnd"/>
      <w:r>
        <w:t xml:space="preserve"> i Biurami </w:t>
      </w:r>
      <w:proofErr w:type="spellStart"/>
      <w:r>
        <w:t>Interact</w:t>
      </w:r>
      <w:proofErr w:type="spellEnd"/>
      <w:r>
        <w:t xml:space="preserve"> w zakresie wspólnego opracowywania i wdrażania wieloletnich/rocznych programów/planów prac.</w:t>
      </w:r>
    </w:p>
    <w:p w14:paraId="1D93BE55" w14:textId="13DD4750" w:rsidR="00B65439" w:rsidRPr="00A32993" w:rsidRDefault="00345141" w:rsidP="00A32993">
      <w:pPr>
        <w:pStyle w:val="Normalpararaph"/>
      </w:pPr>
      <w:r>
        <w:lastRenderedPageBreak/>
        <w:t>Zgodnie z charakterem programu (</w:t>
      </w:r>
      <w:proofErr w:type="spellStart"/>
      <w:r>
        <w:t>Interact</w:t>
      </w:r>
      <w:proofErr w:type="spellEnd"/>
      <w:r>
        <w:t xml:space="preserve"> IV nie będzie realizował projektów w zwykłym rozumieniu </w:t>
      </w:r>
      <w:proofErr w:type="spellStart"/>
      <w:r>
        <w:t>Interreg</w:t>
      </w:r>
      <w:proofErr w:type="spellEnd"/>
      <w:r>
        <w:t xml:space="preserve">, ale dla ograniczonych </w:t>
      </w:r>
      <w:r w:rsidR="00D76F93">
        <w:t xml:space="preserve">grup </w:t>
      </w:r>
      <w:r>
        <w:t xml:space="preserve">beneficjentów przez cały okres wdrażania programu), nie ma potrzeby informowania beneficjentów. Dlatego </w:t>
      </w:r>
      <w:r w:rsidR="00D76F93">
        <w:t xml:space="preserve">niewielka </w:t>
      </w:r>
      <w:r>
        <w:t>komórka sekretariatu, utworzona w ramach IZ, w strukturze organizacyjnej Samorządowego Regionu Bratysławy, będzie wspierać głównie Instytucję zarządzającą i Komitet monitorujący wykonując swoje funkcje zarówno koordynacyjne (w ramach Priorytetu nr 1), jak i zarządzania technicznego; przede wszystkim jednak będzie odpowiedzialna za następujące zadania:</w:t>
      </w:r>
    </w:p>
    <w:p w14:paraId="47F97561" w14:textId="790ED15D" w:rsidR="00B65439" w:rsidRPr="00A32993" w:rsidRDefault="00345141" w:rsidP="00A32993">
      <w:pPr>
        <w:pStyle w:val="Bulletedlist1"/>
      </w:pPr>
      <w:r>
        <w:t>Ustanowienie ram świadczenia usług: opracowywanie i dalsze rozwijanie procedur na poziomie programu i powiązanych szablonów (np. związanych z rocznym planowaniem prac) oraz kluczowych dokumentów (np. wieloletniego dokumentu strategicznego i wewnętrznych wytycznych);</w:t>
      </w:r>
    </w:p>
    <w:p w14:paraId="4818F469" w14:textId="77777777" w:rsidR="00B65439" w:rsidRPr="00A32993" w:rsidRDefault="00345141" w:rsidP="00A32993">
      <w:pPr>
        <w:pStyle w:val="Bulletedlist1"/>
      </w:pPr>
      <w:r>
        <w:t xml:space="preserve">Koordynowanie faktycznej realizacji procesów na poziomie programu, w tym ułatwianie corocznego planowania prac, opracowywanie wspólnych rocznych planów prac na podstawie wkładu Biur </w:t>
      </w:r>
      <w:proofErr w:type="spellStart"/>
      <w:r>
        <w:t>Interact</w:t>
      </w:r>
      <w:proofErr w:type="spellEnd"/>
      <w:r>
        <w:t>, a także organizowanie spotkań koordynacyjnych i podejmowanie działań następczych w tym zakresie;</w:t>
      </w:r>
    </w:p>
    <w:p w14:paraId="006548C0" w14:textId="77777777" w:rsidR="00B65439" w:rsidRPr="00A32993" w:rsidRDefault="00345141" w:rsidP="00A32993">
      <w:pPr>
        <w:pStyle w:val="Bulletedlist1"/>
      </w:pPr>
      <w:r>
        <w:t xml:space="preserve">Zbieranie i kompilowanie danych wejściowych Biur </w:t>
      </w:r>
      <w:proofErr w:type="spellStart"/>
      <w:r>
        <w:t>Interact</w:t>
      </w:r>
      <w:proofErr w:type="spellEnd"/>
      <w:r>
        <w:t xml:space="preserve"> w formie dokumentów na poziomie programu;</w:t>
      </w:r>
    </w:p>
    <w:p w14:paraId="48A490BE" w14:textId="77777777" w:rsidR="00B65439" w:rsidRPr="00A32993" w:rsidRDefault="00345141" w:rsidP="00A32993">
      <w:pPr>
        <w:pStyle w:val="Bulletedlist1"/>
      </w:pPr>
      <w:r>
        <w:t>Przyczynianie się do zadań związanych z monitorowaniem merytoryki i finansów, za które odpowiedzialność ponosi Instytucja zarządzająca;</w:t>
      </w:r>
    </w:p>
    <w:p w14:paraId="6C519C31" w14:textId="77777777" w:rsidR="00B65439" w:rsidRPr="00A32993" w:rsidRDefault="00345141" w:rsidP="00A32993">
      <w:pPr>
        <w:pStyle w:val="Bulletedlist1"/>
      </w:pPr>
      <w:r>
        <w:t>Wypełnianie obowiązków sprawozdawczych na poziomie programu (oraz pomoc w tymże);</w:t>
      </w:r>
    </w:p>
    <w:p w14:paraId="11E203DB" w14:textId="77777777" w:rsidR="00B65439" w:rsidRPr="00A32993" w:rsidRDefault="00345141" w:rsidP="00A32993">
      <w:pPr>
        <w:pStyle w:val="Bulletedlist1"/>
      </w:pPr>
      <w:r>
        <w:t>Zapewnienie (utworzenie, utrzymanie i dalszy rozwój) wspólnej infrastruktury informatycznej programu, w tym systemu monitorowania programu, platformy współpracy online itp.</w:t>
      </w:r>
    </w:p>
    <w:p w14:paraId="62737ABF" w14:textId="69E355F8" w:rsidR="00B65439" w:rsidRPr="00A32993" w:rsidRDefault="00862C65">
      <w:pPr>
        <w:keepNext/>
        <w:spacing w:before="240" w:after="240" w:line="240" w:lineRule="auto"/>
        <w:ind w:left="709" w:hanging="709"/>
        <w:rPr>
          <w:rFonts w:eastAsia="'Times New Roman'" w:cs="Times New Roman"/>
          <w:b/>
        </w:rPr>
      </w:pPr>
      <w:r>
        <w:rPr>
          <w:b/>
        </w:rPr>
        <w:t>7.3</w:t>
      </w:r>
      <w:r>
        <w:rPr>
          <w:b/>
        </w:rPr>
        <w:tab/>
        <w:t>Podział odpowiedzialności między uczestniczące państwa członkowskie oraz – w stosownych przypadkach – państwa trzecie i KTZ, w przypadku korekt finansowych nałożonych przez instytucję zarządzającą lub Komisję</w:t>
      </w:r>
    </w:p>
    <w:p w14:paraId="0338E11C" w14:textId="77777777" w:rsidR="00B65439" w:rsidRPr="00A32993" w:rsidRDefault="00345141">
      <w:pPr>
        <w:keepNext/>
        <w:spacing w:after="200" w:line="240" w:lineRule="auto"/>
        <w:jc w:val="both"/>
        <w:rPr>
          <w:rFonts w:eastAsia="'Times New Roman'" w:cs="Times New Roman"/>
          <w:i/>
        </w:rPr>
      </w:pPr>
      <w:r>
        <w:rPr>
          <w:i/>
          <w:color w:val="000000"/>
        </w:rPr>
        <w:t>Odniesienie: Art. 17(7)(c)</w:t>
      </w:r>
    </w:p>
    <w:p w14:paraId="560CB77D" w14:textId="77777777" w:rsidR="00B65439" w:rsidRPr="00A32993" w:rsidRDefault="00345141" w:rsidP="00A32993">
      <w:pPr>
        <w:pStyle w:val="Normalpararaph"/>
      </w:pPr>
      <w:r>
        <w:t>Beneficjenci ponoszą odpowiedzialność za wszelkie nieprawidłowości, które mogli spowodować. Wszelkie nienależnie wypłacone kwoty są odzyskiwane od konkretnego beneficjenta przez instytucję zarządzającą.</w:t>
      </w:r>
    </w:p>
    <w:p w14:paraId="40E815F2" w14:textId="10150C2A" w:rsidR="00B65439" w:rsidRPr="00A32993" w:rsidRDefault="00345141" w:rsidP="00A32993">
      <w:pPr>
        <w:pStyle w:val="Normalpararaph"/>
      </w:pPr>
      <w:r>
        <w:t xml:space="preserve">Jeżeli instytucji zarządzającej nie uda się zapewnić spłaty od jednego z beneficjentów, państwo członkowskie, na którego terytorium znajduje się dany beneficjent, zwróci instytucji zarządzającej wszelkie kwoty nienależnie wypłacone temu beneficjentowi. Każde uczestniczące państwo członkowskie przyjmujące konkretnego beneficjenta, podpisując </w:t>
      </w:r>
      <w:r w:rsidR="00D76F93">
        <w:t>porozumienie zgodnie z</w:t>
      </w:r>
      <w:r>
        <w:t xml:space="preserve"> Art. 16(5) rozporządzenia </w:t>
      </w:r>
      <w:proofErr w:type="spellStart"/>
      <w:r>
        <w:t>Interreg</w:t>
      </w:r>
      <w:proofErr w:type="spellEnd"/>
      <w:r>
        <w:t xml:space="preserve">, wyraźnie zgadza się na ponoszenie tej dodatkowej odpowiedzialności i terminowy zwrot wszelkich nienależnie wpłaconych kwot na konto programu. Instytucja zarządzająca jest odpowiedzialna za zwrot odpowiednich kwot do budżetu ogólnego Unii. Wszelkie </w:t>
      </w:r>
      <w:r>
        <w:lastRenderedPageBreak/>
        <w:t>takie zdarzenia i środki zostaną w odpowiednim czasie omówione i uzgodnione na pierwszym kolejnym posiedzeniu Komitetu monitorującego.</w:t>
      </w:r>
    </w:p>
    <w:p w14:paraId="229EAF18" w14:textId="4D855616" w:rsidR="00B65439" w:rsidRPr="00A32993" w:rsidRDefault="00345141" w:rsidP="00A32993">
      <w:pPr>
        <w:pStyle w:val="Normalpararaph"/>
      </w:pPr>
      <w:r>
        <w:t xml:space="preserve">Jeżeli jakikolwiek właściwy organ państwa członkowskiego wykryje nieprawidłowość, w odpowiednim czasie poinformuje o tym Instytucję zarządzającą i </w:t>
      </w:r>
      <w:hyperlink>
        <w:r>
          <w:t>Instytucję audytową</w:t>
        </w:r>
      </w:hyperlink>
      <w:r>
        <w:t>.</w:t>
      </w:r>
    </w:p>
    <w:p w14:paraId="3CAFFED1" w14:textId="77777777" w:rsidR="00B65439" w:rsidRPr="00A32993" w:rsidRDefault="00345141" w:rsidP="00A32993">
      <w:pPr>
        <w:pStyle w:val="Normalpararaph"/>
      </w:pPr>
      <w:r>
        <w:t>W przypadku zawieszenia płatności przez Komisję Europejską z powodu błędów, nieprawidłowości, a nawet czynników zewnętrznych, takich jak luki w przepływach pieniężnych na poziomie europejskim, Instytucja zarządzająca poinformuje beneficjentów i Komitet monitorujący o zawieszeniu i przyczynach niezwłocznie uzyskaniu takiej wiedzy.</w:t>
      </w:r>
    </w:p>
    <w:p w14:paraId="46CF5C43" w14:textId="4882D86B" w:rsidR="00B65439" w:rsidRPr="00A32993" w:rsidRDefault="00345141" w:rsidP="00A32993">
      <w:pPr>
        <w:pStyle w:val="Normalpararaph"/>
      </w:pPr>
      <w:r>
        <w:t xml:space="preserve">Dysponując tymi informacjami, Instytucja zarządzająca zwołuje również wszystkie podmioty, na które zawieszenie ma bezpośredni wpływ, w szczególności beneficjentów, w celu opracowania planu usunięcia przyczyn, zgodnie ze wskazówkami przekazanymi przez Komisję Europejską. Komitet monitorujący informowany będzie na wszystkich etapach w szczególności o środkach uzgodnionych z Komisją Europejską, postępach i konsekwencjach zawieszenia świadczenia usług przez </w:t>
      </w:r>
      <w:proofErr w:type="spellStart"/>
      <w:r>
        <w:t>Interact</w:t>
      </w:r>
      <w:proofErr w:type="spellEnd"/>
      <w:r>
        <w:t>.</w:t>
      </w:r>
      <w:bookmarkStart w:id="0" w:name="_GoBack"/>
      <w:bookmarkEnd w:id="0"/>
    </w:p>
    <w:p w14:paraId="1C1342FE" w14:textId="128053B2" w:rsidR="00B65439" w:rsidRPr="00A32993" w:rsidRDefault="00345141" w:rsidP="00A32993">
      <w:pPr>
        <w:pStyle w:val="Normalpararaph"/>
      </w:pPr>
      <w:r>
        <w:t xml:space="preserve">Instytucja zarządzająca zapewni, że każda kwota wypłacona w wyniku nieprawidłowości zostanie odzyskana od beneficjenta. W przypadku </w:t>
      </w:r>
      <w:proofErr w:type="spellStart"/>
      <w:r>
        <w:t>Interact</w:t>
      </w:r>
      <w:proofErr w:type="spellEnd"/>
      <w:r>
        <w:t xml:space="preserve"> IV przez „beneficjentów” rozumie się instytucje przyjmujące w państwach członkowskich, w których znajdują się </w:t>
      </w:r>
      <w:hyperlink>
        <w:r>
          <w:t>Sekretariat</w:t>
        </w:r>
      </w:hyperlink>
      <w:r>
        <w:t xml:space="preserve"> i </w:t>
      </w:r>
      <w:r w:rsidR="00D76F93">
        <w:t>B</w:t>
      </w:r>
      <w:r>
        <w:t xml:space="preserve">iura </w:t>
      </w:r>
      <w:proofErr w:type="spellStart"/>
      <w:r>
        <w:t>Interact</w:t>
      </w:r>
      <w:proofErr w:type="spellEnd"/>
      <w:r>
        <w:t>.</w:t>
      </w:r>
    </w:p>
    <w:p w14:paraId="29FDDD25" w14:textId="0473A547" w:rsidR="00B65439" w:rsidRPr="00A32993" w:rsidRDefault="00345141" w:rsidP="00A32993">
      <w:pPr>
        <w:pStyle w:val="Normalpararaph"/>
      </w:pPr>
      <w:r>
        <w:t>Mimo że państwa członkowskie</w:t>
      </w:r>
      <w:r w:rsidR="006F237F">
        <w:t>, które nie będą na swoim terytorium posiadać jednostek</w:t>
      </w:r>
      <w:r w:rsidR="00D76F93">
        <w:t xml:space="preserve"> </w:t>
      </w:r>
      <w:r w:rsidR="006F237F">
        <w:t>programu</w:t>
      </w:r>
      <w:r>
        <w:t xml:space="preserve"> </w:t>
      </w:r>
      <w:proofErr w:type="spellStart"/>
      <w:r>
        <w:t>Interact</w:t>
      </w:r>
      <w:proofErr w:type="spellEnd"/>
      <w:r>
        <w:t xml:space="preserve">, nie będą beneficjentami programu, będą </w:t>
      </w:r>
      <w:r w:rsidR="006F237F">
        <w:t xml:space="preserve">otrzymywać </w:t>
      </w:r>
      <w:r>
        <w:t xml:space="preserve">korzyści wynikające z usług programu. W przypadku korekt finansowych nałożonych przez </w:t>
      </w:r>
      <w:r w:rsidR="006F237F">
        <w:t>Instytucję Zarządzającą</w:t>
      </w:r>
      <w:r>
        <w:t xml:space="preserve"> lub Komisję, zgodnie z Art. 17(7)(c) rozporządzenia </w:t>
      </w:r>
      <w:proofErr w:type="spellStart"/>
      <w:r>
        <w:t>Interreg</w:t>
      </w:r>
      <w:proofErr w:type="spellEnd"/>
      <w:r w:rsidR="006F237F">
        <w:t>,</w:t>
      </w:r>
      <w:r>
        <w:t xml:space="preserve"> w programie określa się podział odpowiedzialności między uczestnicząc</w:t>
      </w:r>
      <w:r w:rsidR="00D76F93">
        <w:t>ymi</w:t>
      </w:r>
      <w:r>
        <w:t xml:space="preserve"> państwa</w:t>
      </w:r>
      <w:r w:rsidR="00D76F93">
        <w:t>mi</w:t>
      </w:r>
      <w:r>
        <w:t xml:space="preserve"> członkowski</w:t>
      </w:r>
      <w:r w:rsidR="00D76F93">
        <w:t>mi</w:t>
      </w:r>
      <w:r>
        <w:t xml:space="preserve"> oraz, w stosownych przypadkach, partnerski</w:t>
      </w:r>
      <w:r w:rsidR="00D76F93">
        <w:t>mi</w:t>
      </w:r>
      <w:r>
        <w:t xml:space="preserve"> kraj</w:t>
      </w:r>
      <w:r w:rsidR="00D76F93">
        <w:t>ami</w:t>
      </w:r>
      <w:r>
        <w:t xml:space="preserve"> trzeci</w:t>
      </w:r>
      <w:r w:rsidR="00D76F93">
        <w:t>mi</w:t>
      </w:r>
      <w:r>
        <w:t xml:space="preserve"> lub </w:t>
      </w:r>
      <w:r w:rsidR="006F237F">
        <w:t>krajami lub terytoriami zamorskimi</w:t>
      </w:r>
      <w:r>
        <w:t>.</w:t>
      </w:r>
    </w:p>
    <w:p w14:paraId="72A498CF" w14:textId="12BC0D7E" w:rsidR="00B65439" w:rsidRDefault="00EE2F7B" w:rsidP="00A32993">
      <w:pPr>
        <w:pStyle w:val="Normalpararaph"/>
      </w:pPr>
      <w:r>
        <w:t>Dla</w:t>
      </w:r>
      <w:r w:rsidR="00345141">
        <w:t xml:space="preserve"> </w:t>
      </w:r>
      <w:proofErr w:type="spellStart"/>
      <w:r w:rsidR="00345141">
        <w:t>Interact</w:t>
      </w:r>
      <w:proofErr w:type="spellEnd"/>
      <w:r w:rsidR="00345141">
        <w:t xml:space="preserve"> IV, w przypadku zaistnienia korekt ryczałtowych wynikających z błędów systemowych lub nieprawidłowości spowodowanych decyzjami Komitet</w:t>
      </w:r>
      <w:r w:rsidR="00C16EA4">
        <w:t>u</w:t>
      </w:r>
      <w:r w:rsidR="00345141">
        <w:t xml:space="preserve"> Monitorując</w:t>
      </w:r>
      <w:r w:rsidR="00C16EA4">
        <w:t>ego</w:t>
      </w:r>
      <w:r w:rsidR="00345141">
        <w:t xml:space="preserve"> program</w:t>
      </w:r>
      <w:r w:rsidR="00C16EA4">
        <w:t>u</w:t>
      </w:r>
      <w:r w:rsidR="00345141">
        <w:t>, wszystkie państwa członkowskie zgodziły się podzielić odpowiedzialność proporcjonalnie do ich udziału we współfinansowaniu, ale nie przekraczając jednocześnie kwoty ich odpowiedniego wkładu krajowego. Za wszelkie nieprawidłowości, w tym te o charakterze systemowym</w:t>
      </w:r>
      <w:r w:rsidR="00C16EA4">
        <w:t>,</w:t>
      </w:r>
      <w:r w:rsidR="00345141">
        <w:t xml:space="preserve"> odpowiedzialność ponoszą podmioty i/lub beneficjenci (o ile je spowodowali).</w:t>
      </w:r>
    </w:p>
    <w:p w14:paraId="7114F821" w14:textId="679158E5" w:rsidR="00B65439" w:rsidRPr="00A32993" w:rsidRDefault="00862C65" w:rsidP="000C2DC4">
      <w:pPr>
        <w:keepNext/>
        <w:pageBreakBefore/>
        <w:spacing w:before="120" w:after="120" w:line="240" w:lineRule="auto"/>
        <w:jc w:val="both"/>
        <w:rPr>
          <w:rFonts w:eastAsia="'Times New Roman'" w:cs="Times New Roman"/>
          <w:b/>
        </w:rPr>
      </w:pPr>
      <w:r>
        <w:rPr>
          <w:b/>
        </w:rPr>
        <w:lastRenderedPageBreak/>
        <w:t>8.</w:t>
      </w:r>
      <w:r>
        <w:rPr>
          <w:b/>
        </w:rPr>
        <w:tab/>
        <w:t>Stosowanie kosztów jednostkowych, kwot/stawek ryczałtowych i finansowania niepowiązanego z kosztami</w:t>
      </w:r>
    </w:p>
    <w:p w14:paraId="4C80016C" w14:textId="535E591D" w:rsidR="00B65439" w:rsidRPr="00A32993" w:rsidRDefault="00345141">
      <w:pPr>
        <w:keepNext/>
        <w:spacing w:before="240" w:after="240" w:line="240" w:lineRule="auto"/>
        <w:rPr>
          <w:rFonts w:eastAsia="'Times New Roman'" w:cs="Times New Roman"/>
          <w:b/>
          <w:i/>
        </w:rPr>
      </w:pPr>
      <w:r>
        <w:rPr>
          <w:b/>
          <w:i/>
        </w:rPr>
        <w:t xml:space="preserve">Odniesienie: Art. 88 i 89 </w:t>
      </w:r>
      <w:r w:rsidR="002B56EF">
        <w:rPr>
          <w:b/>
          <w:i/>
        </w:rPr>
        <w:t>rozporządzenia ogólnego</w:t>
      </w:r>
    </w:p>
    <w:p w14:paraId="65C37AC0" w14:textId="77777777" w:rsidR="00B65439" w:rsidRPr="00A32993" w:rsidRDefault="00345141">
      <w:pPr>
        <w:keepNext/>
        <w:spacing w:before="120" w:after="120" w:line="240" w:lineRule="auto"/>
        <w:rPr>
          <w:rFonts w:eastAsia="'Times New Roman'" w:cs="Times New Roman"/>
        </w:rPr>
      </w:pPr>
      <w:r>
        <w:t>Tabela 11: Stosowanie kosztów jednostkowych, kwot/stawek ryczałtowych i finansowania niepowiązanego z kosztami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1650"/>
        <w:gridCol w:w="1650"/>
      </w:tblGrid>
      <w:tr w:rsidR="00B65439" w14:paraId="0C347B0E" w14:textId="77777777">
        <w:trPr>
          <w:tblHeader/>
        </w:trPr>
        <w:tc>
          <w:tcPr>
            <w:tcW w:w="5745" w:type="dxa"/>
          </w:tcPr>
          <w:p w14:paraId="174914E2" w14:textId="77777777" w:rsidR="00B65439" w:rsidRPr="00A32993" w:rsidRDefault="00345141">
            <w:pPr>
              <w:keepNext/>
              <w:spacing w:before="60" w:after="60" w:line="276" w:lineRule="auto"/>
              <w:rPr>
                <w:rFonts w:eastAsia="'Times New Roman'" w:cs="Times New Roman"/>
                <w:b/>
              </w:rPr>
            </w:pPr>
            <w:r>
              <w:rPr>
                <w:b/>
              </w:rPr>
              <w:t>Zamierzone zastosowanie Art. 88 i 89</w:t>
            </w:r>
          </w:p>
        </w:tc>
        <w:tc>
          <w:tcPr>
            <w:tcW w:w="1650" w:type="dxa"/>
          </w:tcPr>
          <w:p w14:paraId="69B2E29D" w14:textId="77777777" w:rsidR="00B65439" w:rsidRPr="00A32993" w:rsidRDefault="00345141">
            <w:pPr>
              <w:spacing w:before="60" w:after="60" w:line="276" w:lineRule="auto"/>
              <w:rPr>
                <w:rFonts w:eastAsia="'Times New Roman'" w:cs="Times New Roman"/>
                <w:b/>
              </w:rPr>
            </w:pPr>
            <w:r>
              <w:rPr>
                <w:b/>
              </w:rPr>
              <w:t>TAK</w:t>
            </w:r>
          </w:p>
        </w:tc>
        <w:tc>
          <w:tcPr>
            <w:tcW w:w="1650" w:type="dxa"/>
          </w:tcPr>
          <w:p w14:paraId="0EAC89F0" w14:textId="77777777" w:rsidR="00B65439" w:rsidRPr="00A32993" w:rsidRDefault="00345141">
            <w:pPr>
              <w:spacing w:before="60" w:after="60" w:line="276" w:lineRule="auto"/>
              <w:rPr>
                <w:rFonts w:eastAsia="'Times New Roman'" w:cs="Times New Roman"/>
                <w:b/>
              </w:rPr>
            </w:pPr>
            <w:r>
              <w:rPr>
                <w:b/>
              </w:rPr>
              <w:t>NIE</w:t>
            </w:r>
          </w:p>
        </w:tc>
      </w:tr>
      <w:tr w:rsidR="00B65439" w14:paraId="59D0BE93" w14:textId="77777777">
        <w:tc>
          <w:tcPr>
            <w:tcW w:w="5745" w:type="dxa"/>
          </w:tcPr>
          <w:p w14:paraId="54618AC5" w14:textId="658D8C2B" w:rsidR="00B65439" w:rsidRPr="00A32993" w:rsidRDefault="00345141">
            <w:pPr>
              <w:spacing w:before="60" w:after="60" w:line="276" w:lineRule="auto"/>
              <w:rPr>
                <w:rFonts w:eastAsia="'Times New Roman'" w:cs="Times New Roman"/>
              </w:rPr>
            </w:pPr>
            <w:r>
              <w:t xml:space="preserve">Od momentu przyjęcia programu skorzysta – zgodnie z Art. 88 </w:t>
            </w:r>
            <w:r w:rsidR="002B56EF">
              <w:t>rozporządzenia ogólnego</w:t>
            </w:r>
            <w:r>
              <w:t xml:space="preserve"> – ze zwrotu wydatków kwalifikowalnych na podstawie kosztów jednostkowych, kwot ryczałtowych i stawek ryczałtowych w ramach priorytetu (jeśli tak, proszę wypełnić Załącznik nr 1)</w:t>
            </w:r>
          </w:p>
        </w:tc>
        <w:tc>
          <w:tcPr>
            <w:tcW w:w="1650" w:type="dxa"/>
          </w:tcPr>
          <w:p w14:paraId="3D159ABB" w14:textId="77777777" w:rsidR="00B65439" w:rsidRPr="00A32993" w:rsidRDefault="00345141">
            <w:pPr>
              <w:spacing w:before="60" w:after="60" w:line="276" w:lineRule="auto"/>
              <w:rPr>
                <w:rFonts w:eastAsia="'Times New Roman'" w:cs="Times New Roman"/>
                <w:b/>
              </w:rPr>
            </w:pPr>
            <w:r w:rsidRPr="00A32993">
              <w:rPr>
                <w:rFonts w:cs="Times New Roman"/>
                <w:b/>
                <w:bCs/>
                <w:szCs w:val="24"/>
              </w:rPr>
              <w:fldChar w:fldCharType="begin"/>
            </w:r>
            <w:r w:rsidRPr="00A32993">
              <w:rPr>
                <w:rFonts w:cs="Times New Roman"/>
                <w:b/>
                <w:bCs/>
                <w:szCs w:val="24"/>
              </w:rPr>
              <w:instrText xml:space="preserve"> FORMCHECKBOX </w:instrText>
            </w:r>
            <w:r w:rsidR="00643B66">
              <w:rPr>
                <w:rFonts w:cs="Times New Roman"/>
                <w:b/>
                <w:bCs/>
                <w:szCs w:val="24"/>
              </w:rPr>
              <w:fldChar w:fldCharType="separate"/>
            </w:r>
            <w:r w:rsidRPr="00A32993">
              <w:rPr>
                <w:rFonts w:cs="Times New Roman"/>
                <w:b/>
                <w:bCs/>
                <w:szCs w:val="24"/>
              </w:rPr>
              <w:fldChar w:fldCharType="end"/>
            </w:r>
          </w:p>
        </w:tc>
        <w:tc>
          <w:tcPr>
            <w:tcW w:w="1650" w:type="dxa"/>
          </w:tcPr>
          <w:p w14:paraId="00DDD8BF" w14:textId="77777777" w:rsidR="00B65439" w:rsidRPr="00A32993" w:rsidRDefault="00345141">
            <w:pPr>
              <w:spacing w:before="60" w:after="60" w:line="276" w:lineRule="auto"/>
              <w:rPr>
                <w:rFonts w:eastAsia="'Times New Roman'" w:cs="Times New Roman"/>
                <w:b/>
              </w:rPr>
            </w:pPr>
            <w:r>
              <w:t>NIE</w:t>
            </w:r>
          </w:p>
        </w:tc>
      </w:tr>
      <w:tr w:rsidR="00B65439" w14:paraId="209428E2" w14:textId="77777777">
        <w:tc>
          <w:tcPr>
            <w:tcW w:w="5745" w:type="dxa"/>
          </w:tcPr>
          <w:p w14:paraId="382BE72B" w14:textId="02473746" w:rsidR="00B65439" w:rsidRPr="00A32993" w:rsidRDefault="00345141">
            <w:pPr>
              <w:spacing w:before="60" w:after="60" w:line="276" w:lineRule="auto"/>
              <w:rPr>
                <w:rFonts w:eastAsia="'Times New Roman'" w:cs="Times New Roman"/>
                <w:i/>
              </w:rPr>
            </w:pPr>
            <w:r>
              <w:t xml:space="preserve">Od momentu przyjęcia programu skorzysta –z art. 89 </w:t>
            </w:r>
            <w:r w:rsidR="002B56EF">
              <w:t>rozporządzenia ogólnego</w:t>
            </w:r>
            <w:r>
              <w:t xml:space="preserve"> – z finansowania niepowiązanego z kosztami zgodnie (jeśli tak, proszę wypełnić dodatek 2)</w:t>
            </w:r>
          </w:p>
        </w:tc>
        <w:tc>
          <w:tcPr>
            <w:tcW w:w="1650" w:type="dxa"/>
          </w:tcPr>
          <w:p w14:paraId="075032CB" w14:textId="77777777" w:rsidR="00B65439" w:rsidRPr="00A32993" w:rsidRDefault="00345141">
            <w:pPr>
              <w:spacing w:before="60" w:after="60" w:line="276" w:lineRule="auto"/>
              <w:rPr>
                <w:rFonts w:eastAsia="'Times New Roman'" w:cs="Times New Roman"/>
                <w:b/>
              </w:rPr>
            </w:pPr>
            <w:r w:rsidRPr="00A32993">
              <w:rPr>
                <w:rFonts w:cs="Times New Roman"/>
                <w:b/>
                <w:bCs/>
                <w:szCs w:val="24"/>
              </w:rPr>
              <w:fldChar w:fldCharType="begin"/>
            </w:r>
            <w:r w:rsidRPr="00A32993">
              <w:rPr>
                <w:rFonts w:cs="Times New Roman"/>
                <w:b/>
                <w:bCs/>
                <w:szCs w:val="24"/>
              </w:rPr>
              <w:instrText xml:space="preserve"> FORMCHECKBOX </w:instrText>
            </w:r>
            <w:r w:rsidR="00643B66">
              <w:rPr>
                <w:rFonts w:cs="Times New Roman"/>
                <w:b/>
                <w:bCs/>
                <w:szCs w:val="24"/>
              </w:rPr>
              <w:fldChar w:fldCharType="separate"/>
            </w:r>
            <w:r w:rsidRPr="00A32993">
              <w:rPr>
                <w:rFonts w:cs="Times New Roman"/>
                <w:b/>
                <w:bCs/>
                <w:szCs w:val="24"/>
              </w:rPr>
              <w:fldChar w:fldCharType="end"/>
            </w:r>
          </w:p>
        </w:tc>
        <w:tc>
          <w:tcPr>
            <w:tcW w:w="1650" w:type="dxa"/>
          </w:tcPr>
          <w:p w14:paraId="2AB944E1" w14:textId="77777777" w:rsidR="00B65439" w:rsidRPr="00A32993" w:rsidRDefault="00345141">
            <w:pPr>
              <w:spacing w:before="60" w:after="60" w:line="276" w:lineRule="auto"/>
              <w:rPr>
                <w:rFonts w:eastAsia="'Times New Roman'" w:cs="Times New Roman"/>
                <w:b/>
              </w:rPr>
            </w:pPr>
            <w:r>
              <w:t>NIE</w:t>
            </w:r>
          </w:p>
        </w:tc>
      </w:tr>
    </w:tbl>
    <w:p w14:paraId="5C623BCE" w14:textId="546D47BD" w:rsidR="00B65439" w:rsidRDefault="00345141" w:rsidP="006744E4">
      <w:pPr>
        <w:pageBreakBefore/>
        <w:spacing w:after="200" w:line="276" w:lineRule="auto"/>
        <w:jc w:val="both"/>
        <w:rPr>
          <w:rFonts w:eastAsia="'Times New Roman'" w:cs="Times New Roman"/>
          <w:b/>
          <w:sz w:val="22"/>
        </w:rPr>
      </w:pPr>
      <w:r>
        <w:rPr>
          <w:b/>
          <w:sz w:val="22"/>
        </w:rPr>
        <w:lastRenderedPageBreak/>
        <w:t xml:space="preserve">ZAŁĄCZNIKI - Nie dotyczy </w:t>
      </w:r>
      <w:proofErr w:type="spellStart"/>
      <w:r>
        <w:rPr>
          <w:b/>
          <w:sz w:val="22"/>
        </w:rPr>
        <w:t>Interact</w:t>
      </w:r>
      <w:proofErr w:type="spellEnd"/>
    </w:p>
    <w:p w14:paraId="4E07D1F9" w14:textId="22CA6BC4" w:rsidR="00B65439" w:rsidRDefault="00B65439" w:rsidP="006744E4">
      <w:pPr>
        <w:spacing w:after="240" w:line="276" w:lineRule="auto"/>
        <w:rPr>
          <w:rFonts w:ascii="'Times New Roman'" w:eastAsia="'Times New Roman'" w:hAnsi="'Times New Roman'"/>
        </w:rPr>
      </w:pPr>
      <w:bookmarkStart w:id="1" w:name="ControlPages"/>
      <w:bookmarkEnd w:id="1"/>
    </w:p>
    <w:sectPr w:rsidR="00B65439" w:rsidSect="00F367AB">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EB690" w14:textId="77777777" w:rsidR="00643B66" w:rsidRDefault="00643B66" w:rsidP="00F50542">
      <w:pPr>
        <w:spacing w:line="240" w:lineRule="auto"/>
      </w:pPr>
      <w:r>
        <w:separator/>
      </w:r>
    </w:p>
  </w:endnote>
  <w:endnote w:type="continuationSeparator" w:id="0">
    <w:p w14:paraId="577AFB08" w14:textId="77777777" w:rsidR="00643B66" w:rsidRDefault="00643B66" w:rsidP="00F50542">
      <w:pPr>
        <w:spacing w:line="240" w:lineRule="auto"/>
      </w:pPr>
      <w:r>
        <w:continuationSeparator/>
      </w:r>
    </w:p>
  </w:endnote>
  <w:endnote w:type="continuationNotice" w:id="1">
    <w:p w14:paraId="4765237A" w14:textId="77777777" w:rsidR="00643B66" w:rsidRDefault="00643B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altName w:val="Corbel"/>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ranklin Gothic Demi">
    <w:altName w:val="Franklin Gothic Medium"/>
    <w:charset w:val="EE"/>
    <w:family w:val="swiss"/>
    <w:pitch w:val="variable"/>
    <w:sig w:usb0="00000287" w:usb1="00000000" w:usb2="00000000" w:usb3="00000000" w:csb0="0000009F" w:csb1="00000000"/>
  </w:font>
  <w:font w:name="'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DB6A" w14:textId="66083F28" w:rsidR="00643B66" w:rsidRPr="00A07D24" w:rsidRDefault="00643B66">
    <w:pPr>
      <w:pStyle w:val="Stopka"/>
      <w:jc w:val="center"/>
      <w:rPr>
        <w:rFonts w:ascii="Times New Roman" w:hAnsi="Times New Roman" w:cs="Times New Roman"/>
      </w:rPr>
    </w:pPr>
    <w:r w:rsidRPr="00A07D24">
      <w:rPr>
        <w:rFonts w:ascii="Times New Roman" w:hAnsi="Times New Roman" w:cs="Times New Roman"/>
      </w:rPr>
      <w:fldChar w:fldCharType="begin"/>
    </w:r>
    <w:r w:rsidRPr="00A07D24">
      <w:rPr>
        <w:rFonts w:ascii="Times New Roman" w:hAnsi="Times New Roman" w:cs="Times New Roman"/>
      </w:rPr>
      <w:instrText xml:space="preserve"> PAGE   \* MERGEFORMAT </w:instrText>
    </w:r>
    <w:r w:rsidRPr="00A07D24">
      <w:rPr>
        <w:rFonts w:ascii="Times New Roman" w:hAnsi="Times New Roman" w:cs="Times New Roman"/>
      </w:rPr>
      <w:fldChar w:fldCharType="separate"/>
    </w:r>
    <w:r w:rsidR="007E728F">
      <w:rPr>
        <w:rFonts w:ascii="Times New Roman" w:hAnsi="Times New Roman" w:cs="Times New Roman"/>
        <w:noProof/>
      </w:rPr>
      <w:t>26</w:t>
    </w:r>
    <w:r w:rsidRPr="00A07D24">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0CAF7" w14:textId="77777777" w:rsidR="00643B66" w:rsidRDefault="00643B6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1DD27" w14:textId="17BE1B25" w:rsidR="00643B66" w:rsidRDefault="00643B66">
    <w:pPr>
      <w:pStyle w:val="Stopka"/>
      <w:jc w:val="center"/>
    </w:pPr>
    <w:r>
      <w:fldChar w:fldCharType="begin"/>
    </w:r>
    <w:r>
      <w:instrText xml:space="preserve"> PAGE   \* MERGEFORMAT </w:instrText>
    </w:r>
    <w:r>
      <w:fldChar w:fldCharType="separate"/>
    </w:r>
    <w:r w:rsidR="007E728F">
      <w:rPr>
        <w:noProof/>
      </w:rPr>
      <w:t>27</w:t>
    </w:r>
    <w:r>
      <w:fldChar w:fldCharType="end"/>
    </w:r>
  </w:p>
  <w:p w14:paraId="6C5E17DA" w14:textId="77777777" w:rsidR="00643B66" w:rsidRDefault="00643B66">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9383B" w14:textId="77777777" w:rsidR="00643B66" w:rsidRDefault="00643B6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C70CA" w14:textId="77777777" w:rsidR="00643B66" w:rsidRDefault="00643B66">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46D3C" w14:textId="0B28E30F" w:rsidR="00643B66" w:rsidRDefault="00643B66" w:rsidP="00A37397">
    <w:pPr>
      <w:pStyle w:val="Stopka"/>
      <w:jc w:val="center"/>
    </w:pPr>
    <w:r w:rsidRPr="00665ECD">
      <w:rPr>
        <w:rFonts w:ascii="Times New Roman" w:hAnsi="Times New Roman" w:cs="Times New Roman"/>
      </w:rPr>
      <w:fldChar w:fldCharType="begin"/>
    </w:r>
    <w:r w:rsidRPr="00665ECD">
      <w:rPr>
        <w:rFonts w:ascii="Times New Roman" w:hAnsi="Times New Roman" w:cs="Times New Roman"/>
      </w:rPr>
      <w:instrText xml:space="preserve"> PAGE   \* MERGEFORMAT </w:instrText>
    </w:r>
    <w:r w:rsidRPr="00665ECD">
      <w:rPr>
        <w:rFonts w:ascii="Times New Roman" w:hAnsi="Times New Roman" w:cs="Times New Roman"/>
      </w:rPr>
      <w:fldChar w:fldCharType="separate"/>
    </w:r>
    <w:r w:rsidR="007E728F">
      <w:rPr>
        <w:rFonts w:ascii="Times New Roman" w:hAnsi="Times New Roman" w:cs="Times New Roman"/>
        <w:noProof/>
      </w:rPr>
      <w:t>37</w:t>
    </w:r>
    <w:r w:rsidRPr="00665ECD">
      <w:rPr>
        <w:rFonts w:ascii="Times New Roman" w:hAnsi="Times New Roman" w:cs="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611F6" w14:textId="77777777" w:rsidR="00643B66" w:rsidRDefault="00643B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C923F" w14:textId="77777777" w:rsidR="00643B66" w:rsidRDefault="00643B66" w:rsidP="00F50542">
      <w:pPr>
        <w:spacing w:line="240" w:lineRule="auto"/>
      </w:pPr>
      <w:r>
        <w:separator/>
      </w:r>
    </w:p>
  </w:footnote>
  <w:footnote w:type="continuationSeparator" w:id="0">
    <w:p w14:paraId="7767027D" w14:textId="77777777" w:rsidR="00643B66" w:rsidRDefault="00643B66" w:rsidP="00F50542">
      <w:pPr>
        <w:spacing w:line="240" w:lineRule="auto"/>
      </w:pPr>
      <w:r>
        <w:continuationSeparator/>
      </w:r>
    </w:p>
  </w:footnote>
  <w:footnote w:type="continuationNotice" w:id="1">
    <w:p w14:paraId="7266A0C8" w14:textId="77777777" w:rsidR="00643B66" w:rsidRDefault="00643B66">
      <w:pPr>
        <w:spacing w:line="240" w:lineRule="auto"/>
      </w:pPr>
    </w:p>
  </w:footnote>
  <w:footnote w:id="2">
    <w:p w14:paraId="26AE2C8C" w14:textId="77777777" w:rsidR="00643B66" w:rsidRPr="009B0AA5" w:rsidRDefault="00643B66">
      <w:pPr>
        <w:pStyle w:val="Tekstprzypisudolnego"/>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096 Zdolności instytucjonalne administracji publicznej i służb publicznych związane z wdrażaniem EFRR lub działaniami wspierającymi inicjatywy w zakresie zdolności instytucjonalnych EFS</w:t>
      </w:r>
    </w:p>
  </w:footnote>
  <w:footnote w:id="3">
    <w:p w14:paraId="02EFCCF5" w14:textId="4108D9AB"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sz w:val="16"/>
          <w:szCs w:val="16"/>
        </w:rPr>
        <w:t xml:space="preserve"> A, zewnętrzna współpraca transgraniczna</w:t>
      </w:r>
    </w:p>
  </w:footnote>
  <w:footnote w:id="4">
    <w:p w14:paraId="44967B2A" w14:textId="2F8ACB0C"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sz w:val="16"/>
          <w:szCs w:val="16"/>
        </w:rPr>
        <w:t xml:space="preserve"> A, zewnętrzna współpraca transgraniczna</w:t>
      </w:r>
    </w:p>
  </w:footnote>
  <w:footnote w:id="5">
    <w:p w14:paraId="5BFFE1E2" w14:textId="1145EBF5"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sz w:val="16"/>
          <w:szCs w:val="16"/>
        </w:rPr>
        <w:t xml:space="preserve"> B i C</w:t>
      </w:r>
    </w:p>
  </w:footnote>
  <w:footnote w:id="6">
    <w:p w14:paraId="028993F7" w14:textId="4279D338"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sz w:val="16"/>
          <w:szCs w:val="16"/>
        </w:rPr>
        <w:t xml:space="preserve"> B i C</w:t>
      </w:r>
    </w:p>
  </w:footnote>
  <w:footnote w:id="7">
    <w:p w14:paraId="72FE1DAE" w14:textId="56A8F48B"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sz w:val="16"/>
          <w:szCs w:val="16"/>
        </w:rPr>
        <w:t xml:space="preserve"> C i D</w:t>
      </w:r>
    </w:p>
  </w:footnote>
  <w:footnote w:id="8">
    <w:p w14:paraId="19C589D6" w14:textId="2ABA533C" w:rsidR="00643B66" w:rsidRPr="00AC22E7" w:rsidRDefault="00643B66" w:rsidP="00F50542">
      <w:pPr>
        <w:pStyle w:val="Tekstprzypisudolnego"/>
        <w:ind w:left="426" w:hanging="426"/>
      </w:pPr>
      <w:r>
        <w:rPr>
          <w:rStyle w:val="Odwoanieprzypisudolnego"/>
          <w:rFonts w:ascii="Times New Roman" w:hAnsi="Times New Roman" w:cs="Times New Roman"/>
          <w:sz w:val="16"/>
          <w:szCs w:val="16"/>
        </w:rPr>
        <w:footnoteRef/>
      </w:r>
      <w:r>
        <w:rPr>
          <w:rFonts w:ascii="Times New Roman" w:hAnsi="Times New Roman"/>
          <w:sz w:val="16"/>
          <w:szCs w:val="16"/>
        </w:rPr>
        <w:t xml:space="preserve"> EFRR, IPA III, ISWMR lub PKTZ, gdzie jako pojedyncza kwota w ramach </w:t>
      </w:r>
      <w:proofErr w:type="spellStart"/>
      <w:r>
        <w:rPr>
          <w:rFonts w:ascii="Times New Roman" w:hAnsi="Times New Roman"/>
          <w:sz w:val="16"/>
          <w:szCs w:val="16"/>
        </w:rPr>
        <w:t>Interreg</w:t>
      </w:r>
      <w:proofErr w:type="spellEnd"/>
      <w:r>
        <w:rPr>
          <w:rFonts w:ascii="Times New Roman" w:hAnsi="Times New Roman"/>
          <w:sz w:val="16"/>
          <w:szCs w:val="16"/>
        </w:rPr>
        <w:t xml:space="preserve"> B i C</w:t>
      </w:r>
      <w:r>
        <w:rPr>
          <w:rFonts w:ascii="Times New Roman" w:hAnsi="Times New Roman"/>
          <w:i/>
        </w:rPr>
        <w:t xml:space="preserve"> </w:t>
      </w:r>
    </w:p>
  </w:footnote>
  <w:footnote w:id="9">
    <w:p w14:paraId="6AC88183" w14:textId="385FA716" w:rsidR="00643B66" w:rsidRPr="00671B0E" w:rsidRDefault="00643B66" w:rsidP="00F5766A">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sz w:val="16"/>
          <w:szCs w:val="16"/>
        </w:rPr>
        <w:t xml:space="preserve"> A, zewnętrzna współpraca transgraniczna</w:t>
      </w:r>
    </w:p>
  </w:footnote>
  <w:footnote w:id="10">
    <w:p w14:paraId="291D63D2" w14:textId="4899C9B6"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sz w:val="16"/>
          <w:szCs w:val="16"/>
        </w:rPr>
        <w:t xml:space="preserve"> A, zewnętrzna współpraca transgraniczna</w:t>
      </w:r>
    </w:p>
  </w:footnote>
  <w:footnote w:id="11">
    <w:p w14:paraId="678B320C" w14:textId="4EDC3956"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bCs/>
          <w:sz w:val="16"/>
          <w:szCs w:val="16"/>
        </w:rPr>
        <w:t xml:space="preserve"> B i C</w:t>
      </w:r>
    </w:p>
  </w:footnote>
  <w:footnote w:id="12">
    <w:p w14:paraId="620BF07E" w14:textId="7190797F"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bCs/>
          <w:sz w:val="16"/>
          <w:szCs w:val="16"/>
        </w:rPr>
        <w:t xml:space="preserve"> B i C</w:t>
      </w:r>
    </w:p>
  </w:footnote>
  <w:footnote w:id="13">
    <w:p w14:paraId="7F15EE75" w14:textId="4E91F47F"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bCs/>
          <w:sz w:val="16"/>
          <w:szCs w:val="16"/>
        </w:rPr>
        <w:t xml:space="preserve"> B i C</w:t>
      </w:r>
    </w:p>
  </w:footnote>
  <w:footnote w:id="14">
    <w:p w14:paraId="0769F2CC" w14:textId="505D939D" w:rsidR="00643B66" w:rsidRPr="00671B0E" w:rsidRDefault="00643B66" w:rsidP="00F50542">
      <w:pPr>
        <w:pStyle w:val="Tekstprzypisudolnego"/>
        <w:ind w:left="426" w:hanging="426"/>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sz w:val="16"/>
          <w:szCs w:val="16"/>
        </w:rPr>
        <w:t xml:space="preserve"> </w:t>
      </w:r>
      <w:proofErr w:type="spellStart"/>
      <w:r>
        <w:rPr>
          <w:rFonts w:ascii="Times New Roman" w:hAnsi="Times New Roman"/>
          <w:sz w:val="16"/>
          <w:szCs w:val="16"/>
        </w:rPr>
        <w:t>Interreg</w:t>
      </w:r>
      <w:proofErr w:type="spellEnd"/>
      <w:r>
        <w:rPr>
          <w:rFonts w:ascii="Times New Roman" w:hAnsi="Times New Roman"/>
          <w:bCs/>
          <w:iCs/>
          <w:sz w:val="16"/>
          <w:szCs w:val="16"/>
        </w:rPr>
        <w:t xml:space="preserve"> C i D</w:t>
      </w:r>
    </w:p>
  </w:footnote>
  <w:footnote w:id="15">
    <w:p w14:paraId="06942BFE" w14:textId="30F4C1F5" w:rsidR="00643B66" w:rsidRDefault="00643B66" w:rsidP="00F50542">
      <w:pPr>
        <w:pStyle w:val="Tekstprzypisudolnego"/>
        <w:ind w:left="426" w:hanging="426"/>
      </w:pPr>
      <w:r>
        <w:rPr>
          <w:rStyle w:val="Odwoanieprzypisudolnego"/>
          <w:rFonts w:ascii="Times New Roman" w:hAnsi="Times New Roman" w:cs="Times New Roman"/>
          <w:sz w:val="16"/>
          <w:szCs w:val="16"/>
        </w:rPr>
        <w:footnoteRef/>
      </w:r>
      <w:r>
        <w:rPr>
          <w:rFonts w:ascii="Times New Roman" w:hAnsi="Times New Roman"/>
          <w:sz w:val="16"/>
          <w:szCs w:val="16"/>
        </w:rPr>
        <w:t xml:space="preserve"> EFRR, IPA III, ISWMR lub PKTZ, gdzie jako pojedyncza kwota w ramach </w:t>
      </w:r>
      <w:proofErr w:type="spellStart"/>
      <w:r>
        <w:rPr>
          <w:rFonts w:ascii="Times New Roman" w:hAnsi="Times New Roman"/>
          <w:sz w:val="16"/>
          <w:szCs w:val="16"/>
        </w:rPr>
        <w:t>Interreg</w:t>
      </w:r>
      <w:proofErr w:type="spellEnd"/>
      <w:r>
        <w:rPr>
          <w:rFonts w:ascii="Times New Roman" w:hAnsi="Times New Roman"/>
          <w:sz w:val="16"/>
          <w:szCs w:val="16"/>
        </w:rPr>
        <w:t xml:space="preserve"> B i </w:t>
      </w:r>
      <w:r>
        <w:rPr>
          <w:rFonts w:ascii="Times New Roman" w:hAnsi="Times New Roman"/>
          <w:bCs/>
          <w:sz w:val="16"/>
          <w:szCs w:val="16"/>
        </w:rPr>
        <w: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485FD" w14:textId="77777777" w:rsidR="00643B66" w:rsidRDefault="00643B6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7A998" w14:textId="77777777" w:rsidR="00643B66" w:rsidRDefault="00643B6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25B6C" w14:textId="77777777" w:rsidR="00643B66" w:rsidRDefault="00643B6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0361B" w14:textId="77777777" w:rsidR="00643B66" w:rsidRDefault="00643B66">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AFA1F" w14:textId="77777777" w:rsidR="00643B66" w:rsidRDefault="00643B66">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8552" w14:textId="77777777" w:rsidR="00643B66" w:rsidRDefault="00643B66">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B218CC"/>
    <w:lvl w:ilvl="0">
      <w:start w:val="1"/>
      <w:numFmt w:val="lowerLetter"/>
      <w:pStyle w:val="Listletter"/>
      <w:lvlText w:val="%1)"/>
      <w:lvlJc w:val="left"/>
      <w:pPr>
        <w:ind w:left="340" w:hanging="340"/>
      </w:pPr>
      <w:rPr>
        <w:rFonts w:hint="default"/>
      </w:rPr>
    </w:lvl>
  </w:abstractNum>
  <w:abstractNum w:abstractNumId="1">
    <w:nsid w:val="00450CC5"/>
    <w:multiLevelType w:val="hybridMultilevel"/>
    <w:tmpl w:val="1994AC34"/>
    <w:lvl w:ilvl="0" w:tplc="B7F26156">
      <w:start w:val="1"/>
      <w:numFmt w:val="bullet"/>
      <w:lvlText w:val="●"/>
      <w:lvlJc w:val="left"/>
      <w:pPr>
        <w:ind w:left="420" w:firstLine="0"/>
      </w:pPr>
      <w:rPr>
        <w:rFonts w:ascii="Arial" w:eastAsia="Arial" w:hAnsi="Arial"/>
      </w:rPr>
    </w:lvl>
    <w:lvl w:ilvl="1" w:tplc="A47C9CE6">
      <w:start w:val="1"/>
      <w:numFmt w:val="bullet"/>
      <w:lvlText w:val="■"/>
      <w:lvlJc w:val="left"/>
      <w:pPr>
        <w:ind w:left="840" w:hanging="420"/>
      </w:pPr>
      <w:rPr>
        <w:rFonts w:ascii="Arial" w:eastAsia="Arial" w:hAnsi="Arial"/>
      </w:rPr>
    </w:lvl>
    <w:lvl w:ilvl="2" w:tplc="9872FB0E">
      <w:start w:val="1"/>
      <w:numFmt w:val="bullet"/>
      <w:lvlText w:val="◆"/>
      <w:lvlJc w:val="left"/>
      <w:pPr>
        <w:ind w:left="1260" w:hanging="420"/>
      </w:pPr>
      <w:rPr>
        <w:rFonts w:ascii="Arial" w:eastAsia="Arial" w:hAnsi="Arial"/>
      </w:rPr>
    </w:lvl>
    <w:lvl w:ilvl="3" w:tplc="0C101226">
      <w:start w:val="1"/>
      <w:numFmt w:val="bullet"/>
      <w:lvlText w:val="●"/>
      <w:lvlJc w:val="left"/>
      <w:pPr>
        <w:ind w:left="1680" w:hanging="420"/>
      </w:pPr>
      <w:rPr>
        <w:rFonts w:ascii="Arial" w:eastAsia="Arial" w:hAnsi="Arial"/>
      </w:rPr>
    </w:lvl>
    <w:lvl w:ilvl="4" w:tplc="9446C036">
      <w:start w:val="1"/>
      <w:numFmt w:val="bullet"/>
      <w:lvlText w:val="■"/>
      <w:lvlJc w:val="left"/>
      <w:pPr>
        <w:ind w:left="2100" w:hanging="420"/>
      </w:pPr>
      <w:rPr>
        <w:rFonts w:ascii="Arial" w:eastAsia="Arial" w:hAnsi="Arial"/>
      </w:rPr>
    </w:lvl>
    <w:lvl w:ilvl="5" w:tplc="568EF848">
      <w:start w:val="1"/>
      <w:numFmt w:val="bullet"/>
      <w:lvlText w:val="◆"/>
      <w:lvlJc w:val="left"/>
      <w:pPr>
        <w:ind w:left="2520" w:hanging="420"/>
      </w:pPr>
      <w:rPr>
        <w:rFonts w:ascii="Arial" w:eastAsia="Arial" w:hAnsi="Arial"/>
      </w:rPr>
    </w:lvl>
    <w:lvl w:ilvl="6" w:tplc="720A816C">
      <w:start w:val="1"/>
      <w:numFmt w:val="bullet"/>
      <w:lvlText w:val="●"/>
      <w:lvlJc w:val="left"/>
      <w:pPr>
        <w:ind w:left="2940" w:hanging="420"/>
      </w:pPr>
      <w:rPr>
        <w:rFonts w:ascii="Arial" w:eastAsia="Arial" w:hAnsi="Arial"/>
      </w:rPr>
    </w:lvl>
    <w:lvl w:ilvl="7" w:tplc="ADF06D9C">
      <w:start w:val="1"/>
      <w:numFmt w:val="bullet"/>
      <w:lvlText w:val="■"/>
      <w:lvlJc w:val="left"/>
      <w:pPr>
        <w:ind w:left="3360" w:hanging="420"/>
      </w:pPr>
      <w:rPr>
        <w:rFonts w:ascii="Arial" w:eastAsia="Arial" w:hAnsi="Arial"/>
      </w:rPr>
    </w:lvl>
    <w:lvl w:ilvl="8" w:tplc="6B9EFA62">
      <w:start w:val="1"/>
      <w:numFmt w:val="bullet"/>
      <w:lvlText w:val="◆"/>
      <w:lvlJc w:val="left"/>
      <w:pPr>
        <w:ind w:left="3780" w:hanging="420"/>
      </w:pPr>
      <w:rPr>
        <w:rFonts w:ascii="Arial" w:eastAsia="Arial" w:hAnsi="Arial"/>
      </w:rPr>
    </w:lvl>
  </w:abstractNum>
  <w:abstractNum w:abstractNumId="2">
    <w:nsid w:val="09B35427"/>
    <w:multiLevelType w:val="hybridMultilevel"/>
    <w:tmpl w:val="B9961F2E"/>
    <w:lvl w:ilvl="0" w:tplc="9EACDA68">
      <w:start w:val="1"/>
      <w:numFmt w:val="decimal"/>
      <w:pStyle w:val="Listnumber1"/>
      <w:lvlText w:val="%1."/>
      <w:lvlJc w:val="left"/>
      <w:pPr>
        <w:ind w:left="340" w:hanging="3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5729C3"/>
    <w:multiLevelType w:val="hybridMultilevel"/>
    <w:tmpl w:val="CE985B36"/>
    <w:lvl w:ilvl="0" w:tplc="B19AF63A">
      <w:start w:val="1"/>
      <w:numFmt w:val="bullet"/>
      <w:lvlText w:val="●"/>
      <w:lvlJc w:val="left"/>
      <w:pPr>
        <w:ind w:left="420" w:hanging="420"/>
      </w:pPr>
      <w:rPr>
        <w:rFonts w:ascii="Arial" w:eastAsia="Arial" w:hAnsi="Arial"/>
      </w:rPr>
    </w:lvl>
    <w:lvl w:ilvl="1" w:tplc="C4545CC8">
      <w:start w:val="1"/>
      <w:numFmt w:val="bullet"/>
      <w:lvlText w:val="■"/>
      <w:lvlJc w:val="left"/>
      <w:pPr>
        <w:ind w:left="840" w:hanging="420"/>
      </w:pPr>
      <w:rPr>
        <w:rFonts w:ascii="Arial" w:eastAsia="Arial" w:hAnsi="Arial"/>
      </w:rPr>
    </w:lvl>
    <w:lvl w:ilvl="2" w:tplc="F04639A2">
      <w:start w:val="1"/>
      <w:numFmt w:val="bullet"/>
      <w:lvlText w:val="◆"/>
      <w:lvlJc w:val="left"/>
      <w:pPr>
        <w:ind w:left="1260" w:hanging="420"/>
      </w:pPr>
      <w:rPr>
        <w:rFonts w:ascii="Arial" w:eastAsia="Arial" w:hAnsi="Arial"/>
      </w:rPr>
    </w:lvl>
    <w:lvl w:ilvl="3" w:tplc="5C9EAC3E">
      <w:start w:val="1"/>
      <w:numFmt w:val="bullet"/>
      <w:lvlText w:val="●"/>
      <w:lvlJc w:val="left"/>
      <w:pPr>
        <w:ind w:left="1680" w:hanging="420"/>
      </w:pPr>
      <w:rPr>
        <w:rFonts w:ascii="Arial" w:eastAsia="Arial" w:hAnsi="Arial"/>
      </w:rPr>
    </w:lvl>
    <w:lvl w:ilvl="4" w:tplc="523EAC28">
      <w:start w:val="1"/>
      <w:numFmt w:val="bullet"/>
      <w:lvlText w:val="■"/>
      <w:lvlJc w:val="left"/>
      <w:pPr>
        <w:ind w:left="2100" w:hanging="420"/>
      </w:pPr>
      <w:rPr>
        <w:rFonts w:ascii="Arial" w:eastAsia="Arial" w:hAnsi="Arial"/>
      </w:rPr>
    </w:lvl>
    <w:lvl w:ilvl="5" w:tplc="0F7693BC">
      <w:start w:val="1"/>
      <w:numFmt w:val="bullet"/>
      <w:lvlText w:val="◆"/>
      <w:lvlJc w:val="left"/>
      <w:pPr>
        <w:ind w:left="2520" w:hanging="420"/>
      </w:pPr>
      <w:rPr>
        <w:rFonts w:ascii="Arial" w:eastAsia="Arial" w:hAnsi="Arial"/>
      </w:rPr>
    </w:lvl>
    <w:lvl w:ilvl="6" w:tplc="0D76CB6C">
      <w:start w:val="1"/>
      <w:numFmt w:val="bullet"/>
      <w:lvlText w:val="●"/>
      <w:lvlJc w:val="left"/>
      <w:pPr>
        <w:ind w:left="2940" w:hanging="420"/>
      </w:pPr>
      <w:rPr>
        <w:rFonts w:ascii="Arial" w:eastAsia="Arial" w:hAnsi="Arial"/>
      </w:rPr>
    </w:lvl>
    <w:lvl w:ilvl="7" w:tplc="81DC47E0">
      <w:start w:val="1"/>
      <w:numFmt w:val="bullet"/>
      <w:lvlText w:val="■"/>
      <w:lvlJc w:val="left"/>
      <w:pPr>
        <w:ind w:left="3360" w:hanging="420"/>
      </w:pPr>
      <w:rPr>
        <w:rFonts w:ascii="Arial" w:eastAsia="Arial" w:hAnsi="Arial"/>
      </w:rPr>
    </w:lvl>
    <w:lvl w:ilvl="8" w:tplc="C0CE54E8">
      <w:start w:val="1"/>
      <w:numFmt w:val="bullet"/>
      <w:lvlText w:val="◆"/>
      <w:lvlJc w:val="left"/>
      <w:pPr>
        <w:ind w:left="3780" w:hanging="420"/>
      </w:pPr>
      <w:rPr>
        <w:rFonts w:ascii="Arial" w:eastAsia="Arial" w:hAnsi="Arial"/>
      </w:rPr>
    </w:lvl>
  </w:abstractNum>
  <w:abstractNum w:abstractNumId="4">
    <w:nsid w:val="197A03B7"/>
    <w:multiLevelType w:val="hybridMultilevel"/>
    <w:tmpl w:val="8418FA66"/>
    <w:lvl w:ilvl="0" w:tplc="B022B12E">
      <w:start w:val="1"/>
      <w:numFmt w:val="decimal"/>
      <w:lvlText w:val="%1."/>
      <w:lvlJc w:val="left"/>
      <w:pPr>
        <w:ind w:left="420" w:firstLine="0"/>
      </w:pPr>
    </w:lvl>
    <w:lvl w:ilvl="1" w:tplc="D97E51B4">
      <w:start w:val="1"/>
      <w:numFmt w:val="lowerLetter"/>
      <w:lvlText w:val="%2."/>
      <w:lvlJc w:val="left"/>
      <w:pPr>
        <w:ind w:left="840" w:hanging="420"/>
      </w:pPr>
    </w:lvl>
    <w:lvl w:ilvl="2" w:tplc="C3C03562">
      <w:start w:val="1"/>
      <w:numFmt w:val="lowerRoman"/>
      <w:lvlText w:val="%3."/>
      <w:lvlJc w:val="right"/>
      <w:pPr>
        <w:ind w:left="1260" w:hanging="420"/>
      </w:pPr>
    </w:lvl>
    <w:lvl w:ilvl="3" w:tplc="74F09C14">
      <w:start w:val="1"/>
      <w:numFmt w:val="decimal"/>
      <w:lvlText w:val="%4."/>
      <w:lvlJc w:val="left"/>
      <w:pPr>
        <w:ind w:left="1680" w:hanging="420"/>
      </w:pPr>
    </w:lvl>
    <w:lvl w:ilvl="4" w:tplc="461E4AC2">
      <w:start w:val="1"/>
      <w:numFmt w:val="lowerLetter"/>
      <w:lvlText w:val="%5."/>
      <w:lvlJc w:val="left"/>
      <w:pPr>
        <w:ind w:left="2100" w:hanging="420"/>
      </w:pPr>
    </w:lvl>
    <w:lvl w:ilvl="5" w:tplc="53740A48">
      <w:start w:val="1"/>
      <w:numFmt w:val="lowerRoman"/>
      <w:lvlText w:val="%6."/>
      <w:lvlJc w:val="right"/>
      <w:pPr>
        <w:ind w:left="2520" w:hanging="420"/>
      </w:pPr>
    </w:lvl>
    <w:lvl w:ilvl="6" w:tplc="C9F08B4A">
      <w:start w:val="1"/>
      <w:numFmt w:val="decimal"/>
      <w:lvlText w:val="%7."/>
      <w:lvlJc w:val="left"/>
      <w:pPr>
        <w:ind w:left="2940" w:hanging="420"/>
      </w:pPr>
    </w:lvl>
    <w:lvl w:ilvl="7" w:tplc="1B0AB830">
      <w:start w:val="1"/>
      <w:numFmt w:val="lowerLetter"/>
      <w:lvlText w:val="%8."/>
      <w:lvlJc w:val="left"/>
      <w:pPr>
        <w:ind w:left="3360" w:hanging="420"/>
      </w:pPr>
    </w:lvl>
    <w:lvl w:ilvl="8" w:tplc="BAF2836C">
      <w:start w:val="1"/>
      <w:numFmt w:val="lowerRoman"/>
      <w:lvlText w:val="%9."/>
      <w:lvlJc w:val="right"/>
      <w:pPr>
        <w:ind w:left="3780" w:hanging="420"/>
      </w:pPr>
    </w:lvl>
  </w:abstractNum>
  <w:abstractNum w:abstractNumId="5">
    <w:nsid w:val="1D0F0796"/>
    <w:multiLevelType w:val="hybridMultilevel"/>
    <w:tmpl w:val="6B3409DA"/>
    <w:lvl w:ilvl="0" w:tplc="52D2CD06">
      <w:start w:val="1"/>
      <w:numFmt w:val="bullet"/>
      <w:lvlText w:val="●"/>
      <w:lvlJc w:val="left"/>
      <w:pPr>
        <w:ind w:left="420" w:firstLine="0"/>
      </w:pPr>
      <w:rPr>
        <w:rFonts w:ascii="Arial" w:eastAsia="Arial" w:hAnsi="Arial"/>
      </w:rPr>
    </w:lvl>
    <w:lvl w:ilvl="1" w:tplc="1C6CDD52">
      <w:start w:val="1"/>
      <w:numFmt w:val="bullet"/>
      <w:lvlText w:val="■"/>
      <w:lvlJc w:val="left"/>
      <w:pPr>
        <w:ind w:left="840" w:hanging="420"/>
      </w:pPr>
      <w:rPr>
        <w:rFonts w:ascii="Arial" w:eastAsia="Arial" w:hAnsi="Arial"/>
      </w:rPr>
    </w:lvl>
    <w:lvl w:ilvl="2" w:tplc="0CE650CE">
      <w:start w:val="1"/>
      <w:numFmt w:val="bullet"/>
      <w:lvlText w:val="◆"/>
      <w:lvlJc w:val="left"/>
      <w:pPr>
        <w:ind w:left="1260" w:hanging="420"/>
      </w:pPr>
      <w:rPr>
        <w:rFonts w:ascii="Arial" w:eastAsia="Arial" w:hAnsi="Arial"/>
      </w:rPr>
    </w:lvl>
    <w:lvl w:ilvl="3" w:tplc="82C8D144">
      <w:start w:val="1"/>
      <w:numFmt w:val="bullet"/>
      <w:lvlText w:val="●"/>
      <w:lvlJc w:val="left"/>
      <w:pPr>
        <w:ind w:left="1680" w:hanging="420"/>
      </w:pPr>
      <w:rPr>
        <w:rFonts w:ascii="Arial" w:eastAsia="Arial" w:hAnsi="Arial"/>
      </w:rPr>
    </w:lvl>
    <w:lvl w:ilvl="4" w:tplc="D89A20E0">
      <w:start w:val="1"/>
      <w:numFmt w:val="bullet"/>
      <w:lvlText w:val="■"/>
      <w:lvlJc w:val="left"/>
      <w:pPr>
        <w:ind w:left="2100" w:hanging="420"/>
      </w:pPr>
      <w:rPr>
        <w:rFonts w:ascii="Arial" w:eastAsia="Arial" w:hAnsi="Arial"/>
      </w:rPr>
    </w:lvl>
    <w:lvl w:ilvl="5" w:tplc="AB764D0C">
      <w:start w:val="1"/>
      <w:numFmt w:val="bullet"/>
      <w:lvlText w:val="◆"/>
      <w:lvlJc w:val="left"/>
      <w:pPr>
        <w:ind w:left="2520" w:hanging="420"/>
      </w:pPr>
      <w:rPr>
        <w:rFonts w:ascii="Arial" w:eastAsia="Arial" w:hAnsi="Arial"/>
      </w:rPr>
    </w:lvl>
    <w:lvl w:ilvl="6" w:tplc="3D4259E6">
      <w:start w:val="1"/>
      <w:numFmt w:val="bullet"/>
      <w:lvlText w:val="●"/>
      <w:lvlJc w:val="left"/>
      <w:pPr>
        <w:ind w:left="2940" w:hanging="420"/>
      </w:pPr>
      <w:rPr>
        <w:rFonts w:ascii="Arial" w:eastAsia="Arial" w:hAnsi="Arial"/>
      </w:rPr>
    </w:lvl>
    <w:lvl w:ilvl="7" w:tplc="50AA144C">
      <w:start w:val="1"/>
      <w:numFmt w:val="bullet"/>
      <w:lvlText w:val="■"/>
      <w:lvlJc w:val="left"/>
      <w:pPr>
        <w:ind w:left="3360" w:hanging="420"/>
      </w:pPr>
      <w:rPr>
        <w:rFonts w:ascii="Arial" w:eastAsia="Arial" w:hAnsi="Arial"/>
      </w:rPr>
    </w:lvl>
    <w:lvl w:ilvl="8" w:tplc="0F964E70">
      <w:start w:val="1"/>
      <w:numFmt w:val="bullet"/>
      <w:lvlText w:val="◆"/>
      <w:lvlJc w:val="left"/>
      <w:pPr>
        <w:ind w:left="3780" w:hanging="420"/>
      </w:pPr>
      <w:rPr>
        <w:rFonts w:ascii="Arial" w:eastAsia="Arial" w:hAnsi="Arial"/>
      </w:rPr>
    </w:lvl>
  </w:abstractNum>
  <w:abstractNum w:abstractNumId="6">
    <w:nsid w:val="217A08D4"/>
    <w:multiLevelType w:val="multilevel"/>
    <w:tmpl w:val="72B0631A"/>
    <w:lvl w:ilvl="0">
      <w:start w:val="1"/>
      <w:numFmt w:val="bullet"/>
      <w:lvlText w:val=""/>
      <w:lvlJc w:val="left"/>
      <w:pPr>
        <w:ind w:left="340" w:hanging="340"/>
      </w:pPr>
      <w:rPr>
        <w:rFonts w:ascii="Symbol" w:hAnsi="Symbol" w:hint="default"/>
      </w:rPr>
    </w:lvl>
    <w:lvl w:ilvl="1">
      <w:start w:val="1"/>
      <w:numFmt w:val="bullet"/>
      <w:lvlText w:val="■"/>
      <w:lvlJc w:val="left"/>
      <w:pPr>
        <w:ind w:left="840" w:hanging="420"/>
      </w:pPr>
      <w:rPr>
        <w:rFonts w:ascii="Arial" w:eastAsia="Arial" w:hAnsi="Arial"/>
      </w:rPr>
    </w:lvl>
    <w:lvl w:ilvl="2">
      <w:start w:val="1"/>
      <w:numFmt w:val="bullet"/>
      <w:lvlText w:val="◆"/>
      <w:lvlJc w:val="left"/>
      <w:pPr>
        <w:ind w:left="1260" w:hanging="420"/>
      </w:pPr>
      <w:rPr>
        <w:rFonts w:ascii="Arial" w:eastAsia="Arial" w:hAnsi="Arial"/>
      </w:rPr>
    </w:lvl>
    <w:lvl w:ilvl="3">
      <w:start w:val="1"/>
      <w:numFmt w:val="bullet"/>
      <w:lvlText w:val="●"/>
      <w:lvlJc w:val="left"/>
      <w:pPr>
        <w:ind w:left="1680" w:hanging="420"/>
      </w:pPr>
      <w:rPr>
        <w:rFonts w:ascii="Arial" w:eastAsia="Arial" w:hAnsi="Arial"/>
      </w:rPr>
    </w:lvl>
    <w:lvl w:ilvl="4">
      <w:start w:val="1"/>
      <w:numFmt w:val="bullet"/>
      <w:lvlText w:val="■"/>
      <w:lvlJc w:val="left"/>
      <w:pPr>
        <w:ind w:left="2100" w:hanging="420"/>
      </w:pPr>
      <w:rPr>
        <w:rFonts w:ascii="Arial" w:eastAsia="Arial" w:hAnsi="Arial"/>
      </w:rPr>
    </w:lvl>
    <w:lvl w:ilvl="5">
      <w:start w:val="1"/>
      <w:numFmt w:val="bullet"/>
      <w:lvlText w:val="◆"/>
      <w:lvlJc w:val="left"/>
      <w:pPr>
        <w:ind w:left="2520" w:hanging="420"/>
      </w:pPr>
      <w:rPr>
        <w:rFonts w:ascii="Arial" w:eastAsia="Arial" w:hAnsi="Arial"/>
      </w:rPr>
    </w:lvl>
    <w:lvl w:ilvl="6">
      <w:start w:val="1"/>
      <w:numFmt w:val="bullet"/>
      <w:lvlText w:val="●"/>
      <w:lvlJc w:val="left"/>
      <w:pPr>
        <w:ind w:left="2940" w:hanging="420"/>
      </w:pPr>
      <w:rPr>
        <w:rFonts w:ascii="Arial" w:eastAsia="Arial" w:hAnsi="Arial"/>
      </w:rPr>
    </w:lvl>
    <w:lvl w:ilvl="7">
      <w:start w:val="1"/>
      <w:numFmt w:val="bullet"/>
      <w:lvlText w:val="■"/>
      <w:lvlJc w:val="left"/>
      <w:pPr>
        <w:ind w:left="3360" w:hanging="420"/>
      </w:pPr>
      <w:rPr>
        <w:rFonts w:ascii="Arial" w:eastAsia="Arial" w:hAnsi="Arial"/>
      </w:rPr>
    </w:lvl>
    <w:lvl w:ilvl="8">
      <w:start w:val="1"/>
      <w:numFmt w:val="bullet"/>
      <w:lvlText w:val="◆"/>
      <w:lvlJc w:val="left"/>
      <w:pPr>
        <w:ind w:left="3780" w:hanging="420"/>
      </w:pPr>
      <w:rPr>
        <w:rFonts w:ascii="Arial" w:eastAsia="Arial" w:hAnsi="Arial"/>
      </w:rPr>
    </w:lvl>
  </w:abstractNum>
  <w:abstractNum w:abstractNumId="7">
    <w:nsid w:val="223A4615"/>
    <w:multiLevelType w:val="multilevel"/>
    <w:tmpl w:val="507640F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1274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1C5324"/>
    <w:multiLevelType w:val="hybridMultilevel"/>
    <w:tmpl w:val="CC3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15ED6"/>
    <w:multiLevelType w:val="hybridMultilevel"/>
    <w:tmpl w:val="6EE6D51E"/>
    <w:lvl w:ilvl="0" w:tplc="91F4B0F6">
      <w:start w:val="1"/>
      <w:numFmt w:val="bullet"/>
      <w:lvlText w:val="●"/>
      <w:lvlJc w:val="left"/>
      <w:pPr>
        <w:ind w:left="420" w:firstLine="0"/>
      </w:pPr>
      <w:rPr>
        <w:rFonts w:ascii="Arial" w:eastAsia="Arial" w:hAnsi="Arial"/>
      </w:rPr>
    </w:lvl>
    <w:lvl w:ilvl="1" w:tplc="53C8AF76">
      <w:start w:val="1"/>
      <w:numFmt w:val="bullet"/>
      <w:lvlText w:val="■"/>
      <w:lvlJc w:val="left"/>
      <w:pPr>
        <w:ind w:left="840" w:hanging="420"/>
      </w:pPr>
      <w:rPr>
        <w:rFonts w:ascii="Arial" w:eastAsia="Arial" w:hAnsi="Arial"/>
      </w:rPr>
    </w:lvl>
    <w:lvl w:ilvl="2" w:tplc="E7228E84">
      <w:start w:val="1"/>
      <w:numFmt w:val="bullet"/>
      <w:lvlText w:val="◆"/>
      <w:lvlJc w:val="left"/>
      <w:pPr>
        <w:ind w:left="1260" w:hanging="420"/>
      </w:pPr>
      <w:rPr>
        <w:rFonts w:ascii="Arial" w:eastAsia="Arial" w:hAnsi="Arial"/>
      </w:rPr>
    </w:lvl>
    <w:lvl w:ilvl="3" w:tplc="080AE9DA">
      <w:start w:val="1"/>
      <w:numFmt w:val="bullet"/>
      <w:lvlText w:val="●"/>
      <w:lvlJc w:val="left"/>
      <w:pPr>
        <w:ind w:left="1680" w:hanging="420"/>
      </w:pPr>
      <w:rPr>
        <w:rFonts w:ascii="Arial" w:eastAsia="Arial" w:hAnsi="Arial"/>
      </w:rPr>
    </w:lvl>
    <w:lvl w:ilvl="4" w:tplc="E8080A86">
      <w:start w:val="1"/>
      <w:numFmt w:val="bullet"/>
      <w:lvlText w:val="■"/>
      <w:lvlJc w:val="left"/>
      <w:pPr>
        <w:ind w:left="2100" w:hanging="420"/>
      </w:pPr>
      <w:rPr>
        <w:rFonts w:ascii="Arial" w:eastAsia="Arial" w:hAnsi="Arial"/>
      </w:rPr>
    </w:lvl>
    <w:lvl w:ilvl="5" w:tplc="1E7E3A84">
      <w:start w:val="1"/>
      <w:numFmt w:val="bullet"/>
      <w:lvlText w:val="◆"/>
      <w:lvlJc w:val="left"/>
      <w:pPr>
        <w:ind w:left="2520" w:hanging="420"/>
      </w:pPr>
      <w:rPr>
        <w:rFonts w:ascii="Arial" w:eastAsia="Arial" w:hAnsi="Arial"/>
      </w:rPr>
    </w:lvl>
    <w:lvl w:ilvl="6" w:tplc="5C0A4FFC">
      <w:start w:val="1"/>
      <w:numFmt w:val="bullet"/>
      <w:lvlText w:val="●"/>
      <w:lvlJc w:val="left"/>
      <w:pPr>
        <w:ind w:left="2940" w:hanging="420"/>
      </w:pPr>
      <w:rPr>
        <w:rFonts w:ascii="Arial" w:eastAsia="Arial" w:hAnsi="Arial"/>
      </w:rPr>
    </w:lvl>
    <w:lvl w:ilvl="7" w:tplc="D638C4A4">
      <w:start w:val="1"/>
      <w:numFmt w:val="bullet"/>
      <w:lvlText w:val="■"/>
      <w:lvlJc w:val="left"/>
      <w:pPr>
        <w:ind w:left="3360" w:hanging="420"/>
      </w:pPr>
      <w:rPr>
        <w:rFonts w:ascii="Arial" w:eastAsia="Arial" w:hAnsi="Arial"/>
      </w:rPr>
    </w:lvl>
    <w:lvl w:ilvl="8" w:tplc="43522C34">
      <w:start w:val="1"/>
      <w:numFmt w:val="bullet"/>
      <w:lvlText w:val="◆"/>
      <w:lvlJc w:val="left"/>
      <w:pPr>
        <w:ind w:left="3780" w:hanging="420"/>
      </w:pPr>
      <w:rPr>
        <w:rFonts w:ascii="Arial" w:eastAsia="Arial" w:hAnsi="Arial"/>
      </w:rPr>
    </w:lvl>
  </w:abstractNum>
  <w:abstractNum w:abstractNumId="11">
    <w:nsid w:val="42E5164E"/>
    <w:multiLevelType w:val="hybridMultilevel"/>
    <w:tmpl w:val="D01E9858"/>
    <w:lvl w:ilvl="0" w:tplc="0576E572">
      <w:start w:val="1"/>
      <w:numFmt w:val="decimal"/>
      <w:lvlText w:val="%1."/>
      <w:lvlJc w:val="left"/>
      <w:pPr>
        <w:ind w:left="420" w:firstLine="0"/>
      </w:pPr>
    </w:lvl>
    <w:lvl w:ilvl="1" w:tplc="F716886C">
      <w:start w:val="1"/>
      <w:numFmt w:val="lowerLetter"/>
      <w:lvlText w:val="%2."/>
      <w:lvlJc w:val="left"/>
      <w:pPr>
        <w:ind w:left="840" w:hanging="420"/>
      </w:pPr>
    </w:lvl>
    <w:lvl w:ilvl="2" w:tplc="3FDC7026">
      <w:start w:val="1"/>
      <w:numFmt w:val="lowerRoman"/>
      <w:lvlText w:val="%3."/>
      <w:lvlJc w:val="right"/>
      <w:pPr>
        <w:ind w:left="1260" w:hanging="420"/>
      </w:pPr>
    </w:lvl>
    <w:lvl w:ilvl="3" w:tplc="D9B0F448">
      <w:start w:val="1"/>
      <w:numFmt w:val="decimal"/>
      <w:lvlText w:val="%4."/>
      <w:lvlJc w:val="left"/>
      <w:pPr>
        <w:ind w:left="1680" w:hanging="420"/>
      </w:pPr>
    </w:lvl>
    <w:lvl w:ilvl="4" w:tplc="FC166A60">
      <w:start w:val="1"/>
      <w:numFmt w:val="lowerLetter"/>
      <w:lvlText w:val="%5."/>
      <w:lvlJc w:val="left"/>
      <w:pPr>
        <w:ind w:left="2100" w:hanging="420"/>
      </w:pPr>
    </w:lvl>
    <w:lvl w:ilvl="5" w:tplc="5FDAB938">
      <w:start w:val="1"/>
      <w:numFmt w:val="lowerRoman"/>
      <w:lvlText w:val="%6."/>
      <w:lvlJc w:val="right"/>
      <w:pPr>
        <w:ind w:left="2520" w:hanging="420"/>
      </w:pPr>
    </w:lvl>
    <w:lvl w:ilvl="6" w:tplc="354E4462">
      <w:start w:val="1"/>
      <w:numFmt w:val="decimal"/>
      <w:lvlText w:val="%7."/>
      <w:lvlJc w:val="left"/>
      <w:pPr>
        <w:ind w:left="2940" w:hanging="420"/>
      </w:pPr>
    </w:lvl>
    <w:lvl w:ilvl="7" w:tplc="F496AB54">
      <w:start w:val="1"/>
      <w:numFmt w:val="lowerLetter"/>
      <w:lvlText w:val="%8."/>
      <w:lvlJc w:val="left"/>
      <w:pPr>
        <w:ind w:left="3360" w:hanging="420"/>
      </w:pPr>
    </w:lvl>
    <w:lvl w:ilvl="8" w:tplc="6AD273A8">
      <w:start w:val="1"/>
      <w:numFmt w:val="lowerRoman"/>
      <w:lvlText w:val="%9."/>
      <w:lvlJc w:val="right"/>
      <w:pPr>
        <w:ind w:left="3780" w:hanging="420"/>
      </w:pPr>
    </w:lvl>
  </w:abstractNum>
  <w:abstractNum w:abstractNumId="12">
    <w:nsid w:val="43211E37"/>
    <w:multiLevelType w:val="hybridMultilevel"/>
    <w:tmpl w:val="A3E2C8EA"/>
    <w:lvl w:ilvl="0" w:tplc="61881B54">
      <w:start w:val="1"/>
      <w:numFmt w:val="bullet"/>
      <w:lvlText w:val="●"/>
      <w:lvlJc w:val="left"/>
      <w:pPr>
        <w:ind w:left="420" w:firstLine="0"/>
      </w:pPr>
      <w:rPr>
        <w:rFonts w:ascii="Arial" w:eastAsia="Arial" w:hAnsi="Arial"/>
      </w:rPr>
    </w:lvl>
    <w:lvl w:ilvl="1" w:tplc="EF68FB5A">
      <w:start w:val="1"/>
      <w:numFmt w:val="bullet"/>
      <w:lvlText w:val="■"/>
      <w:lvlJc w:val="left"/>
      <w:pPr>
        <w:ind w:left="840" w:hanging="420"/>
      </w:pPr>
      <w:rPr>
        <w:rFonts w:ascii="Arial" w:eastAsia="Arial" w:hAnsi="Arial"/>
      </w:rPr>
    </w:lvl>
    <w:lvl w:ilvl="2" w:tplc="2D347984">
      <w:start w:val="1"/>
      <w:numFmt w:val="bullet"/>
      <w:lvlText w:val="◆"/>
      <w:lvlJc w:val="left"/>
      <w:pPr>
        <w:ind w:left="1260" w:hanging="420"/>
      </w:pPr>
      <w:rPr>
        <w:rFonts w:ascii="Arial" w:eastAsia="Arial" w:hAnsi="Arial"/>
      </w:rPr>
    </w:lvl>
    <w:lvl w:ilvl="3" w:tplc="473ACB5A">
      <w:start w:val="1"/>
      <w:numFmt w:val="bullet"/>
      <w:lvlText w:val="●"/>
      <w:lvlJc w:val="left"/>
      <w:pPr>
        <w:ind w:left="1680" w:hanging="420"/>
      </w:pPr>
      <w:rPr>
        <w:rFonts w:ascii="Arial" w:eastAsia="Arial" w:hAnsi="Arial"/>
      </w:rPr>
    </w:lvl>
    <w:lvl w:ilvl="4" w:tplc="AF001DBA">
      <w:start w:val="1"/>
      <w:numFmt w:val="bullet"/>
      <w:lvlText w:val="■"/>
      <w:lvlJc w:val="left"/>
      <w:pPr>
        <w:ind w:left="2100" w:hanging="420"/>
      </w:pPr>
      <w:rPr>
        <w:rFonts w:ascii="Arial" w:eastAsia="Arial" w:hAnsi="Arial"/>
      </w:rPr>
    </w:lvl>
    <w:lvl w:ilvl="5" w:tplc="CF86CCFE">
      <w:start w:val="1"/>
      <w:numFmt w:val="bullet"/>
      <w:lvlText w:val="◆"/>
      <w:lvlJc w:val="left"/>
      <w:pPr>
        <w:ind w:left="2520" w:hanging="420"/>
      </w:pPr>
      <w:rPr>
        <w:rFonts w:ascii="Arial" w:eastAsia="Arial" w:hAnsi="Arial"/>
      </w:rPr>
    </w:lvl>
    <w:lvl w:ilvl="6" w:tplc="C6A689EE">
      <w:start w:val="1"/>
      <w:numFmt w:val="bullet"/>
      <w:lvlText w:val="●"/>
      <w:lvlJc w:val="left"/>
      <w:pPr>
        <w:ind w:left="2940" w:hanging="420"/>
      </w:pPr>
      <w:rPr>
        <w:rFonts w:ascii="Arial" w:eastAsia="Arial" w:hAnsi="Arial"/>
      </w:rPr>
    </w:lvl>
    <w:lvl w:ilvl="7" w:tplc="0BECABB6">
      <w:start w:val="1"/>
      <w:numFmt w:val="bullet"/>
      <w:lvlText w:val="■"/>
      <w:lvlJc w:val="left"/>
      <w:pPr>
        <w:ind w:left="3360" w:hanging="420"/>
      </w:pPr>
      <w:rPr>
        <w:rFonts w:ascii="Arial" w:eastAsia="Arial" w:hAnsi="Arial"/>
      </w:rPr>
    </w:lvl>
    <w:lvl w:ilvl="8" w:tplc="CFF6C1C4">
      <w:start w:val="1"/>
      <w:numFmt w:val="bullet"/>
      <w:lvlText w:val="◆"/>
      <w:lvlJc w:val="left"/>
      <w:pPr>
        <w:ind w:left="3780" w:hanging="420"/>
      </w:pPr>
      <w:rPr>
        <w:rFonts w:ascii="Arial" w:eastAsia="Arial" w:hAnsi="Arial"/>
      </w:rPr>
    </w:lvl>
  </w:abstractNum>
  <w:abstractNum w:abstractNumId="13">
    <w:nsid w:val="45284AC2"/>
    <w:multiLevelType w:val="hybridMultilevel"/>
    <w:tmpl w:val="93FCD534"/>
    <w:lvl w:ilvl="0" w:tplc="DBC6F968">
      <w:start w:val="1"/>
      <w:numFmt w:val="decimal"/>
      <w:pStyle w:val="Numberedlist"/>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4D725B"/>
    <w:multiLevelType w:val="hybridMultilevel"/>
    <w:tmpl w:val="BA98DD94"/>
    <w:lvl w:ilvl="0" w:tplc="D3F63EBA">
      <w:start w:val="1"/>
      <w:numFmt w:val="lowerLetter"/>
      <w:pStyle w:val="Letterlist"/>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A94449"/>
    <w:multiLevelType w:val="hybridMultilevel"/>
    <w:tmpl w:val="F25C66AA"/>
    <w:lvl w:ilvl="0" w:tplc="FCAAC870">
      <w:start w:val="1"/>
      <w:numFmt w:val="decimal"/>
      <w:lvlText w:val="%1."/>
      <w:lvlJc w:val="left"/>
      <w:pPr>
        <w:ind w:left="420" w:firstLine="0"/>
      </w:pPr>
    </w:lvl>
    <w:lvl w:ilvl="1" w:tplc="2738DBA8">
      <w:start w:val="1"/>
      <w:numFmt w:val="lowerLetter"/>
      <w:lvlText w:val="%2."/>
      <w:lvlJc w:val="left"/>
      <w:pPr>
        <w:ind w:left="1440" w:firstLine="0"/>
      </w:pPr>
    </w:lvl>
    <w:lvl w:ilvl="2" w:tplc="6360C494">
      <w:start w:val="1"/>
      <w:numFmt w:val="lowerRoman"/>
      <w:lvlText w:val="%3."/>
      <w:lvlJc w:val="right"/>
      <w:pPr>
        <w:ind w:left="1260" w:hanging="420"/>
      </w:pPr>
    </w:lvl>
    <w:lvl w:ilvl="3" w:tplc="DB32A0FE">
      <w:start w:val="1"/>
      <w:numFmt w:val="decimal"/>
      <w:lvlText w:val="%4."/>
      <w:lvlJc w:val="left"/>
      <w:pPr>
        <w:ind w:left="1680" w:hanging="420"/>
      </w:pPr>
    </w:lvl>
    <w:lvl w:ilvl="4" w:tplc="A00A4CA6">
      <w:start w:val="1"/>
      <w:numFmt w:val="lowerLetter"/>
      <w:lvlText w:val="%5."/>
      <w:lvlJc w:val="left"/>
      <w:pPr>
        <w:ind w:left="2100" w:hanging="420"/>
      </w:pPr>
    </w:lvl>
    <w:lvl w:ilvl="5" w:tplc="F4DC6156">
      <w:start w:val="1"/>
      <w:numFmt w:val="lowerRoman"/>
      <w:lvlText w:val="%6."/>
      <w:lvlJc w:val="right"/>
      <w:pPr>
        <w:ind w:left="2520" w:hanging="420"/>
      </w:pPr>
    </w:lvl>
    <w:lvl w:ilvl="6" w:tplc="BBD0C758">
      <w:start w:val="1"/>
      <w:numFmt w:val="decimal"/>
      <w:lvlText w:val="%7."/>
      <w:lvlJc w:val="left"/>
      <w:pPr>
        <w:ind w:left="2940" w:hanging="420"/>
      </w:pPr>
    </w:lvl>
    <w:lvl w:ilvl="7" w:tplc="34B447CC">
      <w:start w:val="1"/>
      <w:numFmt w:val="lowerLetter"/>
      <w:lvlText w:val="%8."/>
      <w:lvlJc w:val="left"/>
      <w:pPr>
        <w:ind w:left="3360" w:hanging="420"/>
      </w:pPr>
    </w:lvl>
    <w:lvl w:ilvl="8" w:tplc="D792780E">
      <w:start w:val="1"/>
      <w:numFmt w:val="lowerRoman"/>
      <w:lvlText w:val="%9."/>
      <w:lvlJc w:val="right"/>
      <w:pPr>
        <w:ind w:left="3780" w:hanging="420"/>
      </w:pPr>
    </w:lvl>
  </w:abstractNum>
  <w:abstractNum w:abstractNumId="16">
    <w:nsid w:val="7C4D5912"/>
    <w:multiLevelType w:val="hybridMultilevel"/>
    <w:tmpl w:val="2EC48426"/>
    <w:lvl w:ilvl="0" w:tplc="B5365482">
      <w:start w:val="1"/>
      <w:numFmt w:val="bullet"/>
      <w:pStyle w:val="Bulletedlist1"/>
      <w:lvlText w:val=""/>
      <w:lvlJc w:val="left"/>
      <w:pPr>
        <w:ind w:left="340" w:hanging="340"/>
      </w:pPr>
      <w:rPr>
        <w:rFonts w:ascii="Symbol" w:hAnsi="Symbol" w:hint="default"/>
      </w:rPr>
    </w:lvl>
    <w:lvl w:ilvl="1" w:tplc="E00265B2">
      <w:start w:val="1"/>
      <w:numFmt w:val="bullet"/>
      <w:lvlText w:val="■"/>
      <w:lvlJc w:val="left"/>
      <w:pPr>
        <w:ind w:left="840" w:hanging="420"/>
      </w:pPr>
      <w:rPr>
        <w:rFonts w:ascii="Arial" w:eastAsia="Arial" w:hAnsi="Arial"/>
      </w:rPr>
    </w:lvl>
    <w:lvl w:ilvl="2" w:tplc="B8B46826">
      <w:start w:val="1"/>
      <w:numFmt w:val="bullet"/>
      <w:lvlText w:val="◆"/>
      <w:lvlJc w:val="left"/>
      <w:pPr>
        <w:ind w:left="1260" w:hanging="420"/>
      </w:pPr>
      <w:rPr>
        <w:rFonts w:ascii="Arial" w:eastAsia="Arial" w:hAnsi="Arial"/>
      </w:rPr>
    </w:lvl>
    <w:lvl w:ilvl="3" w:tplc="D11806CA">
      <w:start w:val="1"/>
      <w:numFmt w:val="bullet"/>
      <w:lvlText w:val="●"/>
      <w:lvlJc w:val="left"/>
      <w:pPr>
        <w:ind w:left="1680" w:hanging="420"/>
      </w:pPr>
      <w:rPr>
        <w:rFonts w:ascii="Arial" w:eastAsia="Arial" w:hAnsi="Arial"/>
      </w:rPr>
    </w:lvl>
    <w:lvl w:ilvl="4" w:tplc="B4DABE94">
      <w:start w:val="1"/>
      <w:numFmt w:val="bullet"/>
      <w:lvlText w:val="■"/>
      <w:lvlJc w:val="left"/>
      <w:pPr>
        <w:ind w:left="2100" w:hanging="420"/>
      </w:pPr>
      <w:rPr>
        <w:rFonts w:ascii="Arial" w:eastAsia="Arial" w:hAnsi="Arial"/>
      </w:rPr>
    </w:lvl>
    <w:lvl w:ilvl="5" w:tplc="E1A4E222">
      <w:start w:val="1"/>
      <w:numFmt w:val="bullet"/>
      <w:lvlText w:val="◆"/>
      <w:lvlJc w:val="left"/>
      <w:pPr>
        <w:ind w:left="2520" w:hanging="420"/>
      </w:pPr>
      <w:rPr>
        <w:rFonts w:ascii="Arial" w:eastAsia="Arial" w:hAnsi="Arial"/>
      </w:rPr>
    </w:lvl>
    <w:lvl w:ilvl="6" w:tplc="BAA28C9A">
      <w:start w:val="1"/>
      <w:numFmt w:val="bullet"/>
      <w:lvlText w:val="●"/>
      <w:lvlJc w:val="left"/>
      <w:pPr>
        <w:ind w:left="2940" w:hanging="420"/>
      </w:pPr>
      <w:rPr>
        <w:rFonts w:ascii="Arial" w:eastAsia="Arial" w:hAnsi="Arial"/>
      </w:rPr>
    </w:lvl>
    <w:lvl w:ilvl="7" w:tplc="9C54B3A2">
      <w:start w:val="1"/>
      <w:numFmt w:val="bullet"/>
      <w:lvlText w:val="■"/>
      <w:lvlJc w:val="left"/>
      <w:pPr>
        <w:ind w:left="3360" w:hanging="420"/>
      </w:pPr>
      <w:rPr>
        <w:rFonts w:ascii="Arial" w:eastAsia="Arial" w:hAnsi="Arial"/>
      </w:rPr>
    </w:lvl>
    <w:lvl w:ilvl="8" w:tplc="EAD48D56">
      <w:start w:val="1"/>
      <w:numFmt w:val="bullet"/>
      <w:lvlText w:val="◆"/>
      <w:lvlJc w:val="left"/>
      <w:pPr>
        <w:ind w:left="3780" w:hanging="420"/>
      </w:pPr>
      <w:rPr>
        <w:rFonts w:ascii="Arial" w:eastAsia="Arial" w:hAnsi="Arial"/>
      </w:rPr>
    </w:lvl>
  </w:abstractNum>
  <w:num w:numId="1">
    <w:abstractNumId w:val="15"/>
  </w:num>
  <w:num w:numId="2">
    <w:abstractNumId w:val="5"/>
  </w:num>
  <w:num w:numId="3">
    <w:abstractNumId w:val="12"/>
  </w:num>
  <w:num w:numId="4">
    <w:abstractNumId w:val="1"/>
  </w:num>
  <w:num w:numId="5">
    <w:abstractNumId w:val="4"/>
  </w:num>
  <w:num w:numId="6">
    <w:abstractNumId w:val="10"/>
  </w:num>
  <w:num w:numId="7">
    <w:abstractNumId w:val="11"/>
  </w:num>
  <w:num w:numId="8">
    <w:abstractNumId w:val="16"/>
  </w:num>
  <w:num w:numId="9">
    <w:abstractNumId w:val="3"/>
  </w:num>
  <w:num w:numId="10">
    <w:abstractNumId w:val="7"/>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3"/>
  </w:num>
  <w:num w:numId="16">
    <w:abstractNumId w:val="6"/>
  </w:num>
  <w:num w:numId="17">
    <w:abstractNumId w:val="13"/>
    <w:lvlOverride w:ilvl="0">
      <w:startOverride w:val="1"/>
    </w:lvlOverride>
  </w:num>
  <w:num w:numId="18">
    <w:abstractNumId w:val="13"/>
    <w:lvlOverride w:ilvl="0">
      <w:startOverride w:val="1"/>
    </w:lvlOverride>
  </w:num>
  <w:num w:numId="19">
    <w:abstractNumId w:val="0"/>
  </w:num>
  <w:num w:numId="20">
    <w:abstractNumId w:val="13"/>
    <w:lvlOverride w:ilvl="0">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W_DocType" w:val="Normal"/>
    <w:docVar w:name="LW_DocType" w:val="NORMAL"/>
  </w:docVars>
  <w:rsids>
    <w:rsidRoot w:val="00203F59"/>
    <w:rsid w:val="00001C8B"/>
    <w:rsid w:val="00007780"/>
    <w:rsid w:val="00012BA8"/>
    <w:rsid w:val="00013DA4"/>
    <w:rsid w:val="00014501"/>
    <w:rsid w:val="0001630D"/>
    <w:rsid w:val="00025965"/>
    <w:rsid w:val="00026765"/>
    <w:rsid w:val="00027E8B"/>
    <w:rsid w:val="000333BB"/>
    <w:rsid w:val="00033421"/>
    <w:rsid w:val="00035390"/>
    <w:rsid w:val="00037266"/>
    <w:rsid w:val="000455D6"/>
    <w:rsid w:val="00052A93"/>
    <w:rsid w:val="00055CA7"/>
    <w:rsid w:val="00060318"/>
    <w:rsid w:val="00064F43"/>
    <w:rsid w:val="00065828"/>
    <w:rsid w:val="00073DA9"/>
    <w:rsid w:val="00074D8C"/>
    <w:rsid w:val="0007576D"/>
    <w:rsid w:val="000831BC"/>
    <w:rsid w:val="000862D0"/>
    <w:rsid w:val="00092BFD"/>
    <w:rsid w:val="000A34CA"/>
    <w:rsid w:val="000A406C"/>
    <w:rsid w:val="000A6E8F"/>
    <w:rsid w:val="000B6205"/>
    <w:rsid w:val="000B76F1"/>
    <w:rsid w:val="000C2DC4"/>
    <w:rsid w:val="000C2FE1"/>
    <w:rsid w:val="000C56B9"/>
    <w:rsid w:val="000D325F"/>
    <w:rsid w:val="000D5E58"/>
    <w:rsid w:val="000D70A2"/>
    <w:rsid w:val="000E01AC"/>
    <w:rsid w:val="000E08FA"/>
    <w:rsid w:val="000E208A"/>
    <w:rsid w:val="000E3913"/>
    <w:rsid w:val="000E48D3"/>
    <w:rsid w:val="000F08E2"/>
    <w:rsid w:val="000F208A"/>
    <w:rsid w:val="000F2961"/>
    <w:rsid w:val="00102191"/>
    <w:rsid w:val="001043D7"/>
    <w:rsid w:val="00106374"/>
    <w:rsid w:val="001067ED"/>
    <w:rsid w:val="00107584"/>
    <w:rsid w:val="001103A0"/>
    <w:rsid w:val="001113F4"/>
    <w:rsid w:val="00111480"/>
    <w:rsid w:val="001123A2"/>
    <w:rsid w:val="00120C65"/>
    <w:rsid w:val="00125B61"/>
    <w:rsid w:val="0012637F"/>
    <w:rsid w:val="001275E5"/>
    <w:rsid w:val="00132AE2"/>
    <w:rsid w:val="00132B4E"/>
    <w:rsid w:val="001509DC"/>
    <w:rsid w:val="00154A16"/>
    <w:rsid w:val="00155FDE"/>
    <w:rsid w:val="00165975"/>
    <w:rsid w:val="00167204"/>
    <w:rsid w:val="00172234"/>
    <w:rsid w:val="00172260"/>
    <w:rsid w:val="001740D6"/>
    <w:rsid w:val="001756C6"/>
    <w:rsid w:val="001812E2"/>
    <w:rsid w:val="00187CE3"/>
    <w:rsid w:val="0019754C"/>
    <w:rsid w:val="001B098F"/>
    <w:rsid w:val="001B67A3"/>
    <w:rsid w:val="001C7FC9"/>
    <w:rsid w:val="001D0194"/>
    <w:rsid w:val="001E0D5A"/>
    <w:rsid w:val="001E1EC1"/>
    <w:rsid w:val="001F05BD"/>
    <w:rsid w:val="001F7E55"/>
    <w:rsid w:val="00202C31"/>
    <w:rsid w:val="00203F59"/>
    <w:rsid w:val="0020741E"/>
    <w:rsid w:val="00210A82"/>
    <w:rsid w:val="00211043"/>
    <w:rsid w:val="002244D3"/>
    <w:rsid w:val="00224FAB"/>
    <w:rsid w:val="0023151E"/>
    <w:rsid w:val="00236E6C"/>
    <w:rsid w:val="002453C4"/>
    <w:rsid w:val="0024561B"/>
    <w:rsid w:val="002456B3"/>
    <w:rsid w:val="00256044"/>
    <w:rsid w:val="00257F02"/>
    <w:rsid w:val="002641B0"/>
    <w:rsid w:val="00264288"/>
    <w:rsid w:val="00265889"/>
    <w:rsid w:val="002703EF"/>
    <w:rsid w:val="00281932"/>
    <w:rsid w:val="002828FD"/>
    <w:rsid w:val="00283AF9"/>
    <w:rsid w:val="002908C4"/>
    <w:rsid w:val="00290D64"/>
    <w:rsid w:val="00292445"/>
    <w:rsid w:val="00293384"/>
    <w:rsid w:val="002933DD"/>
    <w:rsid w:val="002933F5"/>
    <w:rsid w:val="002942E6"/>
    <w:rsid w:val="00294808"/>
    <w:rsid w:val="00296A4C"/>
    <w:rsid w:val="002A3E4A"/>
    <w:rsid w:val="002A51F2"/>
    <w:rsid w:val="002A5362"/>
    <w:rsid w:val="002B2906"/>
    <w:rsid w:val="002B359B"/>
    <w:rsid w:val="002B56EF"/>
    <w:rsid w:val="002C5B96"/>
    <w:rsid w:val="002D40C1"/>
    <w:rsid w:val="002D4D50"/>
    <w:rsid w:val="002D6F32"/>
    <w:rsid w:val="002D788E"/>
    <w:rsid w:val="002D7EDD"/>
    <w:rsid w:val="002E2450"/>
    <w:rsid w:val="002E6006"/>
    <w:rsid w:val="002F3999"/>
    <w:rsid w:val="0030017E"/>
    <w:rsid w:val="0030758F"/>
    <w:rsid w:val="003112A9"/>
    <w:rsid w:val="00336E1E"/>
    <w:rsid w:val="00341706"/>
    <w:rsid w:val="00341FDC"/>
    <w:rsid w:val="00345141"/>
    <w:rsid w:val="0034545F"/>
    <w:rsid w:val="00346A75"/>
    <w:rsid w:val="00347AE4"/>
    <w:rsid w:val="00350556"/>
    <w:rsid w:val="00356963"/>
    <w:rsid w:val="00361446"/>
    <w:rsid w:val="0037514A"/>
    <w:rsid w:val="003751A0"/>
    <w:rsid w:val="003A7697"/>
    <w:rsid w:val="003B1D30"/>
    <w:rsid w:val="003C2DA7"/>
    <w:rsid w:val="003C373E"/>
    <w:rsid w:val="003C41A4"/>
    <w:rsid w:val="003D4857"/>
    <w:rsid w:val="003D5EF5"/>
    <w:rsid w:val="003E476B"/>
    <w:rsid w:val="003F724E"/>
    <w:rsid w:val="004421D3"/>
    <w:rsid w:val="0045395F"/>
    <w:rsid w:val="00464843"/>
    <w:rsid w:val="00496F3D"/>
    <w:rsid w:val="004B6935"/>
    <w:rsid w:val="004B7F9E"/>
    <w:rsid w:val="004C063B"/>
    <w:rsid w:val="004C4703"/>
    <w:rsid w:val="004C6FE0"/>
    <w:rsid w:val="004D1F9C"/>
    <w:rsid w:val="004D36BA"/>
    <w:rsid w:val="004E77DA"/>
    <w:rsid w:val="004F0388"/>
    <w:rsid w:val="004F26D7"/>
    <w:rsid w:val="004F422E"/>
    <w:rsid w:val="004F576B"/>
    <w:rsid w:val="005033C2"/>
    <w:rsid w:val="005038CC"/>
    <w:rsid w:val="0050483E"/>
    <w:rsid w:val="0051066D"/>
    <w:rsid w:val="00510D6E"/>
    <w:rsid w:val="0051187F"/>
    <w:rsid w:val="00516B9D"/>
    <w:rsid w:val="00517E84"/>
    <w:rsid w:val="00521271"/>
    <w:rsid w:val="00524C8A"/>
    <w:rsid w:val="00524F51"/>
    <w:rsid w:val="00542B10"/>
    <w:rsid w:val="00561118"/>
    <w:rsid w:val="00563B4B"/>
    <w:rsid w:val="00564C2D"/>
    <w:rsid w:val="00572C33"/>
    <w:rsid w:val="00575BF2"/>
    <w:rsid w:val="00577B07"/>
    <w:rsid w:val="0058448F"/>
    <w:rsid w:val="00584B63"/>
    <w:rsid w:val="00590359"/>
    <w:rsid w:val="00591996"/>
    <w:rsid w:val="005A12B1"/>
    <w:rsid w:val="005A14CE"/>
    <w:rsid w:val="005A5E9F"/>
    <w:rsid w:val="005B5865"/>
    <w:rsid w:val="005B6B1D"/>
    <w:rsid w:val="005C27BF"/>
    <w:rsid w:val="005D3CD6"/>
    <w:rsid w:val="005E20BF"/>
    <w:rsid w:val="005E5A90"/>
    <w:rsid w:val="005F3F9B"/>
    <w:rsid w:val="00601493"/>
    <w:rsid w:val="00601ABE"/>
    <w:rsid w:val="00607E61"/>
    <w:rsid w:val="00614524"/>
    <w:rsid w:val="0062208F"/>
    <w:rsid w:val="006226E1"/>
    <w:rsid w:val="00633464"/>
    <w:rsid w:val="006360F7"/>
    <w:rsid w:val="0063787D"/>
    <w:rsid w:val="006409B7"/>
    <w:rsid w:val="00640CD9"/>
    <w:rsid w:val="00643B66"/>
    <w:rsid w:val="00646948"/>
    <w:rsid w:val="00652BBD"/>
    <w:rsid w:val="00665ECD"/>
    <w:rsid w:val="00671B0E"/>
    <w:rsid w:val="006741D4"/>
    <w:rsid w:val="006744E4"/>
    <w:rsid w:val="00674B9E"/>
    <w:rsid w:val="006836CC"/>
    <w:rsid w:val="00683E7E"/>
    <w:rsid w:val="00687E1B"/>
    <w:rsid w:val="006B2C75"/>
    <w:rsid w:val="006B2F0A"/>
    <w:rsid w:val="006B34E5"/>
    <w:rsid w:val="006B73FD"/>
    <w:rsid w:val="006C1BDE"/>
    <w:rsid w:val="006C35AE"/>
    <w:rsid w:val="006C3E87"/>
    <w:rsid w:val="006D0B3C"/>
    <w:rsid w:val="006D4759"/>
    <w:rsid w:val="006D6AFF"/>
    <w:rsid w:val="006E1A50"/>
    <w:rsid w:val="006E6AFD"/>
    <w:rsid w:val="006F02D8"/>
    <w:rsid w:val="006F237F"/>
    <w:rsid w:val="007120BB"/>
    <w:rsid w:val="00715013"/>
    <w:rsid w:val="00716193"/>
    <w:rsid w:val="0071623E"/>
    <w:rsid w:val="00726A27"/>
    <w:rsid w:val="00732082"/>
    <w:rsid w:val="00735DBB"/>
    <w:rsid w:val="00740118"/>
    <w:rsid w:val="007401D6"/>
    <w:rsid w:val="007479F5"/>
    <w:rsid w:val="0075131A"/>
    <w:rsid w:val="00753B10"/>
    <w:rsid w:val="00763C93"/>
    <w:rsid w:val="007667A4"/>
    <w:rsid w:val="007851B7"/>
    <w:rsid w:val="00785755"/>
    <w:rsid w:val="00790205"/>
    <w:rsid w:val="00790312"/>
    <w:rsid w:val="00791D1D"/>
    <w:rsid w:val="00795900"/>
    <w:rsid w:val="007C045A"/>
    <w:rsid w:val="007C0892"/>
    <w:rsid w:val="007C1143"/>
    <w:rsid w:val="007C2BC3"/>
    <w:rsid w:val="007C319B"/>
    <w:rsid w:val="007C44BF"/>
    <w:rsid w:val="007D6617"/>
    <w:rsid w:val="007D6A5D"/>
    <w:rsid w:val="007E728F"/>
    <w:rsid w:val="007F6D0A"/>
    <w:rsid w:val="007F7B88"/>
    <w:rsid w:val="00800B65"/>
    <w:rsid w:val="00801353"/>
    <w:rsid w:val="00803455"/>
    <w:rsid w:val="008064C1"/>
    <w:rsid w:val="00810394"/>
    <w:rsid w:val="00815C6B"/>
    <w:rsid w:val="008229DE"/>
    <w:rsid w:val="00822B6E"/>
    <w:rsid w:val="0083722F"/>
    <w:rsid w:val="00837B0F"/>
    <w:rsid w:val="008523EC"/>
    <w:rsid w:val="008607D3"/>
    <w:rsid w:val="00862C65"/>
    <w:rsid w:val="0086711D"/>
    <w:rsid w:val="008765AE"/>
    <w:rsid w:val="00876B3D"/>
    <w:rsid w:val="00880B16"/>
    <w:rsid w:val="008874CB"/>
    <w:rsid w:val="008911E0"/>
    <w:rsid w:val="00894330"/>
    <w:rsid w:val="00895C4E"/>
    <w:rsid w:val="008A1A3A"/>
    <w:rsid w:val="008A489A"/>
    <w:rsid w:val="008B2BFB"/>
    <w:rsid w:val="008C7F81"/>
    <w:rsid w:val="008D0AAB"/>
    <w:rsid w:val="008D1DFB"/>
    <w:rsid w:val="008D23C9"/>
    <w:rsid w:val="008D6AD4"/>
    <w:rsid w:val="008E5B01"/>
    <w:rsid w:val="00900BA8"/>
    <w:rsid w:val="00901067"/>
    <w:rsid w:val="0090281C"/>
    <w:rsid w:val="00907302"/>
    <w:rsid w:val="00920D02"/>
    <w:rsid w:val="009240F4"/>
    <w:rsid w:val="00933771"/>
    <w:rsid w:val="00934D83"/>
    <w:rsid w:val="00942D90"/>
    <w:rsid w:val="00961DA7"/>
    <w:rsid w:val="00971DCA"/>
    <w:rsid w:val="00974BE5"/>
    <w:rsid w:val="009846BE"/>
    <w:rsid w:val="00986F6D"/>
    <w:rsid w:val="00990124"/>
    <w:rsid w:val="00991950"/>
    <w:rsid w:val="00996454"/>
    <w:rsid w:val="009B0AA5"/>
    <w:rsid w:val="009B5F04"/>
    <w:rsid w:val="009C3D8E"/>
    <w:rsid w:val="009C4076"/>
    <w:rsid w:val="009C4886"/>
    <w:rsid w:val="009D3151"/>
    <w:rsid w:val="009D5413"/>
    <w:rsid w:val="009D572A"/>
    <w:rsid w:val="009D7B92"/>
    <w:rsid w:val="009E323A"/>
    <w:rsid w:val="009E7417"/>
    <w:rsid w:val="009F4199"/>
    <w:rsid w:val="00A07D24"/>
    <w:rsid w:val="00A11A3F"/>
    <w:rsid w:val="00A143B2"/>
    <w:rsid w:val="00A224FA"/>
    <w:rsid w:val="00A22D0C"/>
    <w:rsid w:val="00A32993"/>
    <w:rsid w:val="00A34FEB"/>
    <w:rsid w:val="00A37397"/>
    <w:rsid w:val="00A401F5"/>
    <w:rsid w:val="00A42F95"/>
    <w:rsid w:val="00A44378"/>
    <w:rsid w:val="00A528FE"/>
    <w:rsid w:val="00A554D2"/>
    <w:rsid w:val="00A618CF"/>
    <w:rsid w:val="00A61F9A"/>
    <w:rsid w:val="00A62958"/>
    <w:rsid w:val="00A6317E"/>
    <w:rsid w:val="00A634FD"/>
    <w:rsid w:val="00A63686"/>
    <w:rsid w:val="00A659C3"/>
    <w:rsid w:val="00A73C4C"/>
    <w:rsid w:val="00A77BBA"/>
    <w:rsid w:val="00A818D6"/>
    <w:rsid w:val="00AA05F8"/>
    <w:rsid w:val="00AA3BCD"/>
    <w:rsid w:val="00AB3EA7"/>
    <w:rsid w:val="00AC0885"/>
    <w:rsid w:val="00AC2011"/>
    <w:rsid w:val="00AC2033"/>
    <w:rsid w:val="00AC22E7"/>
    <w:rsid w:val="00AC625C"/>
    <w:rsid w:val="00AC65C2"/>
    <w:rsid w:val="00AD4564"/>
    <w:rsid w:val="00AD67F6"/>
    <w:rsid w:val="00AE3757"/>
    <w:rsid w:val="00AF1B00"/>
    <w:rsid w:val="00AF5A78"/>
    <w:rsid w:val="00B07F0F"/>
    <w:rsid w:val="00B20F56"/>
    <w:rsid w:val="00B245AA"/>
    <w:rsid w:val="00B24932"/>
    <w:rsid w:val="00B31553"/>
    <w:rsid w:val="00B36800"/>
    <w:rsid w:val="00B3701D"/>
    <w:rsid w:val="00B408E2"/>
    <w:rsid w:val="00B53189"/>
    <w:rsid w:val="00B54134"/>
    <w:rsid w:val="00B54A2A"/>
    <w:rsid w:val="00B57503"/>
    <w:rsid w:val="00B6103E"/>
    <w:rsid w:val="00B65439"/>
    <w:rsid w:val="00B7249A"/>
    <w:rsid w:val="00B72E33"/>
    <w:rsid w:val="00B85F4C"/>
    <w:rsid w:val="00B943F0"/>
    <w:rsid w:val="00B94A4B"/>
    <w:rsid w:val="00B95288"/>
    <w:rsid w:val="00B960D7"/>
    <w:rsid w:val="00BA5202"/>
    <w:rsid w:val="00BA660E"/>
    <w:rsid w:val="00BB3156"/>
    <w:rsid w:val="00BB3222"/>
    <w:rsid w:val="00BC01C1"/>
    <w:rsid w:val="00BC27E0"/>
    <w:rsid w:val="00BD57C0"/>
    <w:rsid w:val="00BD619E"/>
    <w:rsid w:val="00BE6FEE"/>
    <w:rsid w:val="00BE7216"/>
    <w:rsid w:val="00BF2E22"/>
    <w:rsid w:val="00BF6675"/>
    <w:rsid w:val="00C001DE"/>
    <w:rsid w:val="00C1494F"/>
    <w:rsid w:val="00C14BF5"/>
    <w:rsid w:val="00C16EA4"/>
    <w:rsid w:val="00C21CDF"/>
    <w:rsid w:val="00C227D5"/>
    <w:rsid w:val="00C238EA"/>
    <w:rsid w:val="00C3788B"/>
    <w:rsid w:val="00C435CB"/>
    <w:rsid w:val="00C4787F"/>
    <w:rsid w:val="00C47C76"/>
    <w:rsid w:val="00C50099"/>
    <w:rsid w:val="00C53213"/>
    <w:rsid w:val="00C62526"/>
    <w:rsid w:val="00C634F5"/>
    <w:rsid w:val="00C63930"/>
    <w:rsid w:val="00C7189A"/>
    <w:rsid w:val="00C75B81"/>
    <w:rsid w:val="00C75F93"/>
    <w:rsid w:val="00C77C7A"/>
    <w:rsid w:val="00C804A7"/>
    <w:rsid w:val="00C84940"/>
    <w:rsid w:val="00C86107"/>
    <w:rsid w:val="00CA132E"/>
    <w:rsid w:val="00CA292C"/>
    <w:rsid w:val="00CA68D3"/>
    <w:rsid w:val="00CA79B9"/>
    <w:rsid w:val="00CB42D8"/>
    <w:rsid w:val="00CB54CA"/>
    <w:rsid w:val="00CB6385"/>
    <w:rsid w:val="00CD1712"/>
    <w:rsid w:val="00CD68E6"/>
    <w:rsid w:val="00CE0FC9"/>
    <w:rsid w:val="00CE217B"/>
    <w:rsid w:val="00CE4FE8"/>
    <w:rsid w:val="00CF0AC6"/>
    <w:rsid w:val="00CF186A"/>
    <w:rsid w:val="00CF39A3"/>
    <w:rsid w:val="00D026C1"/>
    <w:rsid w:val="00D04F94"/>
    <w:rsid w:val="00D069E4"/>
    <w:rsid w:val="00D07D4F"/>
    <w:rsid w:val="00D14B83"/>
    <w:rsid w:val="00D16D5C"/>
    <w:rsid w:val="00D17F2E"/>
    <w:rsid w:val="00D17FA0"/>
    <w:rsid w:val="00D44656"/>
    <w:rsid w:val="00D50A77"/>
    <w:rsid w:val="00D6018E"/>
    <w:rsid w:val="00D61EB6"/>
    <w:rsid w:val="00D70271"/>
    <w:rsid w:val="00D70363"/>
    <w:rsid w:val="00D70995"/>
    <w:rsid w:val="00D73527"/>
    <w:rsid w:val="00D76F93"/>
    <w:rsid w:val="00D82F31"/>
    <w:rsid w:val="00DA2F71"/>
    <w:rsid w:val="00DA54DF"/>
    <w:rsid w:val="00DB2023"/>
    <w:rsid w:val="00DC45C0"/>
    <w:rsid w:val="00DC543F"/>
    <w:rsid w:val="00DC7A40"/>
    <w:rsid w:val="00DE5B9B"/>
    <w:rsid w:val="00E064F5"/>
    <w:rsid w:val="00E11134"/>
    <w:rsid w:val="00E118D3"/>
    <w:rsid w:val="00E14CE6"/>
    <w:rsid w:val="00E151F0"/>
    <w:rsid w:val="00E16023"/>
    <w:rsid w:val="00E17CFC"/>
    <w:rsid w:val="00E25C09"/>
    <w:rsid w:val="00E2616D"/>
    <w:rsid w:val="00E263CD"/>
    <w:rsid w:val="00E312AA"/>
    <w:rsid w:val="00E35054"/>
    <w:rsid w:val="00E37390"/>
    <w:rsid w:val="00E460FB"/>
    <w:rsid w:val="00E556C5"/>
    <w:rsid w:val="00E57883"/>
    <w:rsid w:val="00E57C39"/>
    <w:rsid w:val="00E67146"/>
    <w:rsid w:val="00E71B5F"/>
    <w:rsid w:val="00E73281"/>
    <w:rsid w:val="00E75D92"/>
    <w:rsid w:val="00E76F70"/>
    <w:rsid w:val="00E772EB"/>
    <w:rsid w:val="00E90322"/>
    <w:rsid w:val="00E9276B"/>
    <w:rsid w:val="00E96ADB"/>
    <w:rsid w:val="00EA1788"/>
    <w:rsid w:val="00EA1DD9"/>
    <w:rsid w:val="00EA20A5"/>
    <w:rsid w:val="00EB19D9"/>
    <w:rsid w:val="00EB5807"/>
    <w:rsid w:val="00EB5F27"/>
    <w:rsid w:val="00EC0345"/>
    <w:rsid w:val="00EC2AED"/>
    <w:rsid w:val="00EC2D58"/>
    <w:rsid w:val="00EC69AF"/>
    <w:rsid w:val="00EC6A8B"/>
    <w:rsid w:val="00ED0027"/>
    <w:rsid w:val="00ED1379"/>
    <w:rsid w:val="00ED409D"/>
    <w:rsid w:val="00EE056C"/>
    <w:rsid w:val="00EE1A8F"/>
    <w:rsid w:val="00EE20B6"/>
    <w:rsid w:val="00EE2F7B"/>
    <w:rsid w:val="00EE3060"/>
    <w:rsid w:val="00EE62E3"/>
    <w:rsid w:val="00EE6432"/>
    <w:rsid w:val="00EF0DF3"/>
    <w:rsid w:val="00EF1E1C"/>
    <w:rsid w:val="00EF469A"/>
    <w:rsid w:val="00EF4B5F"/>
    <w:rsid w:val="00EF691D"/>
    <w:rsid w:val="00F04383"/>
    <w:rsid w:val="00F200DA"/>
    <w:rsid w:val="00F20C43"/>
    <w:rsid w:val="00F2204F"/>
    <w:rsid w:val="00F31DC0"/>
    <w:rsid w:val="00F35AF5"/>
    <w:rsid w:val="00F35CCD"/>
    <w:rsid w:val="00F367AB"/>
    <w:rsid w:val="00F40638"/>
    <w:rsid w:val="00F45A3E"/>
    <w:rsid w:val="00F50542"/>
    <w:rsid w:val="00F516E5"/>
    <w:rsid w:val="00F51CBA"/>
    <w:rsid w:val="00F533BE"/>
    <w:rsid w:val="00F55115"/>
    <w:rsid w:val="00F5766A"/>
    <w:rsid w:val="00F63EE1"/>
    <w:rsid w:val="00F6626A"/>
    <w:rsid w:val="00F72219"/>
    <w:rsid w:val="00F74493"/>
    <w:rsid w:val="00F8585E"/>
    <w:rsid w:val="00F870CC"/>
    <w:rsid w:val="00F92BC6"/>
    <w:rsid w:val="00F97762"/>
    <w:rsid w:val="00F97C05"/>
    <w:rsid w:val="00FA702D"/>
    <w:rsid w:val="00FB26B2"/>
    <w:rsid w:val="00FB72C0"/>
    <w:rsid w:val="00FC2DB1"/>
    <w:rsid w:val="00FC52AC"/>
    <w:rsid w:val="00FE33CD"/>
    <w:rsid w:val="00FF1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7A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413"/>
    <w:pPr>
      <w:spacing w:after="0"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5054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50542"/>
    <w:pPr>
      <w:tabs>
        <w:tab w:val="center" w:pos="4536"/>
        <w:tab w:val="right" w:pos="9072"/>
      </w:tabs>
      <w:spacing w:line="240" w:lineRule="auto"/>
    </w:pPr>
    <w:rPr>
      <w:rFonts w:asciiTheme="minorHAnsi" w:hAnsiTheme="minorHAnsi"/>
      <w:sz w:val="22"/>
    </w:rPr>
  </w:style>
  <w:style w:type="character" w:customStyle="1" w:styleId="NagwekZnak">
    <w:name w:val="Nagłówek Znak"/>
    <w:basedOn w:val="Domylnaczcionkaakapitu"/>
    <w:link w:val="Nagwek"/>
    <w:uiPriority w:val="99"/>
    <w:rsid w:val="00F50542"/>
    <w:rPr>
      <w:lang w:val="pl-PL"/>
    </w:rPr>
  </w:style>
  <w:style w:type="paragraph" w:styleId="Stopka">
    <w:name w:val="footer"/>
    <w:basedOn w:val="Normalny"/>
    <w:link w:val="StopkaZnak"/>
    <w:uiPriority w:val="99"/>
    <w:unhideWhenUsed/>
    <w:rsid w:val="00F50542"/>
    <w:pPr>
      <w:tabs>
        <w:tab w:val="center" w:pos="4536"/>
        <w:tab w:val="right" w:pos="9072"/>
      </w:tabs>
      <w:spacing w:line="240" w:lineRule="auto"/>
    </w:pPr>
    <w:rPr>
      <w:rFonts w:asciiTheme="minorHAnsi" w:hAnsiTheme="minorHAnsi"/>
      <w:sz w:val="22"/>
    </w:rPr>
  </w:style>
  <w:style w:type="character" w:customStyle="1" w:styleId="StopkaZnak">
    <w:name w:val="Stopka Znak"/>
    <w:basedOn w:val="Domylnaczcionkaakapitu"/>
    <w:link w:val="Stopka"/>
    <w:uiPriority w:val="99"/>
    <w:rsid w:val="00F50542"/>
    <w:rPr>
      <w:lang w:val="pl-PL"/>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
    <w:basedOn w:val="Normalny"/>
    <w:link w:val="TekstprzypisudolnegoZnak"/>
    <w:unhideWhenUsed/>
    <w:rsid w:val="00F50542"/>
    <w:pPr>
      <w:spacing w:line="240" w:lineRule="auto"/>
    </w:pPr>
    <w:rPr>
      <w:rFonts w:asciiTheme="minorHAnsi" w:hAnsiTheme="minorHAnsi"/>
      <w:sz w:val="20"/>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F50542"/>
    <w:rPr>
      <w:sz w:val="20"/>
      <w:szCs w:val="20"/>
      <w:lang w:val="pl-PL"/>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basedOn w:val="Domylnaczcionkaakapitu"/>
    <w:uiPriority w:val="99"/>
    <w:unhideWhenUsed/>
    <w:rsid w:val="00F50542"/>
    <w:rPr>
      <w:vertAlign w:val="superscript"/>
    </w:rPr>
  </w:style>
  <w:style w:type="table" w:customStyle="1" w:styleId="TableGrid1">
    <w:name w:val="Table Grid1"/>
    <w:basedOn w:val="Standardowy"/>
    <w:next w:val="Tabela-Siatka"/>
    <w:uiPriority w:val="59"/>
    <w:rsid w:val="00F5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ny"/>
    <w:rsid w:val="00F50542"/>
    <w:pPr>
      <w:tabs>
        <w:tab w:val="center" w:pos="7285"/>
        <w:tab w:val="right" w:pos="14003"/>
      </w:tabs>
      <w:spacing w:after="120" w:line="240" w:lineRule="auto"/>
      <w:jc w:val="both"/>
    </w:pPr>
    <w:rPr>
      <w:rFonts w:cs="Times New Roman"/>
    </w:rPr>
  </w:style>
  <w:style w:type="character" w:styleId="Numerstrony">
    <w:name w:val="page number"/>
    <w:rsid w:val="00F50542"/>
  </w:style>
  <w:style w:type="paragraph" w:styleId="Tekstdymka">
    <w:name w:val="Balloon Text"/>
    <w:basedOn w:val="Normalny"/>
    <w:link w:val="TekstdymkaZnak"/>
    <w:uiPriority w:val="99"/>
    <w:semiHidden/>
    <w:unhideWhenUsed/>
    <w:rsid w:val="000E01A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01AC"/>
    <w:rPr>
      <w:rFonts w:ascii="Segoe UI" w:hAnsi="Segoe UI" w:cs="Segoe UI"/>
      <w:sz w:val="18"/>
      <w:szCs w:val="18"/>
    </w:rPr>
  </w:style>
  <w:style w:type="character" w:styleId="Odwoaniedokomentarza">
    <w:name w:val="annotation reference"/>
    <w:basedOn w:val="Domylnaczcionkaakapitu"/>
    <w:uiPriority w:val="99"/>
    <w:semiHidden/>
    <w:unhideWhenUsed/>
    <w:rsid w:val="000E01AC"/>
    <w:rPr>
      <w:sz w:val="16"/>
      <w:szCs w:val="16"/>
    </w:rPr>
  </w:style>
  <w:style w:type="paragraph" w:styleId="Tekstkomentarza">
    <w:name w:val="annotation text"/>
    <w:basedOn w:val="Normalny"/>
    <w:link w:val="TekstkomentarzaZnak"/>
    <w:uiPriority w:val="99"/>
    <w:semiHidden/>
    <w:unhideWhenUsed/>
    <w:rsid w:val="000E01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01A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E01AC"/>
    <w:rPr>
      <w:b/>
      <w:bCs/>
    </w:rPr>
  </w:style>
  <w:style w:type="character" w:customStyle="1" w:styleId="TematkomentarzaZnak">
    <w:name w:val="Temat komentarza Znak"/>
    <w:basedOn w:val="TekstkomentarzaZnak"/>
    <w:link w:val="Tematkomentarza"/>
    <w:uiPriority w:val="99"/>
    <w:semiHidden/>
    <w:rsid w:val="000E01AC"/>
    <w:rPr>
      <w:rFonts w:ascii="Times New Roman" w:hAnsi="Times New Roman"/>
      <w:b/>
      <w:bCs/>
      <w:sz w:val="20"/>
      <w:szCs w:val="20"/>
    </w:rPr>
  </w:style>
  <w:style w:type="paragraph" w:styleId="Akapitzlist">
    <w:name w:val="List Paragraph"/>
    <w:basedOn w:val="Normalny"/>
    <w:link w:val="AkapitzlistZnak"/>
    <w:uiPriority w:val="34"/>
    <w:qFormat/>
    <w:rsid w:val="00187CE3"/>
    <w:pPr>
      <w:spacing w:after="200" w:line="276" w:lineRule="auto"/>
      <w:ind w:left="720"/>
      <w:contextualSpacing/>
    </w:pPr>
    <w:rPr>
      <w:rFonts w:asciiTheme="minorHAnsi" w:hAnsiTheme="minorHAnsi"/>
      <w:sz w:val="22"/>
    </w:rPr>
  </w:style>
  <w:style w:type="character" w:customStyle="1" w:styleId="AkapitzlistZnak">
    <w:name w:val="Akapit z listą Znak"/>
    <w:basedOn w:val="Domylnaczcionkaakapitu"/>
    <w:link w:val="Akapitzlist"/>
    <w:uiPriority w:val="34"/>
    <w:rsid w:val="00187CE3"/>
    <w:rPr>
      <w:lang w:val="pl-PL"/>
    </w:rPr>
  </w:style>
  <w:style w:type="character" w:customStyle="1" w:styleId="Text1Char">
    <w:name w:val="Text 1 Char"/>
    <w:link w:val="Text1"/>
    <w:locked/>
    <w:rsid w:val="00A42F95"/>
    <w:rPr>
      <w:rFonts w:ascii="Times New Roman" w:hAnsi="Times New Roman"/>
      <w:sz w:val="24"/>
    </w:rPr>
  </w:style>
  <w:style w:type="paragraph" w:customStyle="1" w:styleId="Text1">
    <w:name w:val="Text 1"/>
    <w:basedOn w:val="Normalny"/>
    <w:link w:val="Text1Char"/>
    <w:rsid w:val="00A42F95"/>
    <w:pPr>
      <w:spacing w:before="120" w:after="120" w:line="240" w:lineRule="auto"/>
      <w:ind w:left="850"/>
      <w:jc w:val="both"/>
    </w:pPr>
  </w:style>
  <w:style w:type="paragraph" w:customStyle="1" w:styleId="Normalpararaph">
    <w:name w:val="Normal pararaph"/>
    <w:basedOn w:val="Normalny"/>
    <w:qFormat/>
    <w:rsid w:val="009240F4"/>
    <w:pPr>
      <w:spacing w:after="240" w:line="324" w:lineRule="auto"/>
    </w:pPr>
    <w:rPr>
      <w:rFonts w:eastAsia="Times New Roman" w:cs="Times New Roman"/>
      <w:color w:val="000000"/>
      <w:szCs w:val="24"/>
      <w:lang w:eastAsia="en-GB"/>
    </w:rPr>
  </w:style>
  <w:style w:type="paragraph" w:customStyle="1" w:styleId="Subtitle1">
    <w:name w:val="Subtitle 1"/>
    <w:basedOn w:val="Normalny"/>
    <w:qFormat/>
    <w:rsid w:val="00E35054"/>
    <w:pPr>
      <w:keepNext/>
      <w:spacing w:before="300" w:after="120" w:line="324" w:lineRule="auto"/>
    </w:pPr>
    <w:rPr>
      <w:rFonts w:eastAsia="Times New Roman" w:cs="Times New Roman"/>
      <w:b/>
    </w:rPr>
  </w:style>
  <w:style w:type="paragraph" w:customStyle="1" w:styleId="Bulletedlist1">
    <w:name w:val="Bulleted list 1"/>
    <w:basedOn w:val="Normalpararaph"/>
    <w:qFormat/>
    <w:rsid w:val="00A554D2"/>
    <w:pPr>
      <w:numPr>
        <w:numId w:val="8"/>
      </w:numPr>
      <w:contextualSpacing/>
    </w:pPr>
  </w:style>
  <w:style w:type="paragraph" w:customStyle="1" w:styleId="Letterlist">
    <w:name w:val="Letter list"/>
    <w:basedOn w:val="Normalpararaph"/>
    <w:qFormat/>
    <w:rsid w:val="00D17FA0"/>
    <w:pPr>
      <w:numPr>
        <w:numId w:val="13"/>
      </w:numPr>
      <w:contextualSpacing/>
    </w:pPr>
    <w:rPr>
      <w:rFonts w:eastAsia="Franklin Gothic Book"/>
    </w:rPr>
  </w:style>
  <w:style w:type="paragraph" w:customStyle="1" w:styleId="Numberedlist">
    <w:name w:val="Numbered list"/>
    <w:basedOn w:val="Bulletedlist1"/>
    <w:qFormat/>
    <w:rsid w:val="00C7189A"/>
    <w:pPr>
      <w:numPr>
        <w:numId w:val="15"/>
      </w:numPr>
    </w:pPr>
  </w:style>
  <w:style w:type="paragraph" w:styleId="Poprawka">
    <w:name w:val="Revision"/>
    <w:hidden/>
    <w:uiPriority w:val="99"/>
    <w:semiHidden/>
    <w:rsid w:val="008D1DFB"/>
    <w:pPr>
      <w:spacing w:after="0" w:line="240" w:lineRule="auto"/>
    </w:pPr>
    <w:rPr>
      <w:rFonts w:ascii="Times New Roman" w:hAnsi="Times New Roman"/>
      <w:sz w:val="24"/>
    </w:rPr>
  </w:style>
  <w:style w:type="paragraph" w:customStyle="1" w:styleId="NORMStandard">
    <w:name w:val="NORM Standard"/>
    <w:basedOn w:val="Normalny"/>
    <w:qFormat/>
    <w:rsid w:val="002B359B"/>
    <w:pPr>
      <w:spacing w:line="260" w:lineRule="exact"/>
    </w:pPr>
    <w:rPr>
      <w:rFonts w:ascii="Franklin Gothic Book" w:hAnsi="Franklin Gothic Book"/>
      <w:spacing w:val="4"/>
      <w:sz w:val="21"/>
      <w:szCs w:val="21"/>
    </w:rPr>
  </w:style>
  <w:style w:type="paragraph" w:customStyle="1" w:styleId="Listletter">
    <w:name w:val="List letter"/>
    <w:basedOn w:val="NORMStandard"/>
    <w:qFormat/>
    <w:rsid w:val="002B359B"/>
    <w:pPr>
      <w:numPr>
        <w:numId w:val="19"/>
      </w:numPr>
      <w:spacing w:after="260"/>
      <w:contextualSpacing/>
    </w:pPr>
    <w:rPr>
      <w:rFonts w:eastAsia="Cambria" w:cs="Times New Roman"/>
      <w:spacing w:val="0"/>
    </w:rPr>
  </w:style>
  <w:style w:type="paragraph" w:customStyle="1" w:styleId="NORMStandard2">
    <w:name w:val="NORM Standard 2"/>
    <w:basedOn w:val="NORMStandard"/>
    <w:qFormat/>
    <w:rsid w:val="002B359B"/>
    <w:pPr>
      <w:spacing w:after="260"/>
    </w:pPr>
  </w:style>
  <w:style w:type="paragraph" w:customStyle="1" w:styleId="BOLDStandard">
    <w:name w:val="BOLD Standard"/>
    <w:basedOn w:val="Normalny"/>
    <w:next w:val="Normalny"/>
    <w:qFormat/>
    <w:rsid w:val="007C319B"/>
    <w:pPr>
      <w:keepNext/>
      <w:suppressAutoHyphens/>
      <w:spacing w:after="130" w:line="240" w:lineRule="auto"/>
    </w:pPr>
    <w:rPr>
      <w:rFonts w:ascii="Franklin Gothic Demi" w:hAnsi="Franklin Gothic Demi"/>
      <w:spacing w:val="4"/>
      <w:sz w:val="21"/>
      <w:szCs w:val="21"/>
    </w:rPr>
  </w:style>
  <w:style w:type="paragraph" w:customStyle="1" w:styleId="Listnumber1">
    <w:name w:val="List number 1"/>
    <w:basedOn w:val="NORMStandard"/>
    <w:next w:val="NORMStandard"/>
    <w:qFormat/>
    <w:rsid w:val="007C319B"/>
    <w:pPr>
      <w:numPr>
        <w:numId w:val="21"/>
      </w:numPr>
      <w:spacing w:after="2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413"/>
    <w:pPr>
      <w:spacing w:after="0"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5054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50542"/>
    <w:pPr>
      <w:tabs>
        <w:tab w:val="center" w:pos="4536"/>
        <w:tab w:val="right" w:pos="9072"/>
      </w:tabs>
      <w:spacing w:line="240" w:lineRule="auto"/>
    </w:pPr>
    <w:rPr>
      <w:rFonts w:asciiTheme="minorHAnsi" w:hAnsiTheme="minorHAnsi"/>
      <w:sz w:val="22"/>
    </w:rPr>
  </w:style>
  <w:style w:type="character" w:customStyle="1" w:styleId="NagwekZnak">
    <w:name w:val="Nagłówek Znak"/>
    <w:basedOn w:val="Domylnaczcionkaakapitu"/>
    <w:link w:val="Nagwek"/>
    <w:uiPriority w:val="99"/>
    <w:rsid w:val="00F50542"/>
    <w:rPr>
      <w:lang w:val="pl-PL"/>
    </w:rPr>
  </w:style>
  <w:style w:type="paragraph" w:styleId="Stopka">
    <w:name w:val="footer"/>
    <w:basedOn w:val="Normalny"/>
    <w:link w:val="StopkaZnak"/>
    <w:uiPriority w:val="99"/>
    <w:unhideWhenUsed/>
    <w:rsid w:val="00F50542"/>
    <w:pPr>
      <w:tabs>
        <w:tab w:val="center" w:pos="4536"/>
        <w:tab w:val="right" w:pos="9072"/>
      </w:tabs>
      <w:spacing w:line="240" w:lineRule="auto"/>
    </w:pPr>
    <w:rPr>
      <w:rFonts w:asciiTheme="minorHAnsi" w:hAnsiTheme="minorHAnsi"/>
      <w:sz w:val="22"/>
    </w:rPr>
  </w:style>
  <w:style w:type="character" w:customStyle="1" w:styleId="StopkaZnak">
    <w:name w:val="Stopka Znak"/>
    <w:basedOn w:val="Domylnaczcionkaakapitu"/>
    <w:link w:val="Stopka"/>
    <w:uiPriority w:val="99"/>
    <w:rsid w:val="00F50542"/>
    <w:rPr>
      <w:lang w:val="pl-PL"/>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
    <w:basedOn w:val="Normalny"/>
    <w:link w:val="TekstprzypisudolnegoZnak"/>
    <w:unhideWhenUsed/>
    <w:rsid w:val="00F50542"/>
    <w:pPr>
      <w:spacing w:line="240" w:lineRule="auto"/>
    </w:pPr>
    <w:rPr>
      <w:rFonts w:asciiTheme="minorHAnsi" w:hAnsiTheme="minorHAnsi"/>
      <w:sz w:val="20"/>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F50542"/>
    <w:rPr>
      <w:sz w:val="20"/>
      <w:szCs w:val="20"/>
      <w:lang w:val="pl-PL"/>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basedOn w:val="Domylnaczcionkaakapitu"/>
    <w:uiPriority w:val="99"/>
    <w:unhideWhenUsed/>
    <w:rsid w:val="00F50542"/>
    <w:rPr>
      <w:vertAlign w:val="superscript"/>
    </w:rPr>
  </w:style>
  <w:style w:type="table" w:customStyle="1" w:styleId="TableGrid1">
    <w:name w:val="Table Grid1"/>
    <w:basedOn w:val="Standardowy"/>
    <w:next w:val="Tabela-Siatka"/>
    <w:uiPriority w:val="59"/>
    <w:rsid w:val="00F5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ny"/>
    <w:rsid w:val="00F50542"/>
    <w:pPr>
      <w:tabs>
        <w:tab w:val="center" w:pos="7285"/>
        <w:tab w:val="right" w:pos="14003"/>
      </w:tabs>
      <w:spacing w:after="120" w:line="240" w:lineRule="auto"/>
      <w:jc w:val="both"/>
    </w:pPr>
    <w:rPr>
      <w:rFonts w:cs="Times New Roman"/>
    </w:rPr>
  </w:style>
  <w:style w:type="character" w:styleId="Numerstrony">
    <w:name w:val="page number"/>
    <w:rsid w:val="00F50542"/>
  </w:style>
  <w:style w:type="paragraph" w:styleId="Tekstdymka">
    <w:name w:val="Balloon Text"/>
    <w:basedOn w:val="Normalny"/>
    <w:link w:val="TekstdymkaZnak"/>
    <w:uiPriority w:val="99"/>
    <w:semiHidden/>
    <w:unhideWhenUsed/>
    <w:rsid w:val="000E01A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01AC"/>
    <w:rPr>
      <w:rFonts w:ascii="Segoe UI" w:hAnsi="Segoe UI" w:cs="Segoe UI"/>
      <w:sz w:val="18"/>
      <w:szCs w:val="18"/>
    </w:rPr>
  </w:style>
  <w:style w:type="character" w:styleId="Odwoaniedokomentarza">
    <w:name w:val="annotation reference"/>
    <w:basedOn w:val="Domylnaczcionkaakapitu"/>
    <w:uiPriority w:val="99"/>
    <w:semiHidden/>
    <w:unhideWhenUsed/>
    <w:rsid w:val="000E01AC"/>
    <w:rPr>
      <w:sz w:val="16"/>
      <w:szCs w:val="16"/>
    </w:rPr>
  </w:style>
  <w:style w:type="paragraph" w:styleId="Tekstkomentarza">
    <w:name w:val="annotation text"/>
    <w:basedOn w:val="Normalny"/>
    <w:link w:val="TekstkomentarzaZnak"/>
    <w:uiPriority w:val="99"/>
    <w:semiHidden/>
    <w:unhideWhenUsed/>
    <w:rsid w:val="000E01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01A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E01AC"/>
    <w:rPr>
      <w:b/>
      <w:bCs/>
    </w:rPr>
  </w:style>
  <w:style w:type="character" w:customStyle="1" w:styleId="TematkomentarzaZnak">
    <w:name w:val="Temat komentarza Znak"/>
    <w:basedOn w:val="TekstkomentarzaZnak"/>
    <w:link w:val="Tematkomentarza"/>
    <w:uiPriority w:val="99"/>
    <w:semiHidden/>
    <w:rsid w:val="000E01AC"/>
    <w:rPr>
      <w:rFonts w:ascii="Times New Roman" w:hAnsi="Times New Roman"/>
      <w:b/>
      <w:bCs/>
      <w:sz w:val="20"/>
      <w:szCs w:val="20"/>
    </w:rPr>
  </w:style>
  <w:style w:type="paragraph" w:styleId="Akapitzlist">
    <w:name w:val="List Paragraph"/>
    <w:basedOn w:val="Normalny"/>
    <w:link w:val="AkapitzlistZnak"/>
    <w:uiPriority w:val="34"/>
    <w:qFormat/>
    <w:rsid w:val="00187CE3"/>
    <w:pPr>
      <w:spacing w:after="200" w:line="276" w:lineRule="auto"/>
      <w:ind w:left="720"/>
      <w:contextualSpacing/>
    </w:pPr>
    <w:rPr>
      <w:rFonts w:asciiTheme="minorHAnsi" w:hAnsiTheme="minorHAnsi"/>
      <w:sz w:val="22"/>
    </w:rPr>
  </w:style>
  <w:style w:type="character" w:customStyle="1" w:styleId="AkapitzlistZnak">
    <w:name w:val="Akapit z listą Znak"/>
    <w:basedOn w:val="Domylnaczcionkaakapitu"/>
    <w:link w:val="Akapitzlist"/>
    <w:uiPriority w:val="34"/>
    <w:rsid w:val="00187CE3"/>
    <w:rPr>
      <w:lang w:val="pl-PL"/>
    </w:rPr>
  </w:style>
  <w:style w:type="character" w:customStyle="1" w:styleId="Text1Char">
    <w:name w:val="Text 1 Char"/>
    <w:link w:val="Text1"/>
    <w:locked/>
    <w:rsid w:val="00A42F95"/>
    <w:rPr>
      <w:rFonts w:ascii="Times New Roman" w:hAnsi="Times New Roman"/>
      <w:sz w:val="24"/>
    </w:rPr>
  </w:style>
  <w:style w:type="paragraph" w:customStyle="1" w:styleId="Text1">
    <w:name w:val="Text 1"/>
    <w:basedOn w:val="Normalny"/>
    <w:link w:val="Text1Char"/>
    <w:rsid w:val="00A42F95"/>
    <w:pPr>
      <w:spacing w:before="120" w:after="120" w:line="240" w:lineRule="auto"/>
      <w:ind w:left="850"/>
      <w:jc w:val="both"/>
    </w:pPr>
  </w:style>
  <w:style w:type="paragraph" w:customStyle="1" w:styleId="Normalpararaph">
    <w:name w:val="Normal pararaph"/>
    <w:basedOn w:val="Normalny"/>
    <w:qFormat/>
    <w:rsid w:val="009240F4"/>
    <w:pPr>
      <w:spacing w:after="240" w:line="324" w:lineRule="auto"/>
    </w:pPr>
    <w:rPr>
      <w:rFonts w:eastAsia="Times New Roman" w:cs="Times New Roman"/>
      <w:color w:val="000000"/>
      <w:szCs w:val="24"/>
      <w:lang w:eastAsia="en-GB"/>
    </w:rPr>
  </w:style>
  <w:style w:type="paragraph" w:customStyle="1" w:styleId="Subtitle1">
    <w:name w:val="Subtitle 1"/>
    <w:basedOn w:val="Normalny"/>
    <w:qFormat/>
    <w:rsid w:val="00E35054"/>
    <w:pPr>
      <w:keepNext/>
      <w:spacing w:before="300" w:after="120" w:line="324" w:lineRule="auto"/>
    </w:pPr>
    <w:rPr>
      <w:rFonts w:eastAsia="Times New Roman" w:cs="Times New Roman"/>
      <w:b/>
    </w:rPr>
  </w:style>
  <w:style w:type="paragraph" w:customStyle="1" w:styleId="Bulletedlist1">
    <w:name w:val="Bulleted list 1"/>
    <w:basedOn w:val="Normalpararaph"/>
    <w:qFormat/>
    <w:rsid w:val="00A554D2"/>
    <w:pPr>
      <w:numPr>
        <w:numId w:val="8"/>
      </w:numPr>
      <w:contextualSpacing/>
    </w:pPr>
  </w:style>
  <w:style w:type="paragraph" w:customStyle="1" w:styleId="Letterlist">
    <w:name w:val="Letter list"/>
    <w:basedOn w:val="Normalpararaph"/>
    <w:qFormat/>
    <w:rsid w:val="00D17FA0"/>
    <w:pPr>
      <w:numPr>
        <w:numId w:val="13"/>
      </w:numPr>
      <w:contextualSpacing/>
    </w:pPr>
    <w:rPr>
      <w:rFonts w:eastAsia="Franklin Gothic Book"/>
    </w:rPr>
  </w:style>
  <w:style w:type="paragraph" w:customStyle="1" w:styleId="Numberedlist">
    <w:name w:val="Numbered list"/>
    <w:basedOn w:val="Bulletedlist1"/>
    <w:qFormat/>
    <w:rsid w:val="00C7189A"/>
    <w:pPr>
      <w:numPr>
        <w:numId w:val="15"/>
      </w:numPr>
    </w:pPr>
  </w:style>
  <w:style w:type="paragraph" w:styleId="Poprawka">
    <w:name w:val="Revision"/>
    <w:hidden/>
    <w:uiPriority w:val="99"/>
    <w:semiHidden/>
    <w:rsid w:val="008D1DFB"/>
    <w:pPr>
      <w:spacing w:after="0" w:line="240" w:lineRule="auto"/>
    </w:pPr>
    <w:rPr>
      <w:rFonts w:ascii="Times New Roman" w:hAnsi="Times New Roman"/>
      <w:sz w:val="24"/>
    </w:rPr>
  </w:style>
  <w:style w:type="paragraph" w:customStyle="1" w:styleId="NORMStandard">
    <w:name w:val="NORM Standard"/>
    <w:basedOn w:val="Normalny"/>
    <w:qFormat/>
    <w:rsid w:val="002B359B"/>
    <w:pPr>
      <w:spacing w:line="260" w:lineRule="exact"/>
    </w:pPr>
    <w:rPr>
      <w:rFonts w:ascii="Franklin Gothic Book" w:hAnsi="Franklin Gothic Book"/>
      <w:spacing w:val="4"/>
      <w:sz w:val="21"/>
      <w:szCs w:val="21"/>
    </w:rPr>
  </w:style>
  <w:style w:type="paragraph" w:customStyle="1" w:styleId="Listletter">
    <w:name w:val="List letter"/>
    <w:basedOn w:val="NORMStandard"/>
    <w:qFormat/>
    <w:rsid w:val="002B359B"/>
    <w:pPr>
      <w:numPr>
        <w:numId w:val="19"/>
      </w:numPr>
      <w:spacing w:after="260"/>
      <w:contextualSpacing/>
    </w:pPr>
    <w:rPr>
      <w:rFonts w:eastAsia="Cambria" w:cs="Times New Roman"/>
      <w:spacing w:val="0"/>
    </w:rPr>
  </w:style>
  <w:style w:type="paragraph" w:customStyle="1" w:styleId="NORMStandard2">
    <w:name w:val="NORM Standard 2"/>
    <w:basedOn w:val="NORMStandard"/>
    <w:qFormat/>
    <w:rsid w:val="002B359B"/>
    <w:pPr>
      <w:spacing w:after="260"/>
    </w:pPr>
  </w:style>
  <w:style w:type="paragraph" w:customStyle="1" w:styleId="BOLDStandard">
    <w:name w:val="BOLD Standard"/>
    <w:basedOn w:val="Normalny"/>
    <w:next w:val="Normalny"/>
    <w:qFormat/>
    <w:rsid w:val="007C319B"/>
    <w:pPr>
      <w:keepNext/>
      <w:suppressAutoHyphens/>
      <w:spacing w:after="130" w:line="240" w:lineRule="auto"/>
    </w:pPr>
    <w:rPr>
      <w:rFonts w:ascii="Franklin Gothic Demi" w:hAnsi="Franklin Gothic Demi"/>
      <w:spacing w:val="4"/>
      <w:sz w:val="21"/>
      <w:szCs w:val="21"/>
    </w:rPr>
  </w:style>
  <w:style w:type="paragraph" w:customStyle="1" w:styleId="Listnumber1">
    <w:name w:val="List number 1"/>
    <w:basedOn w:val="NORMStandard"/>
    <w:next w:val="NORMStandard"/>
    <w:qFormat/>
    <w:rsid w:val="007C319B"/>
    <w:pPr>
      <w:numPr>
        <w:numId w:val="21"/>
      </w:numPr>
      <w:spacing w:after="2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7335">
      <w:bodyDiv w:val="1"/>
      <w:marLeft w:val="0"/>
      <w:marRight w:val="0"/>
      <w:marTop w:val="0"/>
      <w:marBottom w:val="0"/>
      <w:divBdr>
        <w:top w:val="none" w:sz="0" w:space="0" w:color="auto"/>
        <w:left w:val="none" w:sz="0" w:space="0" w:color="auto"/>
        <w:bottom w:val="none" w:sz="0" w:space="0" w:color="auto"/>
        <w:right w:val="none" w:sz="0" w:space="0" w:color="auto"/>
      </w:divBdr>
    </w:div>
    <w:div w:id="761877358">
      <w:bodyDiv w:val="1"/>
      <w:marLeft w:val="0"/>
      <w:marRight w:val="0"/>
      <w:marTop w:val="0"/>
      <w:marBottom w:val="0"/>
      <w:divBdr>
        <w:top w:val="none" w:sz="0" w:space="0" w:color="auto"/>
        <w:left w:val="none" w:sz="0" w:space="0" w:color="auto"/>
        <w:bottom w:val="none" w:sz="0" w:space="0" w:color="auto"/>
        <w:right w:val="none" w:sz="0" w:space="0" w:color="auto"/>
      </w:divBdr>
      <w:divsChild>
        <w:div w:id="472253820">
          <w:marLeft w:val="0"/>
          <w:marRight w:val="0"/>
          <w:marTop w:val="0"/>
          <w:marBottom w:val="0"/>
          <w:divBdr>
            <w:top w:val="none" w:sz="0" w:space="0" w:color="auto"/>
            <w:left w:val="none" w:sz="0" w:space="0" w:color="auto"/>
            <w:bottom w:val="none" w:sz="0" w:space="0" w:color="auto"/>
            <w:right w:val="none" w:sz="0" w:space="0" w:color="auto"/>
          </w:divBdr>
        </w:div>
        <w:div w:id="2086996984">
          <w:marLeft w:val="0"/>
          <w:marRight w:val="0"/>
          <w:marTop w:val="0"/>
          <w:marBottom w:val="0"/>
          <w:divBdr>
            <w:top w:val="none" w:sz="0" w:space="0" w:color="auto"/>
            <w:left w:val="none" w:sz="0" w:space="0" w:color="auto"/>
            <w:bottom w:val="none" w:sz="0" w:space="0" w:color="auto"/>
            <w:right w:val="none" w:sz="0" w:space="0" w:color="auto"/>
          </w:divBdr>
        </w:div>
        <w:div w:id="930351694">
          <w:marLeft w:val="0"/>
          <w:marRight w:val="0"/>
          <w:marTop w:val="0"/>
          <w:marBottom w:val="0"/>
          <w:divBdr>
            <w:top w:val="none" w:sz="0" w:space="0" w:color="auto"/>
            <w:left w:val="none" w:sz="0" w:space="0" w:color="auto"/>
            <w:bottom w:val="none" w:sz="0" w:space="0" w:color="auto"/>
            <w:right w:val="none" w:sz="0" w:space="0" w:color="auto"/>
          </w:divBdr>
        </w:div>
        <w:div w:id="1871645191">
          <w:marLeft w:val="0"/>
          <w:marRight w:val="0"/>
          <w:marTop w:val="0"/>
          <w:marBottom w:val="0"/>
          <w:divBdr>
            <w:top w:val="none" w:sz="0" w:space="0" w:color="auto"/>
            <w:left w:val="none" w:sz="0" w:space="0" w:color="auto"/>
            <w:bottom w:val="none" w:sz="0" w:space="0" w:color="auto"/>
            <w:right w:val="none" w:sz="0" w:space="0" w:color="auto"/>
          </w:divBdr>
        </w:div>
        <w:div w:id="680394896">
          <w:marLeft w:val="0"/>
          <w:marRight w:val="0"/>
          <w:marTop w:val="0"/>
          <w:marBottom w:val="0"/>
          <w:divBdr>
            <w:top w:val="none" w:sz="0" w:space="0" w:color="auto"/>
            <w:left w:val="none" w:sz="0" w:space="0" w:color="auto"/>
            <w:bottom w:val="none" w:sz="0" w:space="0" w:color="auto"/>
            <w:right w:val="none" w:sz="0" w:space="0" w:color="auto"/>
          </w:divBdr>
        </w:div>
        <w:div w:id="212084959">
          <w:marLeft w:val="0"/>
          <w:marRight w:val="0"/>
          <w:marTop w:val="0"/>
          <w:marBottom w:val="0"/>
          <w:divBdr>
            <w:top w:val="none" w:sz="0" w:space="0" w:color="auto"/>
            <w:left w:val="none" w:sz="0" w:space="0" w:color="auto"/>
            <w:bottom w:val="none" w:sz="0" w:space="0" w:color="auto"/>
            <w:right w:val="none" w:sz="0" w:space="0" w:color="auto"/>
          </w:divBdr>
        </w:div>
        <w:div w:id="1980916597">
          <w:marLeft w:val="0"/>
          <w:marRight w:val="0"/>
          <w:marTop w:val="0"/>
          <w:marBottom w:val="0"/>
          <w:divBdr>
            <w:top w:val="none" w:sz="0" w:space="0" w:color="auto"/>
            <w:left w:val="none" w:sz="0" w:space="0" w:color="auto"/>
            <w:bottom w:val="none" w:sz="0" w:space="0" w:color="auto"/>
            <w:right w:val="none" w:sz="0" w:space="0" w:color="auto"/>
          </w:divBdr>
        </w:div>
        <w:div w:id="429471461">
          <w:marLeft w:val="0"/>
          <w:marRight w:val="0"/>
          <w:marTop w:val="0"/>
          <w:marBottom w:val="0"/>
          <w:divBdr>
            <w:top w:val="none" w:sz="0" w:space="0" w:color="auto"/>
            <w:left w:val="none" w:sz="0" w:space="0" w:color="auto"/>
            <w:bottom w:val="none" w:sz="0" w:space="0" w:color="auto"/>
            <w:right w:val="none" w:sz="0" w:space="0" w:color="auto"/>
          </w:divBdr>
        </w:div>
        <w:div w:id="72171297">
          <w:marLeft w:val="0"/>
          <w:marRight w:val="0"/>
          <w:marTop w:val="0"/>
          <w:marBottom w:val="0"/>
          <w:divBdr>
            <w:top w:val="none" w:sz="0" w:space="0" w:color="auto"/>
            <w:left w:val="none" w:sz="0" w:space="0" w:color="auto"/>
            <w:bottom w:val="none" w:sz="0" w:space="0" w:color="auto"/>
            <w:right w:val="none" w:sz="0" w:space="0" w:color="auto"/>
          </w:divBdr>
        </w:div>
        <w:div w:id="2128891505">
          <w:marLeft w:val="0"/>
          <w:marRight w:val="0"/>
          <w:marTop w:val="0"/>
          <w:marBottom w:val="0"/>
          <w:divBdr>
            <w:top w:val="none" w:sz="0" w:space="0" w:color="auto"/>
            <w:left w:val="none" w:sz="0" w:space="0" w:color="auto"/>
            <w:bottom w:val="none" w:sz="0" w:space="0" w:color="auto"/>
            <w:right w:val="none" w:sz="0" w:space="0" w:color="auto"/>
          </w:divBdr>
        </w:div>
        <w:div w:id="1859349935">
          <w:marLeft w:val="0"/>
          <w:marRight w:val="0"/>
          <w:marTop w:val="0"/>
          <w:marBottom w:val="0"/>
          <w:divBdr>
            <w:top w:val="none" w:sz="0" w:space="0" w:color="auto"/>
            <w:left w:val="none" w:sz="0" w:space="0" w:color="auto"/>
            <w:bottom w:val="none" w:sz="0" w:space="0" w:color="auto"/>
            <w:right w:val="none" w:sz="0" w:space="0" w:color="auto"/>
          </w:divBdr>
        </w:div>
        <w:div w:id="1870024276">
          <w:marLeft w:val="0"/>
          <w:marRight w:val="0"/>
          <w:marTop w:val="0"/>
          <w:marBottom w:val="0"/>
          <w:divBdr>
            <w:top w:val="none" w:sz="0" w:space="0" w:color="auto"/>
            <w:left w:val="none" w:sz="0" w:space="0" w:color="auto"/>
            <w:bottom w:val="none" w:sz="0" w:space="0" w:color="auto"/>
            <w:right w:val="none" w:sz="0" w:space="0" w:color="auto"/>
          </w:divBdr>
        </w:div>
        <w:div w:id="237832778">
          <w:marLeft w:val="0"/>
          <w:marRight w:val="0"/>
          <w:marTop w:val="0"/>
          <w:marBottom w:val="0"/>
          <w:divBdr>
            <w:top w:val="none" w:sz="0" w:space="0" w:color="auto"/>
            <w:left w:val="none" w:sz="0" w:space="0" w:color="auto"/>
            <w:bottom w:val="none" w:sz="0" w:space="0" w:color="auto"/>
            <w:right w:val="none" w:sz="0" w:space="0" w:color="auto"/>
          </w:divBdr>
        </w:div>
        <w:div w:id="1420297175">
          <w:marLeft w:val="0"/>
          <w:marRight w:val="0"/>
          <w:marTop w:val="0"/>
          <w:marBottom w:val="0"/>
          <w:divBdr>
            <w:top w:val="none" w:sz="0" w:space="0" w:color="auto"/>
            <w:left w:val="none" w:sz="0" w:space="0" w:color="auto"/>
            <w:bottom w:val="none" w:sz="0" w:space="0" w:color="auto"/>
            <w:right w:val="none" w:sz="0" w:space="0" w:color="auto"/>
          </w:divBdr>
        </w:div>
        <w:div w:id="1488279022">
          <w:marLeft w:val="0"/>
          <w:marRight w:val="0"/>
          <w:marTop w:val="0"/>
          <w:marBottom w:val="0"/>
          <w:divBdr>
            <w:top w:val="none" w:sz="0" w:space="0" w:color="auto"/>
            <w:left w:val="none" w:sz="0" w:space="0" w:color="auto"/>
            <w:bottom w:val="none" w:sz="0" w:space="0" w:color="auto"/>
            <w:right w:val="none" w:sz="0" w:space="0" w:color="auto"/>
          </w:divBdr>
        </w:div>
        <w:div w:id="1002389940">
          <w:marLeft w:val="0"/>
          <w:marRight w:val="0"/>
          <w:marTop w:val="0"/>
          <w:marBottom w:val="0"/>
          <w:divBdr>
            <w:top w:val="none" w:sz="0" w:space="0" w:color="auto"/>
            <w:left w:val="none" w:sz="0" w:space="0" w:color="auto"/>
            <w:bottom w:val="none" w:sz="0" w:space="0" w:color="auto"/>
            <w:right w:val="none" w:sz="0" w:space="0" w:color="auto"/>
          </w:divBdr>
        </w:div>
        <w:div w:id="997152945">
          <w:marLeft w:val="0"/>
          <w:marRight w:val="0"/>
          <w:marTop w:val="0"/>
          <w:marBottom w:val="0"/>
          <w:divBdr>
            <w:top w:val="none" w:sz="0" w:space="0" w:color="auto"/>
            <w:left w:val="none" w:sz="0" w:space="0" w:color="auto"/>
            <w:bottom w:val="none" w:sz="0" w:space="0" w:color="auto"/>
            <w:right w:val="none" w:sz="0" w:space="0" w:color="auto"/>
          </w:divBdr>
        </w:div>
      </w:divsChild>
    </w:div>
    <w:div w:id="1671518274">
      <w:bodyDiv w:val="1"/>
      <w:marLeft w:val="0"/>
      <w:marRight w:val="0"/>
      <w:marTop w:val="0"/>
      <w:marBottom w:val="0"/>
      <w:divBdr>
        <w:top w:val="none" w:sz="0" w:space="0" w:color="auto"/>
        <w:left w:val="none" w:sz="0" w:space="0" w:color="auto"/>
        <w:bottom w:val="none" w:sz="0" w:space="0" w:color="auto"/>
        <w:right w:val="none" w:sz="0" w:space="0" w:color="auto"/>
      </w:divBdr>
      <w:divsChild>
        <w:div w:id="1059479221">
          <w:marLeft w:val="0"/>
          <w:marRight w:val="0"/>
          <w:marTop w:val="0"/>
          <w:marBottom w:val="0"/>
          <w:divBdr>
            <w:top w:val="none" w:sz="0" w:space="0" w:color="auto"/>
            <w:left w:val="none" w:sz="0" w:space="0" w:color="auto"/>
            <w:bottom w:val="none" w:sz="0" w:space="0" w:color="auto"/>
            <w:right w:val="none" w:sz="0" w:space="0" w:color="auto"/>
          </w:divBdr>
        </w:div>
        <w:div w:id="1991401674">
          <w:marLeft w:val="0"/>
          <w:marRight w:val="0"/>
          <w:marTop w:val="0"/>
          <w:marBottom w:val="0"/>
          <w:divBdr>
            <w:top w:val="none" w:sz="0" w:space="0" w:color="auto"/>
            <w:left w:val="none" w:sz="0" w:space="0" w:color="auto"/>
            <w:bottom w:val="none" w:sz="0" w:space="0" w:color="auto"/>
            <w:right w:val="none" w:sz="0" w:space="0" w:color="auto"/>
          </w:divBdr>
        </w:div>
        <w:div w:id="1468552373">
          <w:marLeft w:val="0"/>
          <w:marRight w:val="0"/>
          <w:marTop w:val="0"/>
          <w:marBottom w:val="0"/>
          <w:divBdr>
            <w:top w:val="none" w:sz="0" w:space="0" w:color="auto"/>
            <w:left w:val="none" w:sz="0" w:space="0" w:color="auto"/>
            <w:bottom w:val="none" w:sz="0" w:space="0" w:color="auto"/>
            <w:right w:val="none" w:sz="0" w:space="0" w:color="auto"/>
          </w:divBdr>
        </w:div>
        <w:div w:id="922953015">
          <w:marLeft w:val="0"/>
          <w:marRight w:val="0"/>
          <w:marTop w:val="0"/>
          <w:marBottom w:val="0"/>
          <w:divBdr>
            <w:top w:val="none" w:sz="0" w:space="0" w:color="auto"/>
            <w:left w:val="none" w:sz="0" w:space="0" w:color="auto"/>
            <w:bottom w:val="none" w:sz="0" w:space="0" w:color="auto"/>
            <w:right w:val="none" w:sz="0" w:space="0" w:color="auto"/>
          </w:divBdr>
        </w:div>
        <w:div w:id="1377461067">
          <w:marLeft w:val="0"/>
          <w:marRight w:val="0"/>
          <w:marTop w:val="0"/>
          <w:marBottom w:val="0"/>
          <w:divBdr>
            <w:top w:val="none" w:sz="0" w:space="0" w:color="auto"/>
            <w:left w:val="none" w:sz="0" w:space="0" w:color="auto"/>
            <w:bottom w:val="none" w:sz="0" w:space="0" w:color="auto"/>
            <w:right w:val="none" w:sz="0" w:space="0" w:color="auto"/>
          </w:divBdr>
        </w:div>
        <w:div w:id="1227957183">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BB4A4954FF3B4A9321F668E8C6B227" ma:contentTypeVersion="13" ma:contentTypeDescription="Create a new document." ma:contentTypeScope="" ma:versionID="c1f99d605764b365572bbd755a20193c">
  <xsd:schema xmlns:xsd="http://www.w3.org/2001/XMLSchema" xmlns:xs="http://www.w3.org/2001/XMLSchema" xmlns:p="http://schemas.microsoft.com/office/2006/metadata/properties" xmlns:ns3="0eadcc11-68db-4040-ba24-8cbe792f7747" xmlns:ns4="458b23fa-873f-4947-9dfc-b0c13aba94be" targetNamespace="http://schemas.microsoft.com/office/2006/metadata/properties" ma:root="true" ma:fieldsID="7c344d4de91fdcbaf6c71ac7a7ce8e63" ns3:_="" ns4:_="">
    <xsd:import namespace="0eadcc11-68db-4040-ba24-8cbe792f7747"/>
    <xsd:import namespace="458b23fa-873f-4947-9dfc-b0c13aba94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dcc11-68db-4040-ba24-8cbe792f7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b23fa-873f-4947-9dfc-b0c13aba94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9A3C-21E2-4ED6-B51E-AC302CBA56FC}">
  <ds:schemaRefs>
    <ds:schemaRef ds:uri="http://schemas.microsoft.com/sharepoint/v3/contenttype/forms"/>
  </ds:schemaRefs>
</ds:datastoreItem>
</file>

<file path=customXml/itemProps2.xml><?xml version="1.0" encoding="utf-8"?>
<ds:datastoreItem xmlns:ds="http://schemas.openxmlformats.org/officeDocument/2006/customXml" ds:itemID="{BB72EEA3-E3AC-43C0-ABC3-B0440FAF6768}">
  <ds:schemaRefs>
    <ds:schemaRef ds:uri="http://schemas.microsoft.com/office/infopath/2007/PartnerControls"/>
    <ds:schemaRef ds:uri="458b23fa-873f-4947-9dfc-b0c13aba94be"/>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0eadcc11-68db-4040-ba24-8cbe792f774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1026E4-63E9-497D-8864-DBC3270BE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dcc11-68db-4040-ba24-8cbe792f7747"/>
    <ds:schemaRef ds:uri="458b23fa-873f-4947-9dfc-b0c13aba9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C694E-2385-4BF8-96E0-3A68BEA0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12810</Words>
  <Characters>76865</Characters>
  <Application>Microsoft Office Word</Application>
  <DocSecurity>0</DocSecurity>
  <Lines>640</Lines>
  <Paragraphs>178</Paragraphs>
  <ScaleCrop>false</ScaleCrop>
  <HeadingPairs>
    <vt:vector size="8" baseType="variant">
      <vt:variant>
        <vt:lpstr>Tytuł</vt:lpstr>
      </vt:variant>
      <vt:variant>
        <vt:i4>1</vt:i4>
      </vt:variant>
      <vt:variant>
        <vt:lpstr>Názov</vt:lpstr>
      </vt:variant>
      <vt:variant>
        <vt:i4>1</vt:i4>
      </vt:variant>
      <vt:variant>
        <vt:lpstr>Title</vt:lpstr>
      </vt:variant>
      <vt:variant>
        <vt:i4>1</vt:i4>
      </vt:variant>
      <vt:variant>
        <vt:lpstr>Título</vt:lpstr>
      </vt:variant>
      <vt:variant>
        <vt:i4>1</vt:i4>
      </vt:variant>
    </vt:vector>
  </HeadingPairs>
  <TitlesOfParts>
    <vt:vector size="4" baseType="lpstr">
      <vt:lpstr>X/Y Interact IV IP 4th draft</vt:lpstr>
      <vt:lpstr>X/Y Interact IV IP 4th draft</vt:lpstr>
      <vt:lpstr>X/Y Interact IV IP 4th draft</vt:lpstr>
      <vt:lpstr>1/2 Interact IV CP 3nd draft</vt:lpstr>
    </vt:vector>
  </TitlesOfParts>
  <Manager>MA/IS</Manager>
  <Company>Interact</Company>
  <LinksUpToDate>false</LinksUpToDate>
  <CharactersWithSpaces>89497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 Interact IV IP 4th draft</dc:title>
  <dc:subject>PC06</dc:subject>
  <dc:creator>Board</dc:creator>
  <cp:keywords>PC06 IP Interact IV</cp:keywords>
  <dc:description>2021/04/12</dc:description>
  <cp:lastModifiedBy>Justyna Jakubowska</cp:lastModifiedBy>
  <cp:revision>5</cp:revision>
  <cp:lastPrinted>2020-06-04T18:34:00Z</cp:lastPrinted>
  <dcterms:created xsi:type="dcterms:W3CDTF">2021-04-28T07:28:00Z</dcterms:created>
  <dcterms:modified xsi:type="dcterms:W3CDTF">2021-04-28T07:49:00Z</dcterms:modified>
  <cp:category>Draft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0x0101001DBB4A4954FF3B4A9321F668E8C6B227</vt:lpwstr>
  </property>
</Properties>
</file>