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7DA" w:rsidRPr="001268E7" w:rsidRDefault="00DC77DA" w:rsidP="007556BA">
      <w:pPr>
        <w:pStyle w:val="Tytu"/>
      </w:pPr>
    </w:p>
    <w:p w:rsidR="00DC77DA" w:rsidRPr="001268E7" w:rsidRDefault="00DC77DA" w:rsidP="007556BA">
      <w:pPr>
        <w:pStyle w:val="Tytu"/>
      </w:pPr>
    </w:p>
    <w:p w:rsidR="00DC77DA" w:rsidRPr="001268E7" w:rsidRDefault="00DC77DA" w:rsidP="007556BA">
      <w:pPr>
        <w:pStyle w:val="Tytu"/>
      </w:pPr>
    </w:p>
    <w:p w:rsidR="00DC77DA" w:rsidRPr="001268E7" w:rsidRDefault="00DC77DA" w:rsidP="007556BA">
      <w:pPr>
        <w:pStyle w:val="Tytu"/>
      </w:pPr>
    </w:p>
    <w:p w:rsidR="00DC77DA" w:rsidRPr="001268E7" w:rsidRDefault="00DC77DA" w:rsidP="007556BA">
      <w:pPr>
        <w:pStyle w:val="Tytu"/>
      </w:pPr>
    </w:p>
    <w:p w:rsidR="00DC77DA" w:rsidRPr="001268E7" w:rsidRDefault="00DC77DA" w:rsidP="007556BA">
      <w:pPr>
        <w:pStyle w:val="Tytu"/>
      </w:pPr>
    </w:p>
    <w:p w:rsidR="00DC77DA" w:rsidRPr="001268E7" w:rsidRDefault="00DC77DA" w:rsidP="007556BA">
      <w:pPr>
        <w:pStyle w:val="Tytu"/>
      </w:pPr>
    </w:p>
    <w:p w:rsidR="003B42AD" w:rsidRPr="001268E7" w:rsidRDefault="008B3D24" w:rsidP="008B3D24">
      <w:pPr>
        <w:pStyle w:val="Tytu"/>
        <w:jc w:val="center"/>
      </w:pPr>
      <w:r w:rsidRPr="001268E7">
        <w:t xml:space="preserve">PROGRAM WSPÓŁPRACY TRANSGRANICZNEJ </w:t>
      </w:r>
      <w:r w:rsidR="00335886" w:rsidRPr="001268E7">
        <w:t xml:space="preserve">POLSKA-ROSJA </w:t>
      </w:r>
    </w:p>
    <w:p w:rsidR="007A4EC9" w:rsidRPr="001268E7" w:rsidRDefault="007A4EC9" w:rsidP="007827C7">
      <w:pPr>
        <w:pStyle w:val="Tytu"/>
        <w:jc w:val="center"/>
      </w:pPr>
      <w:r w:rsidRPr="001268E7">
        <w:t>2014-2020</w:t>
      </w:r>
    </w:p>
    <w:p w:rsidR="00790F87" w:rsidRDefault="006515C9" w:rsidP="001D6BB3">
      <w:pPr>
        <w:spacing w:before="100" w:beforeAutospacing="1" w:after="100" w:afterAutospacing="1" w:line="240" w:lineRule="auto"/>
        <w:jc w:val="center"/>
        <w:rPr>
          <w:rFonts w:cs="Calibri"/>
          <w:sz w:val="24"/>
          <w:szCs w:val="24"/>
        </w:rPr>
      </w:pPr>
      <w:r>
        <w:rPr>
          <w:rFonts w:cs="Calibri"/>
          <w:sz w:val="24"/>
          <w:szCs w:val="24"/>
        </w:rPr>
        <w:t>21</w:t>
      </w:r>
      <w:r w:rsidR="001D6BB3" w:rsidRPr="001268E7">
        <w:rPr>
          <w:rFonts w:cs="Calibri"/>
          <w:sz w:val="24"/>
          <w:szCs w:val="24"/>
        </w:rPr>
        <w:t>.0</w:t>
      </w:r>
      <w:r>
        <w:rPr>
          <w:rFonts w:cs="Calibri"/>
          <w:sz w:val="24"/>
          <w:szCs w:val="24"/>
        </w:rPr>
        <w:t>9</w:t>
      </w:r>
      <w:r w:rsidR="001D6BB3" w:rsidRPr="001268E7">
        <w:rPr>
          <w:rFonts w:cs="Calibri"/>
          <w:sz w:val="24"/>
          <w:szCs w:val="24"/>
        </w:rPr>
        <w:t>.201</w:t>
      </w:r>
      <w:r>
        <w:rPr>
          <w:rFonts w:cs="Calibri"/>
          <w:sz w:val="24"/>
          <w:szCs w:val="24"/>
        </w:rPr>
        <w:t>8</w:t>
      </w:r>
    </w:p>
    <w:p w:rsidR="000627EB" w:rsidRDefault="005A4939" w:rsidP="001D6BB3">
      <w:pPr>
        <w:spacing w:before="100" w:beforeAutospacing="1" w:after="100" w:afterAutospacing="1" w:line="240" w:lineRule="auto"/>
        <w:jc w:val="center"/>
        <w:rPr>
          <w:rFonts w:cs="Calibri"/>
          <w:sz w:val="24"/>
          <w:szCs w:val="24"/>
        </w:rPr>
      </w:pPr>
      <w:r>
        <w:rPr>
          <w:rFonts w:cs="Calibri"/>
          <w:noProof/>
          <w:sz w:val="24"/>
          <w:szCs w:val="24"/>
          <w:lang w:eastAsia="pl-PL"/>
        </w:rPr>
        <w:drawing>
          <wp:inline distT="0" distB="0" distL="0" distR="0" wp14:anchorId="3956E19B" wp14:editId="5519D2A5">
            <wp:extent cx="5702061" cy="2715556"/>
            <wp:effectExtent l="0" t="0" r="0" b="8890"/>
            <wp:docPr id="4" name="Obraz 5"/>
            <wp:cNvGraphicFramePr/>
            <a:graphic xmlns:a="http://schemas.openxmlformats.org/drawingml/2006/main">
              <a:graphicData uri="http://schemas.openxmlformats.org/drawingml/2006/picture">
                <pic:pic xmlns:pic="http://schemas.openxmlformats.org/drawingml/2006/picture">
                  <pic:nvPicPr>
                    <pic:cNvPr id="6" name="Obraz 5"/>
                    <pic:cNvPicPr/>
                  </pic:nvPicPr>
                  <pic:blipFill>
                    <a:blip r:embed="rId9" cstate="print"/>
                    <a:srcRect t="61592" b="8431"/>
                    <a:stretch>
                      <a:fillRect/>
                    </a:stretch>
                  </pic:blipFill>
                  <pic:spPr bwMode="auto">
                    <a:xfrm>
                      <a:off x="0" y="0"/>
                      <a:ext cx="5700355" cy="2714744"/>
                    </a:xfrm>
                    <a:prstGeom prst="rect">
                      <a:avLst/>
                    </a:prstGeom>
                    <a:noFill/>
                    <a:ln w="9525">
                      <a:noFill/>
                      <a:miter lim="800000"/>
                      <a:headEnd/>
                      <a:tailEnd/>
                    </a:ln>
                  </pic:spPr>
                </pic:pic>
              </a:graphicData>
            </a:graphic>
          </wp:inline>
        </w:drawing>
      </w:r>
    </w:p>
    <w:p w:rsidR="000627EB" w:rsidRDefault="000627EB" w:rsidP="001D6BB3">
      <w:pPr>
        <w:spacing w:before="100" w:beforeAutospacing="1" w:after="100" w:afterAutospacing="1" w:line="240" w:lineRule="auto"/>
        <w:jc w:val="center"/>
        <w:rPr>
          <w:rFonts w:cs="Calibri"/>
          <w:sz w:val="24"/>
          <w:szCs w:val="24"/>
        </w:rPr>
      </w:pPr>
    </w:p>
    <w:p w:rsidR="000627EB" w:rsidRPr="000627EB" w:rsidRDefault="000627EB" w:rsidP="001D6BB3">
      <w:pPr>
        <w:spacing w:before="100" w:beforeAutospacing="1" w:after="100" w:afterAutospacing="1" w:line="240" w:lineRule="auto"/>
        <w:jc w:val="center"/>
        <w:rPr>
          <w:rFonts w:eastAsia="Times New Roman"/>
          <w:b/>
          <w:bCs/>
          <w:smallCaps/>
          <w:sz w:val="28"/>
          <w:szCs w:val="26"/>
        </w:rPr>
      </w:pPr>
      <w:r w:rsidRPr="000627EB">
        <w:rPr>
          <w:rFonts w:eastAsia="Times New Roman"/>
          <w:b/>
          <w:bCs/>
          <w:smallCaps/>
          <w:sz w:val="28"/>
          <w:szCs w:val="26"/>
        </w:rPr>
        <w:t>Ten Program jest współfinansowany przez Unię Europejską</w:t>
      </w:r>
    </w:p>
    <w:p w:rsidR="007A4EC9" w:rsidRPr="001268E7" w:rsidRDefault="007A4EC9" w:rsidP="001415C4">
      <w:pPr>
        <w:spacing w:before="100" w:beforeAutospacing="1" w:after="100" w:afterAutospacing="1" w:line="240" w:lineRule="auto"/>
        <w:rPr>
          <w:rFonts w:cs="Calibri"/>
          <w:b/>
          <w:sz w:val="24"/>
          <w:szCs w:val="24"/>
        </w:rPr>
      </w:pPr>
      <w:r w:rsidRPr="001268E7">
        <w:rPr>
          <w:rFonts w:cs="Calibri"/>
          <w:b/>
          <w:sz w:val="24"/>
          <w:szCs w:val="24"/>
        </w:rPr>
        <w:br w:type="page"/>
      </w:r>
    </w:p>
    <w:p w:rsidR="00A410D0" w:rsidRPr="001268E7" w:rsidRDefault="001D6BB3" w:rsidP="001D6BB3">
      <w:pPr>
        <w:pStyle w:val="Nagwekspisutreci"/>
        <w:rPr>
          <w:rFonts w:ascii="Calibri" w:hAnsi="Calibri" w:cs="Calibri"/>
        </w:rPr>
      </w:pPr>
      <w:r w:rsidRPr="001268E7">
        <w:rPr>
          <w:rFonts w:ascii="Calibri" w:hAnsi="Calibri" w:cs="Calibri"/>
          <w:color w:val="auto"/>
        </w:rPr>
        <w:lastRenderedPageBreak/>
        <w:t>SPIS TREŚCI</w:t>
      </w:r>
    </w:p>
    <w:p w:rsidR="00D07A00" w:rsidRDefault="00E12EC3">
      <w:pPr>
        <w:pStyle w:val="Spistreci1"/>
        <w:tabs>
          <w:tab w:val="right" w:leader="dot" w:pos="9062"/>
        </w:tabs>
        <w:rPr>
          <w:rFonts w:asciiTheme="minorHAnsi" w:eastAsiaTheme="minorEastAsia" w:hAnsiTheme="minorHAnsi" w:cstheme="minorBidi"/>
          <w:noProof/>
          <w:lang w:eastAsia="pl-PL"/>
        </w:rPr>
      </w:pPr>
      <w:r w:rsidRPr="00666F85">
        <w:rPr>
          <w:rFonts w:cs="Calibri"/>
          <w:sz w:val="24"/>
          <w:szCs w:val="24"/>
        </w:rPr>
        <w:fldChar w:fldCharType="begin"/>
      </w:r>
      <w:r w:rsidR="00B2576C" w:rsidRPr="00666F85">
        <w:rPr>
          <w:rFonts w:cs="Calibri"/>
          <w:sz w:val="24"/>
          <w:szCs w:val="24"/>
        </w:rPr>
        <w:instrText xml:space="preserve"> TOC \o "1-3" \h \z \u </w:instrText>
      </w:r>
      <w:r w:rsidRPr="00666F85">
        <w:rPr>
          <w:rFonts w:cs="Calibri"/>
          <w:sz w:val="24"/>
          <w:szCs w:val="24"/>
        </w:rPr>
        <w:fldChar w:fldCharType="separate"/>
      </w:r>
      <w:hyperlink w:anchor="_Toc530737557" w:history="1">
        <w:r w:rsidR="00D07A00" w:rsidRPr="00C13D5A">
          <w:rPr>
            <w:rStyle w:val="Hipercze"/>
            <w:noProof/>
          </w:rPr>
          <w:t>Wykaz skrótów</w:t>
        </w:r>
        <w:r w:rsidR="00D07A00">
          <w:rPr>
            <w:noProof/>
            <w:webHidden/>
          </w:rPr>
          <w:tab/>
        </w:r>
        <w:r w:rsidR="00D07A00">
          <w:rPr>
            <w:noProof/>
            <w:webHidden/>
          </w:rPr>
          <w:fldChar w:fldCharType="begin"/>
        </w:r>
        <w:r w:rsidR="00D07A00">
          <w:rPr>
            <w:noProof/>
            <w:webHidden/>
          </w:rPr>
          <w:instrText xml:space="preserve"> PAGEREF _Toc530737557 \h </w:instrText>
        </w:r>
        <w:r w:rsidR="00D07A00">
          <w:rPr>
            <w:noProof/>
            <w:webHidden/>
          </w:rPr>
        </w:r>
        <w:r w:rsidR="00D07A00">
          <w:rPr>
            <w:noProof/>
            <w:webHidden/>
          </w:rPr>
          <w:fldChar w:fldCharType="separate"/>
        </w:r>
        <w:r w:rsidR="00D07A00">
          <w:rPr>
            <w:noProof/>
            <w:webHidden/>
          </w:rPr>
          <w:t>4</w:t>
        </w:r>
        <w:r w:rsidR="00D07A00">
          <w:rPr>
            <w:noProof/>
            <w:webHidden/>
          </w:rPr>
          <w:fldChar w:fldCharType="end"/>
        </w:r>
      </w:hyperlink>
    </w:p>
    <w:p w:rsidR="00D07A00" w:rsidRDefault="008741F4">
      <w:pPr>
        <w:pStyle w:val="Spistreci1"/>
        <w:tabs>
          <w:tab w:val="right" w:leader="dot" w:pos="9062"/>
        </w:tabs>
        <w:rPr>
          <w:rFonts w:asciiTheme="minorHAnsi" w:eastAsiaTheme="minorEastAsia" w:hAnsiTheme="minorHAnsi" w:cstheme="minorBidi"/>
          <w:noProof/>
          <w:lang w:eastAsia="pl-PL"/>
        </w:rPr>
      </w:pPr>
      <w:hyperlink w:anchor="_Toc530737558" w:history="1">
        <w:r w:rsidR="00D07A00" w:rsidRPr="00C13D5A">
          <w:rPr>
            <w:rStyle w:val="Hipercze"/>
            <w:noProof/>
          </w:rPr>
          <w:t>Wprowadzenie</w:t>
        </w:r>
        <w:r w:rsidR="00D07A00">
          <w:rPr>
            <w:noProof/>
            <w:webHidden/>
          </w:rPr>
          <w:tab/>
        </w:r>
        <w:r w:rsidR="00D07A00">
          <w:rPr>
            <w:noProof/>
            <w:webHidden/>
          </w:rPr>
          <w:fldChar w:fldCharType="begin"/>
        </w:r>
        <w:r w:rsidR="00D07A00">
          <w:rPr>
            <w:noProof/>
            <w:webHidden/>
          </w:rPr>
          <w:instrText xml:space="preserve"> PAGEREF _Toc530737558 \h </w:instrText>
        </w:r>
        <w:r w:rsidR="00D07A00">
          <w:rPr>
            <w:noProof/>
            <w:webHidden/>
          </w:rPr>
        </w:r>
        <w:r w:rsidR="00D07A00">
          <w:rPr>
            <w:noProof/>
            <w:webHidden/>
          </w:rPr>
          <w:fldChar w:fldCharType="separate"/>
        </w:r>
        <w:r w:rsidR="00D07A00">
          <w:rPr>
            <w:noProof/>
            <w:webHidden/>
          </w:rPr>
          <w:t>5</w:t>
        </w:r>
        <w:r w:rsidR="00D07A00">
          <w:rPr>
            <w:noProof/>
            <w:webHidden/>
          </w:rPr>
          <w:fldChar w:fldCharType="end"/>
        </w:r>
      </w:hyperlink>
    </w:p>
    <w:p w:rsidR="00D07A00" w:rsidRDefault="008741F4">
      <w:pPr>
        <w:pStyle w:val="Spistreci1"/>
        <w:tabs>
          <w:tab w:val="left" w:pos="440"/>
          <w:tab w:val="right" w:leader="dot" w:pos="9062"/>
        </w:tabs>
        <w:rPr>
          <w:rFonts w:asciiTheme="minorHAnsi" w:eastAsiaTheme="minorEastAsia" w:hAnsiTheme="minorHAnsi" w:cstheme="minorBidi"/>
          <w:noProof/>
          <w:lang w:eastAsia="pl-PL"/>
        </w:rPr>
      </w:pPr>
      <w:hyperlink w:anchor="_Toc530737559" w:history="1">
        <w:r w:rsidR="00D07A00" w:rsidRPr="00C13D5A">
          <w:rPr>
            <w:rStyle w:val="Hipercze"/>
            <w:noProof/>
          </w:rPr>
          <w:t>1.</w:t>
        </w:r>
        <w:r w:rsidR="00D07A00">
          <w:rPr>
            <w:rFonts w:asciiTheme="minorHAnsi" w:eastAsiaTheme="minorEastAsia" w:hAnsiTheme="minorHAnsi" w:cstheme="minorBidi"/>
            <w:noProof/>
            <w:lang w:eastAsia="pl-PL"/>
          </w:rPr>
          <w:tab/>
        </w:r>
        <w:r w:rsidR="00D07A00" w:rsidRPr="00C13D5A">
          <w:rPr>
            <w:rStyle w:val="Hipercze"/>
            <w:noProof/>
          </w:rPr>
          <w:t>Opis obszaru Programu</w:t>
        </w:r>
        <w:r w:rsidR="00D07A00">
          <w:rPr>
            <w:noProof/>
            <w:webHidden/>
          </w:rPr>
          <w:tab/>
        </w:r>
        <w:r w:rsidR="00D07A00">
          <w:rPr>
            <w:noProof/>
            <w:webHidden/>
          </w:rPr>
          <w:fldChar w:fldCharType="begin"/>
        </w:r>
        <w:r w:rsidR="00D07A00">
          <w:rPr>
            <w:noProof/>
            <w:webHidden/>
          </w:rPr>
          <w:instrText xml:space="preserve"> PAGEREF _Toc530737559 \h </w:instrText>
        </w:r>
        <w:r w:rsidR="00D07A00">
          <w:rPr>
            <w:noProof/>
            <w:webHidden/>
          </w:rPr>
        </w:r>
        <w:r w:rsidR="00D07A00">
          <w:rPr>
            <w:noProof/>
            <w:webHidden/>
          </w:rPr>
          <w:fldChar w:fldCharType="separate"/>
        </w:r>
        <w:r w:rsidR="00D07A00">
          <w:rPr>
            <w:noProof/>
            <w:webHidden/>
          </w:rPr>
          <w:t>7</w:t>
        </w:r>
        <w:r w:rsidR="00D07A00">
          <w:rPr>
            <w:noProof/>
            <w:webHidden/>
          </w:rPr>
          <w:fldChar w:fldCharType="end"/>
        </w:r>
      </w:hyperlink>
    </w:p>
    <w:p w:rsidR="00D07A00" w:rsidRDefault="008741F4">
      <w:pPr>
        <w:pStyle w:val="Spistreci1"/>
        <w:tabs>
          <w:tab w:val="left" w:pos="440"/>
          <w:tab w:val="right" w:leader="dot" w:pos="9062"/>
        </w:tabs>
        <w:rPr>
          <w:rFonts w:asciiTheme="minorHAnsi" w:eastAsiaTheme="minorEastAsia" w:hAnsiTheme="minorHAnsi" w:cstheme="minorBidi"/>
          <w:noProof/>
          <w:lang w:eastAsia="pl-PL"/>
        </w:rPr>
      </w:pPr>
      <w:hyperlink w:anchor="_Toc530737560" w:history="1">
        <w:r w:rsidR="00D07A00" w:rsidRPr="00C13D5A">
          <w:rPr>
            <w:rStyle w:val="Hipercze"/>
            <w:noProof/>
          </w:rPr>
          <w:t>2.</w:t>
        </w:r>
        <w:r w:rsidR="00D07A00">
          <w:rPr>
            <w:rFonts w:asciiTheme="minorHAnsi" w:eastAsiaTheme="minorEastAsia" w:hAnsiTheme="minorHAnsi" w:cstheme="minorBidi"/>
            <w:noProof/>
            <w:lang w:eastAsia="pl-PL"/>
          </w:rPr>
          <w:tab/>
        </w:r>
        <w:r w:rsidR="00D07A00" w:rsidRPr="00C13D5A">
          <w:rPr>
            <w:rStyle w:val="Hipercze"/>
            <w:rFonts w:cstheme="minorHAnsi"/>
            <w:noProof/>
          </w:rPr>
          <w:t>Strategia Programu</w:t>
        </w:r>
        <w:r w:rsidR="00D07A00">
          <w:rPr>
            <w:noProof/>
            <w:webHidden/>
          </w:rPr>
          <w:tab/>
        </w:r>
        <w:r w:rsidR="00D07A00">
          <w:rPr>
            <w:noProof/>
            <w:webHidden/>
          </w:rPr>
          <w:fldChar w:fldCharType="begin"/>
        </w:r>
        <w:r w:rsidR="00D07A00">
          <w:rPr>
            <w:noProof/>
            <w:webHidden/>
          </w:rPr>
          <w:instrText xml:space="preserve"> PAGEREF _Toc530737560 \h </w:instrText>
        </w:r>
        <w:r w:rsidR="00D07A00">
          <w:rPr>
            <w:noProof/>
            <w:webHidden/>
          </w:rPr>
        </w:r>
        <w:r w:rsidR="00D07A00">
          <w:rPr>
            <w:noProof/>
            <w:webHidden/>
          </w:rPr>
          <w:fldChar w:fldCharType="separate"/>
        </w:r>
        <w:r w:rsidR="00D07A00">
          <w:rPr>
            <w:noProof/>
            <w:webHidden/>
          </w:rPr>
          <w:t>9</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61" w:history="1">
        <w:r w:rsidR="00D07A00" w:rsidRPr="00C13D5A">
          <w:rPr>
            <w:rStyle w:val="Hipercze"/>
            <w:noProof/>
          </w:rPr>
          <w:t>2.1 Opis strategii Programu</w:t>
        </w:r>
        <w:r w:rsidR="00D07A00">
          <w:rPr>
            <w:noProof/>
            <w:webHidden/>
          </w:rPr>
          <w:tab/>
        </w:r>
        <w:r w:rsidR="00D07A00">
          <w:rPr>
            <w:noProof/>
            <w:webHidden/>
          </w:rPr>
          <w:fldChar w:fldCharType="begin"/>
        </w:r>
        <w:r w:rsidR="00D07A00">
          <w:rPr>
            <w:noProof/>
            <w:webHidden/>
          </w:rPr>
          <w:instrText xml:space="preserve"> PAGEREF _Toc530737561 \h </w:instrText>
        </w:r>
        <w:r w:rsidR="00D07A00">
          <w:rPr>
            <w:noProof/>
            <w:webHidden/>
          </w:rPr>
        </w:r>
        <w:r w:rsidR="00D07A00">
          <w:rPr>
            <w:noProof/>
            <w:webHidden/>
          </w:rPr>
          <w:fldChar w:fldCharType="separate"/>
        </w:r>
        <w:r w:rsidR="00D07A00">
          <w:rPr>
            <w:noProof/>
            <w:webHidden/>
          </w:rPr>
          <w:t>9</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62" w:history="1">
        <w:r w:rsidR="00D07A00" w:rsidRPr="00C13D5A">
          <w:rPr>
            <w:rStyle w:val="Hipercze"/>
            <w:noProof/>
          </w:rPr>
          <w:t>DZIEDZICTWO</w:t>
        </w:r>
        <w:r w:rsidR="00D07A00">
          <w:rPr>
            <w:noProof/>
            <w:webHidden/>
          </w:rPr>
          <w:tab/>
        </w:r>
        <w:r w:rsidR="00D07A00">
          <w:rPr>
            <w:noProof/>
            <w:webHidden/>
          </w:rPr>
          <w:fldChar w:fldCharType="begin"/>
        </w:r>
        <w:r w:rsidR="00D07A00">
          <w:rPr>
            <w:noProof/>
            <w:webHidden/>
          </w:rPr>
          <w:instrText xml:space="preserve"> PAGEREF _Toc530737562 \h </w:instrText>
        </w:r>
        <w:r w:rsidR="00D07A00">
          <w:rPr>
            <w:noProof/>
            <w:webHidden/>
          </w:rPr>
        </w:r>
        <w:r w:rsidR="00D07A00">
          <w:rPr>
            <w:noProof/>
            <w:webHidden/>
          </w:rPr>
          <w:fldChar w:fldCharType="separate"/>
        </w:r>
        <w:r w:rsidR="00D07A00">
          <w:rPr>
            <w:noProof/>
            <w:webHidden/>
          </w:rPr>
          <w:t>11</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63" w:history="1">
        <w:r w:rsidR="00D07A00" w:rsidRPr="00C13D5A">
          <w:rPr>
            <w:rStyle w:val="Hipercze"/>
            <w:noProof/>
          </w:rPr>
          <w:t>ŚRODOWISKO</w:t>
        </w:r>
        <w:r w:rsidR="00D07A00">
          <w:rPr>
            <w:noProof/>
            <w:webHidden/>
          </w:rPr>
          <w:tab/>
        </w:r>
        <w:r w:rsidR="00D07A00">
          <w:rPr>
            <w:noProof/>
            <w:webHidden/>
          </w:rPr>
          <w:fldChar w:fldCharType="begin"/>
        </w:r>
        <w:r w:rsidR="00D07A00">
          <w:rPr>
            <w:noProof/>
            <w:webHidden/>
          </w:rPr>
          <w:instrText xml:space="preserve"> PAGEREF _Toc530737563 \h </w:instrText>
        </w:r>
        <w:r w:rsidR="00D07A00">
          <w:rPr>
            <w:noProof/>
            <w:webHidden/>
          </w:rPr>
        </w:r>
        <w:r w:rsidR="00D07A00">
          <w:rPr>
            <w:noProof/>
            <w:webHidden/>
          </w:rPr>
          <w:fldChar w:fldCharType="separate"/>
        </w:r>
        <w:r w:rsidR="00D07A00">
          <w:rPr>
            <w:noProof/>
            <w:webHidden/>
          </w:rPr>
          <w:t>13</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64" w:history="1">
        <w:r w:rsidR="00D07A00" w:rsidRPr="00C13D5A">
          <w:rPr>
            <w:rStyle w:val="Hipercze"/>
            <w:noProof/>
          </w:rPr>
          <w:t>DOSTĘPNOŚĆ</w:t>
        </w:r>
        <w:r w:rsidR="00D07A00">
          <w:rPr>
            <w:noProof/>
            <w:webHidden/>
          </w:rPr>
          <w:tab/>
        </w:r>
        <w:r w:rsidR="00D07A00">
          <w:rPr>
            <w:noProof/>
            <w:webHidden/>
          </w:rPr>
          <w:fldChar w:fldCharType="begin"/>
        </w:r>
        <w:r w:rsidR="00D07A00">
          <w:rPr>
            <w:noProof/>
            <w:webHidden/>
          </w:rPr>
          <w:instrText xml:space="preserve"> PAGEREF _Toc530737564 \h </w:instrText>
        </w:r>
        <w:r w:rsidR="00D07A00">
          <w:rPr>
            <w:noProof/>
            <w:webHidden/>
          </w:rPr>
        </w:r>
        <w:r w:rsidR="00D07A00">
          <w:rPr>
            <w:noProof/>
            <w:webHidden/>
          </w:rPr>
          <w:fldChar w:fldCharType="separate"/>
        </w:r>
        <w:r w:rsidR="00D07A00">
          <w:rPr>
            <w:noProof/>
            <w:webHidden/>
          </w:rPr>
          <w:t>14</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65" w:history="1">
        <w:r w:rsidR="00D07A00" w:rsidRPr="00C13D5A">
          <w:rPr>
            <w:rStyle w:val="Hipercze"/>
            <w:noProof/>
          </w:rPr>
          <w:t>GRANICE</w:t>
        </w:r>
        <w:r w:rsidR="00D07A00">
          <w:rPr>
            <w:noProof/>
            <w:webHidden/>
          </w:rPr>
          <w:tab/>
        </w:r>
        <w:r w:rsidR="00D07A00">
          <w:rPr>
            <w:noProof/>
            <w:webHidden/>
          </w:rPr>
          <w:fldChar w:fldCharType="begin"/>
        </w:r>
        <w:r w:rsidR="00D07A00">
          <w:rPr>
            <w:noProof/>
            <w:webHidden/>
          </w:rPr>
          <w:instrText xml:space="preserve"> PAGEREF _Toc530737565 \h </w:instrText>
        </w:r>
        <w:r w:rsidR="00D07A00">
          <w:rPr>
            <w:noProof/>
            <w:webHidden/>
          </w:rPr>
        </w:r>
        <w:r w:rsidR="00D07A00">
          <w:rPr>
            <w:noProof/>
            <w:webHidden/>
          </w:rPr>
          <w:fldChar w:fldCharType="separate"/>
        </w:r>
        <w:r w:rsidR="00D07A00">
          <w:rPr>
            <w:noProof/>
            <w:webHidden/>
          </w:rPr>
          <w:t>15</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66" w:history="1">
        <w:r w:rsidR="00D07A00" w:rsidRPr="00C13D5A">
          <w:rPr>
            <w:rStyle w:val="Hipercze"/>
            <w:noProof/>
          </w:rPr>
          <w:t>2.2 Uzasadnienie strategii Programu</w:t>
        </w:r>
        <w:r w:rsidR="00D07A00">
          <w:rPr>
            <w:noProof/>
            <w:webHidden/>
          </w:rPr>
          <w:tab/>
        </w:r>
        <w:r w:rsidR="00D07A00">
          <w:rPr>
            <w:noProof/>
            <w:webHidden/>
          </w:rPr>
          <w:fldChar w:fldCharType="begin"/>
        </w:r>
        <w:r w:rsidR="00D07A00">
          <w:rPr>
            <w:noProof/>
            <w:webHidden/>
          </w:rPr>
          <w:instrText xml:space="preserve"> PAGEREF _Toc530737566 \h </w:instrText>
        </w:r>
        <w:r w:rsidR="00D07A00">
          <w:rPr>
            <w:noProof/>
            <w:webHidden/>
          </w:rPr>
        </w:r>
        <w:r w:rsidR="00D07A00">
          <w:rPr>
            <w:noProof/>
            <w:webHidden/>
          </w:rPr>
          <w:fldChar w:fldCharType="separate"/>
        </w:r>
        <w:r w:rsidR="00D07A00">
          <w:rPr>
            <w:noProof/>
            <w:webHidden/>
          </w:rPr>
          <w:t>16</w:t>
        </w:r>
        <w:r w:rsidR="00D07A00">
          <w:rPr>
            <w:noProof/>
            <w:webHidden/>
          </w:rPr>
          <w:fldChar w:fldCharType="end"/>
        </w:r>
      </w:hyperlink>
    </w:p>
    <w:p w:rsidR="00D07A00" w:rsidRDefault="008741F4">
      <w:pPr>
        <w:pStyle w:val="Spistreci3"/>
        <w:tabs>
          <w:tab w:val="right" w:leader="dot" w:pos="9062"/>
        </w:tabs>
        <w:rPr>
          <w:rFonts w:asciiTheme="minorHAnsi" w:eastAsiaTheme="minorEastAsia" w:hAnsiTheme="minorHAnsi" w:cstheme="minorBidi"/>
          <w:noProof/>
          <w:lang w:eastAsia="pl-PL"/>
        </w:rPr>
      </w:pPr>
      <w:hyperlink w:anchor="_Toc530737567" w:history="1">
        <w:r w:rsidR="00D07A00" w:rsidRPr="00C13D5A">
          <w:rPr>
            <w:rStyle w:val="Hipercze"/>
            <w:noProof/>
          </w:rPr>
          <w:t>2.2.1 Analiza społeczno-gospodarcza i środowiskowa</w:t>
        </w:r>
        <w:r w:rsidR="00D07A00">
          <w:rPr>
            <w:noProof/>
            <w:webHidden/>
          </w:rPr>
          <w:tab/>
        </w:r>
        <w:r w:rsidR="00D07A00">
          <w:rPr>
            <w:noProof/>
            <w:webHidden/>
          </w:rPr>
          <w:fldChar w:fldCharType="begin"/>
        </w:r>
        <w:r w:rsidR="00D07A00">
          <w:rPr>
            <w:noProof/>
            <w:webHidden/>
          </w:rPr>
          <w:instrText xml:space="preserve"> PAGEREF _Toc530737567 \h </w:instrText>
        </w:r>
        <w:r w:rsidR="00D07A00">
          <w:rPr>
            <w:noProof/>
            <w:webHidden/>
          </w:rPr>
        </w:r>
        <w:r w:rsidR="00D07A00">
          <w:rPr>
            <w:noProof/>
            <w:webHidden/>
          </w:rPr>
          <w:fldChar w:fldCharType="separate"/>
        </w:r>
        <w:r w:rsidR="00D07A00">
          <w:rPr>
            <w:noProof/>
            <w:webHidden/>
          </w:rPr>
          <w:t>16</w:t>
        </w:r>
        <w:r w:rsidR="00D07A00">
          <w:rPr>
            <w:noProof/>
            <w:webHidden/>
          </w:rPr>
          <w:fldChar w:fldCharType="end"/>
        </w:r>
      </w:hyperlink>
    </w:p>
    <w:p w:rsidR="00D07A00" w:rsidRDefault="008741F4">
      <w:pPr>
        <w:pStyle w:val="Spistreci3"/>
        <w:tabs>
          <w:tab w:val="right" w:leader="dot" w:pos="9062"/>
        </w:tabs>
        <w:rPr>
          <w:rFonts w:asciiTheme="minorHAnsi" w:eastAsiaTheme="minorEastAsia" w:hAnsiTheme="minorHAnsi" w:cstheme="minorBidi"/>
          <w:noProof/>
          <w:lang w:eastAsia="pl-PL"/>
        </w:rPr>
      </w:pPr>
      <w:hyperlink w:anchor="_Toc530737568" w:history="1">
        <w:r w:rsidR="00D07A00" w:rsidRPr="00C13D5A">
          <w:rPr>
            <w:rStyle w:val="Hipercze"/>
            <w:noProof/>
          </w:rPr>
          <w:t>2.2.2. Doświadczenia z poprzednich Programów Wsparcia Transgranicznego</w:t>
        </w:r>
        <w:r w:rsidR="00D07A00">
          <w:rPr>
            <w:noProof/>
            <w:webHidden/>
          </w:rPr>
          <w:tab/>
        </w:r>
        <w:r w:rsidR="00D07A00">
          <w:rPr>
            <w:noProof/>
            <w:webHidden/>
          </w:rPr>
          <w:fldChar w:fldCharType="begin"/>
        </w:r>
        <w:r w:rsidR="00D07A00">
          <w:rPr>
            <w:noProof/>
            <w:webHidden/>
          </w:rPr>
          <w:instrText xml:space="preserve"> PAGEREF _Toc530737568 \h </w:instrText>
        </w:r>
        <w:r w:rsidR="00D07A00">
          <w:rPr>
            <w:noProof/>
            <w:webHidden/>
          </w:rPr>
        </w:r>
        <w:r w:rsidR="00D07A00">
          <w:rPr>
            <w:noProof/>
            <w:webHidden/>
          </w:rPr>
          <w:fldChar w:fldCharType="separate"/>
        </w:r>
        <w:r w:rsidR="00D07A00">
          <w:rPr>
            <w:noProof/>
            <w:webHidden/>
          </w:rPr>
          <w:t>23</w:t>
        </w:r>
        <w:r w:rsidR="00D07A00">
          <w:rPr>
            <w:noProof/>
            <w:webHidden/>
          </w:rPr>
          <w:fldChar w:fldCharType="end"/>
        </w:r>
      </w:hyperlink>
    </w:p>
    <w:p w:rsidR="00D07A00" w:rsidRDefault="008741F4">
      <w:pPr>
        <w:pStyle w:val="Spistreci3"/>
        <w:tabs>
          <w:tab w:val="right" w:leader="dot" w:pos="9062"/>
        </w:tabs>
        <w:rPr>
          <w:rFonts w:asciiTheme="minorHAnsi" w:eastAsiaTheme="minorEastAsia" w:hAnsiTheme="minorHAnsi" w:cstheme="minorBidi"/>
          <w:noProof/>
          <w:lang w:eastAsia="pl-PL"/>
        </w:rPr>
      </w:pPr>
      <w:hyperlink w:anchor="_Toc530737569" w:history="1">
        <w:r w:rsidR="00D07A00" w:rsidRPr="00C13D5A">
          <w:rPr>
            <w:rStyle w:val="Hipercze"/>
            <w:noProof/>
          </w:rPr>
          <w:t>2.2.3 Spójność z innymi programami finansowanym przez UE oraz strategiami krajowymi i regionalnymi</w:t>
        </w:r>
        <w:r w:rsidR="00D07A00">
          <w:rPr>
            <w:noProof/>
            <w:webHidden/>
          </w:rPr>
          <w:tab/>
        </w:r>
        <w:r w:rsidR="00D07A00">
          <w:rPr>
            <w:noProof/>
            <w:webHidden/>
          </w:rPr>
          <w:fldChar w:fldCharType="begin"/>
        </w:r>
        <w:r w:rsidR="00D07A00">
          <w:rPr>
            <w:noProof/>
            <w:webHidden/>
          </w:rPr>
          <w:instrText xml:space="preserve"> PAGEREF _Toc530737569 \h </w:instrText>
        </w:r>
        <w:r w:rsidR="00D07A00">
          <w:rPr>
            <w:noProof/>
            <w:webHidden/>
          </w:rPr>
        </w:r>
        <w:r w:rsidR="00D07A00">
          <w:rPr>
            <w:noProof/>
            <w:webHidden/>
          </w:rPr>
          <w:fldChar w:fldCharType="separate"/>
        </w:r>
        <w:r w:rsidR="00D07A00">
          <w:rPr>
            <w:noProof/>
            <w:webHidden/>
          </w:rPr>
          <w:t>25</w:t>
        </w:r>
        <w:r w:rsidR="00D07A00">
          <w:rPr>
            <w:noProof/>
            <w:webHidden/>
          </w:rPr>
          <w:fldChar w:fldCharType="end"/>
        </w:r>
      </w:hyperlink>
    </w:p>
    <w:p w:rsidR="00D07A00" w:rsidRDefault="008741F4">
      <w:pPr>
        <w:pStyle w:val="Spistreci3"/>
        <w:tabs>
          <w:tab w:val="right" w:leader="dot" w:pos="9062"/>
        </w:tabs>
        <w:rPr>
          <w:rFonts w:asciiTheme="minorHAnsi" w:eastAsiaTheme="minorEastAsia" w:hAnsiTheme="minorHAnsi" w:cstheme="minorBidi"/>
          <w:noProof/>
          <w:lang w:eastAsia="pl-PL"/>
        </w:rPr>
      </w:pPr>
      <w:hyperlink w:anchor="_Toc530737570" w:history="1">
        <w:r w:rsidR="00D07A00" w:rsidRPr="00C13D5A">
          <w:rPr>
            <w:rStyle w:val="Hipercze"/>
            <w:noProof/>
          </w:rPr>
          <w:t>2.2.4 Analiza zagrożeń i środki łagodzące</w:t>
        </w:r>
        <w:r w:rsidR="00D07A00">
          <w:rPr>
            <w:noProof/>
            <w:webHidden/>
          </w:rPr>
          <w:tab/>
        </w:r>
        <w:r w:rsidR="00D07A00">
          <w:rPr>
            <w:noProof/>
            <w:webHidden/>
          </w:rPr>
          <w:fldChar w:fldCharType="begin"/>
        </w:r>
        <w:r w:rsidR="00D07A00">
          <w:rPr>
            <w:noProof/>
            <w:webHidden/>
          </w:rPr>
          <w:instrText xml:space="preserve"> PAGEREF _Toc530737570 \h </w:instrText>
        </w:r>
        <w:r w:rsidR="00D07A00">
          <w:rPr>
            <w:noProof/>
            <w:webHidden/>
          </w:rPr>
        </w:r>
        <w:r w:rsidR="00D07A00">
          <w:rPr>
            <w:noProof/>
            <w:webHidden/>
          </w:rPr>
          <w:fldChar w:fldCharType="separate"/>
        </w:r>
        <w:r w:rsidR="00D07A00">
          <w:rPr>
            <w:noProof/>
            <w:webHidden/>
          </w:rPr>
          <w:t>30</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1" w:history="1">
        <w:r w:rsidR="00D07A00" w:rsidRPr="00C13D5A">
          <w:rPr>
            <w:rStyle w:val="Hipercze"/>
            <w:noProof/>
          </w:rPr>
          <w:t>2.3. Obiektywnie weryfikowalne wskaźniki</w:t>
        </w:r>
        <w:r w:rsidR="00D07A00">
          <w:rPr>
            <w:noProof/>
            <w:webHidden/>
          </w:rPr>
          <w:tab/>
        </w:r>
        <w:r w:rsidR="00D07A00">
          <w:rPr>
            <w:noProof/>
            <w:webHidden/>
          </w:rPr>
          <w:fldChar w:fldCharType="begin"/>
        </w:r>
        <w:r w:rsidR="00D07A00">
          <w:rPr>
            <w:noProof/>
            <w:webHidden/>
          </w:rPr>
          <w:instrText xml:space="preserve"> PAGEREF _Toc530737571 \h </w:instrText>
        </w:r>
        <w:r w:rsidR="00D07A00">
          <w:rPr>
            <w:noProof/>
            <w:webHidden/>
          </w:rPr>
        </w:r>
        <w:r w:rsidR="00D07A00">
          <w:rPr>
            <w:noProof/>
            <w:webHidden/>
          </w:rPr>
          <w:fldChar w:fldCharType="separate"/>
        </w:r>
        <w:r w:rsidR="00D07A00">
          <w:rPr>
            <w:noProof/>
            <w:webHidden/>
          </w:rPr>
          <w:t>31</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2" w:history="1">
        <w:r w:rsidR="00D07A00" w:rsidRPr="00C13D5A">
          <w:rPr>
            <w:rStyle w:val="Hipercze"/>
            <w:noProof/>
          </w:rPr>
          <w:t>2.4. Uwzględnienie kwestii przekrojowych</w:t>
        </w:r>
        <w:r w:rsidR="00D07A00">
          <w:rPr>
            <w:noProof/>
            <w:webHidden/>
          </w:rPr>
          <w:tab/>
        </w:r>
        <w:r w:rsidR="00D07A00">
          <w:rPr>
            <w:noProof/>
            <w:webHidden/>
          </w:rPr>
          <w:fldChar w:fldCharType="begin"/>
        </w:r>
        <w:r w:rsidR="00D07A00">
          <w:rPr>
            <w:noProof/>
            <w:webHidden/>
          </w:rPr>
          <w:instrText xml:space="preserve"> PAGEREF _Toc530737572 \h </w:instrText>
        </w:r>
        <w:r w:rsidR="00D07A00">
          <w:rPr>
            <w:noProof/>
            <w:webHidden/>
          </w:rPr>
        </w:r>
        <w:r w:rsidR="00D07A00">
          <w:rPr>
            <w:noProof/>
            <w:webHidden/>
          </w:rPr>
          <w:fldChar w:fldCharType="separate"/>
        </w:r>
        <w:r w:rsidR="00D07A00">
          <w:rPr>
            <w:noProof/>
            <w:webHidden/>
          </w:rPr>
          <w:t>34</w:t>
        </w:r>
        <w:r w:rsidR="00D07A00">
          <w:rPr>
            <w:noProof/>
            <w:webHidden/>
          </w:rPr>
          <w:fldChar w:fldCharType="end"/>
        </w:r>
      </w:hyperlink>
    </w:p>
    <w:p w:rsidR="00D07A00" w:rsidRDefault="008741F4">
      <w:pPr>
        <w:pStyle w:val="Spistreci1"/>
        <w:tabs>
          <w:tab w:val="left" w:pos="440"/>
          <w:tab w:val="right" w:leader="dot" w:pos="9062"/>
        </w:tabs>
        <w:rPr>
          <w:rFonts w:asciiTheme="minorHAnsi" w:eastAsiaTheme="minorEastAsia" w:hAnsiTheme="minorHAnsi" w:cstheme="minorBidi"/>
          <w:noProof/>
          <w:lang w:eastAsia="pl-PL"/>
        </w:rPr>
      </w:pPr>
      <w:hyperlink w:anchor="_Toc530737573" w:history="1">
        <w:r w:rsidR="00D07A00" w:rsidRPr="00C13D5A">
          <w:rPr>
            <w:rStyle w:val="Hipercze"/>
            <w:noProof/>
          </w:rPr>
          <w:t>3.</w:t>
        </w:r>
        <w:r w:rsidR="00D07A00">
          <w:rPr>
            <w:rFonts w:asciiTheme="minorHAnsi" w:eastAsiaTheme="minorEastAsia" w:hAnsiTheme="minorHAnsi" w:cstheme="minorBidi"/>
            <w:noProof/>
            <w:lang w:eastAsia="pl-PL"/>
          </w:rPr>
          <w:tab/>
        </w:r>
        <w:r w:rsidR="00D07A00" w:rsidRPr="00C13D5A">
          <w:rPr>
            <w:rStyle w:val="Hipercze"/>
            <w:noProof/>
          </w:rPr>
          <w:t>Struktury właściwych władz i organów zarządzających</w:t>
        </w:r>
        <w:r w:rsidR="00D07A00">
          <w:rPr>
            <w:noProof/>
            <w:webHidden/>
          </w:rPr>
          <w:tab/>
        </w:r>
        <w:r w:rsidR="00D07A00">
          <w:rPr>
            <w:noProof/>
            <w:webHidden/>
          </w:rPr>
          <w:fldChar w:fldCharType="begin"/>
        </w:r>
        <w:r w:rsidR="00D07A00">
          <w:rPr>
            <w:noProof/>
            <w:webHidden/>
          </w:rPr>
          <w:instrText xml:space="preserve"> PAGEREF _Toc530737573 \h </w:instrText>
        </w:r>
        <w:r w:rsidR="00D07A00">
          <w:rPr>
            <w:noProof/>
            <w:webHidden/>
          </w:rPr>
        </w:r>
        <w:r w:rsidR="00D07A00">
          <w:rPr>
            <w:noProof/>
            <w:webHidden/>
          </w:rPr>
          <w:fldChar w:fldCharType="separate"/>
        </w:r>
        <w:r w:rsidR="00D07A00">
          <w:rPr>
            <w:noProof/>
            <w:webHidden/>
          </w:rPr>
          <w:t>35</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4" w:history="1">
        <w:r w:rsidR="00D07A00" w:rsidRPr="00C13D5A">
          <w:rPr>
            <w:rStyle w:val="Hipercze"/>
            <w:noProof/>
          </w:rPr>
          <w:t>3.1 Wspólny Komitet Monitorujący</w:t>
        </w:r>
        <w:r w:rsidR="00D07A00">
          <w:rPr>
            <w:noProof/>
            <w:webHidden/>
          </w:rPr>
          <w:tab/>
        </w:r>
        <w:r w:rsidR="00D07A00">
          <w:rPr>
            <w:noProof/>
            <w:webHidden/>
          </w:rPr>
          <w:fldChar w:fldCharType="begin"/>
        </w:r>
        <w:r w:rsidR="00D07A00">
          <w:rPr>
            <w:noProof/>
            <w:webHidden/>
          </w:rPr>
          <w:instrText xml:space="preserve"> PAGEREF _Toc530737574 \h </w:instrText>
        </w:r>
        <w:r w:rsidR="00D07A00">
          <w:rPr>
            <w:noProof/>
            <w:webHidden/>
          </w:rPr>
        </w:r>
        <w:r w:rsidR="00D07A00">
          <w:rPr>
            <w:noProof/>
            <w:webHidden/>
          </w:rPr>
          <w:fldChar w:fldCharType="separate"/>
        </w:r>
        <w:r w:rsidR="00D07A00">
          <w:rPr>
            <w:noProof/>
            <w:webHidden/>
          </w:rPr>
          <w:t>38</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5" w:history="1">
        <w:r w:rsidR="00D07A00" w:rsidRPr="00C13D5A">
          <w:rPr>
            <w:rStyle w:val="Hipercze"/>
            <w:noProof/>
          </w:rPr>
          <w:t>3.2 Instytucja Zarządzająca</w:t>
        </w:r>
        <w:r w:rsidR="00D07A00">
          <w:rPr>
            <w:noProof/>
            <w:webHidden/>
          </w:rPr>
          <w:tab/>
        </w:r>
        <w:r w:rsidR="00D07A00">
          <w:rPr>
            <w:noProof/>
            <w:webHidden/>
          </w:rPr>
          <w:fldChar w:fldCharType="begin"/>
        </w:r>
        <w:r w:rsidR="00D07A00">
          <w:rPr>
            <w:noProof/>
            <w:webHidden/>
          </w:rPr>
          <w:instrText xml:space="preserve"> PAGEREF _Toc530737575 \h </w:instrText>
        </w:r>
        <w:r w:rsidR="00D07A00">
          <w:rPr>
            <w:noProof/>
            <w:webHidden/>
          </w:rPr>
        </w:r>
        <w:r w:rsidR="00D07A00">
          <w:rPr>
            <w:noProof/>
            <w:webHidden/>
          </w:rPr>
          <w:fldChar w:fldCharType="separate"/>
        </w:r>
        <w:r w:rsidR="00D07A00">
          <w:rPr>
            <w:noProof/>
            <w:webHidden/>
          </w:rPr>
          <w:t>40</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6" w:history="1">
        <w:r w:rsidR="00D07A00" w:rsidRPr="00C13D5A">
          <w:rPr>
            <w:rStyle w:val="Hipercze"/>
            <w:noProof/>
          </w:rPr>
          <w:t>3.3 Instytucje Krajowe</w:t>
        </w:r>
        <w:r w:rsidR="00D07A00">
          <w:rPr>
            <w:noProof/>
            <w:webHidden/>
          </w:rPr>
          <w:tab/>
        </w:r>
        <w:r w:rsidR="00D07A00">
          <w:rPr>
            <w:noProof/>
            <w:webHidden/>
          </w:rPr>
          <w:fldChar w:fldCharType="begin"/>
        </w:r>
        <w:r w:rsidR="00D07A00">
          <w:rPr>
            <w:noProof/>
            <w:webHidden/>
          </w:rPr>
          <w:instrText xml:space="preserve"> PAGEREF _Toc530737576 \h </w:instrText>
        </w:r>
        <w:r w:rsidR="00D07A00">
          <w:rPr>
            <w:noProof/>
            <w:webHidden/>
          </w:rPr>
        </w:r>
        <w:r w:rsidR="00D07A00">
          <w:rPr>
            <w:noProof/>
            <w:webHidden/>
          </w:rPr>
          <w:fldChar w:fldCharType="separate"/>
        </w:r>
        <w:r w:rsidR="00D07A00">
          <w:rPr>
            <w:noProof/>
            <w:webHidden/>
          </w:rPr>
          <w:t>46</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7" w:history="1">
        <w:r w:rsidR="00D07A00" w:rsidRPr="00C13D5A">
          <w:rPr>
            <w:rStyle w:val="Hipercze"/>
            <w:noProof/>
          </w:rPr>
          <w:t>3.4 Wspólny Sekretariat Techniczny i Oddział</w:t>
        </w:r>
        <w:r w:rsidR="00D07A00">
          <w:rPr>
            <w:noProof/>
            <w:webHidden/>
          </w:rPr>
          <w:tab/>
        </w:r>
        <w:r w:rsidR="00D07A00">
          <w:rPr>
            <w:noProof/>
            <w:webHidden/>
          </w:rPr>
          <w:fldChar w:fldCharType="begin"/>
        </w:r>
        <w:r w:rsidR="00D07A00">
          <w:rPr>
            <w:noProof/>
            <w:webHidden/>
          </w:rPr>
          <w:instrText xml:space="preserve"> PAGEREF _Toc530737577 \h </w:instrText>
        </w:r>
        <w:r w:rsidR="00D07A00">
          <w:rPr>
            <w:noProof/>
            <w:webHidden/>
          </w:rPr>
        </w:r>
        <w:r w:rsidR="00D07A00">
          <w:rPr>
            <w:noProof/>
            <w:webHidden/>
          </w:rPr>
          <w:fldChar w:fldCharType="separate"/>
        </w:r>
        <w:r w:rsidR="00D07A00">
          <w:rPr>
            <w:noProof/>
            <w:webHidden/>
          </w:rPr>
          <w:t>48</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8" w:history="1">
        <w:r w:rsidR="00D07A00" w:rsidRPr="00C13D5A">
          <w:rPr>
            <w:rStyle w:val="Hipercze"/>
            <w:noProof/>
          </w:rPr>
          <w:t>3.5 Instytucja Audytowa i Grupa Audytorów</w:t>
        </w:r>
        <w:r w:rsidR="00D07A00">
          <w:rPr>
            <w:noProof/>
            <w:webHidden/>
          </w:rPr>
          <w:tab/>
        </w:r>
        <w:r w:rsidR="00D07A00">
          <w:rPr>
            <w:noProof/>
            <w:webHidden/>
          </w:rPr>
          <w:fldChar w:fldCharType="begin"/>
        </w:r>
        <w:r w:rsidR="00D07A00">
          <w:rPr>
            <w:noProof/>
            <w:webHidden/>
          </w:rPr>
          <w:instrText xml:space="preserve"> PAGEREF _Toc530737578 \h </w:instrText>
        </w:r>
        <w:r w:rsidR="00D07A00">
          <w:rPr>
            <w:noProof/>
            <w:webHidden/>
          </w:rPr>
        </w:r>
        <w:r w:rsidR="00D07A00">
          <w:rPr>
            <w:noProof/>
            <w:webHidden/>
          </w:rPr>
          <w:fldChar w:fldCharType="separate"/>
        </w:r>
        <w:r w:rsidR="00D07A00">
          <w:rPr>
            <w:noProof/>
            <w:webHidden/>
          </w:rPr>
          <w:t>52</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79" w:history="1">
        <w:r w:rsidR="00D07A00" w:rsidRPr="00C13D5A">
          <w:rPr>
            <w:rStyle w:val="Hipercze"/>
            <w:noProof/>
          </w:rPr>
          <w:t>3.6 Kontrolne Punkty Kontaktowe</w:t>
        </w:r>
        <w:r w:rsidR="00D07A00">
          <w:rPr>
            <w:noProof/>
            <w:webHidden/>
          </w:rPr>
          <w:tab/>
        </w:r>
        <w:r w:rsidR="00D07A00">
          <w:rPr>
            <w:noProof/>
            <w:webHidden/>
          </w:rPr>
          <w:fldChar w:fldCharType="begin"/>
        </w:r>
        <w:r w:rsidR="00D07A00">
          <w:rPr>
            <w:noProof/>
            <w:webHidden/>
          </w:rPr>
          <w:instrText xml:space="preserve"> PAGEREF _Toc530737579 \h </w:instrText>
        </w:r>
        <w:r w:rsidR="00D07A00">
          <w:rPr>
            <w:noProof/>
            <w:webHidden/>
          </w:rPr>
        </w:r>
        <w:r w:rsidR="00D07A00">
          <w:rPr>
            <w:noProof/>
            <w:webHidden/>
          </w:rPr>
          <w:fldChar w:fldCharType="separate"/>
        </w:r>
        <w:r w:rsidR="00D07A00">
          <w:rPr>
            <w:noProof/>
            <w:webHidden/>
          </w:rPr>
          <w:t>54</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0" w:history="1">
        <w:r w:rsidR="00D07A00" w:rsidRPr="00C13D5A">
          <w:rPr>
            <w:rStyle w:val="Hipercze"/>
            <w:noProof/>
          </w:rPr>
          <w:t>3.7 Niezależni Audytorzy</w:t>
        </w:r>
        <w:r w:rsidR="00D07A00">
          <w:rPr>
            <w:noProof/>
            <w:webHidden/>
          </w:rPr>
          <w:tab/>
        </w:r>
        <w:r w:rsidR="00D07A00">
          <w:rPr>
            <w:noProof/>
            <w:webHidden/>
          </w:rPr>
          <w:fldChar w:fldCharType="begin"/>
        </w:r>
        <w:r w:rsidR="00D07A00">
          <w:rPr>
            <w:noProof/>
            <w:webHidden/>
          </w:rPr>
          <w:instrText xml:space="preserve"> PAGEREF _Toc530737580 \h </w:instrText>
        </w:r>
        <w:r w:rsidR="00D07A00">
          <w:rPr>
            <w:noProof/>
            <w:webHidden/>
          </w:rPr>
        </w:r>
        <w:r w:rsidR="00D07A00">
          <w:rPr>
            <w:noProof/>
            <w:webHidden/>
          </w:rPr>
          <w:fldChar w:fldCharType="separate"/>
        </w:r>
        <w:r w:rsidR="00D07A00">
          <w:rPr>
            <w:noProof/>
            <w:webHidden/>
          </w:rPr>
          <w:t>55</w:t>
        </w:r>
        <w:r w:rsidR="00D07A00">
          <w:rPr>
            <w:noProof/>
            <w:webHidden/>
          </w:rPr>
          <w:fldChar w:fldCharType="end"/>
        </w:r>
      </w:hyperlink>
    </w:p>
    <w:p w:rsidR="00D07A00" w:rsidRDefault="008741F4">
      <w:pPr>
        <w:pStyle w:val="Spistreci1"/>
        <w:tabs>
          <w:tab w:val="right" w:leader="dot" w:pos="9062"/>
        </w:tabs>
        <w:rPr>
          <w:rFonts w:asciiTheme="minorHAnsi" w:eastAsiaTheme="minorEastAsia" w:hAnsiTheme="minorHAnsi" w:cstheme="minorBidi"/>
          <w:noProof/>
          <w:lang w:eastAsia="pl-PL"/>
        </w:rPr>
      </w:pPr>
      <w:hyperlink w:anchor="_Toc530737581" w:history="1">
        <w:r w:rsidR="00D07A00" w:rsidRPr="00C13D5A">
          <w:rPr>
            <w:rStyle w:val="Hipercze"/>
            <w:noProof/>
          </w:rPr>
          <w:t>4. Wdrażanie Programu</w:t>
        </w:r>
        <w:r w:rsidR="00D07A00">
          <w:rPr>
            <w:noProof/>
            <w:webHidden/>
          </w:rPr>
          <w:tab/>
        </w:r>
        <w:r w:rsidR="00D07A00">
          <w:rPr>
            <w:noProof/>
            <w:webHidden/>
          </w:rPr>
          <w:fldChar w:fldCharType="begin"/>
        </w:r>
        <w:r w:rsidR="00D07A00">
          <w:rPr>
            <w:noProof/>
            <w:webHidden/>
          </w:rPr>
          <w:instrText xml:space="preserve"> PAGEREF _Toc530737581 \h </w:instrText>
        </w:r>
        <w:r w:rsidR="00D07A00">
          <w:rPr>
            <w:noProof/>
            <w:webHidden/>
          </w:rPr>
        </w:r>
        <w:r w:rsidR="00D07A00">
          <w:rPr>
            <w:noProof/>
            <w:webHidden/>
          </w:rPr>
          <w:fldChar w:fldCharType="separate"/>
        </w:r>
        <w:r w:rsidR="00D07A00">
          <w:rPr>
            <w:noProof/>
            <w:webHidden/>
          </w:rPr>
          <w:t>56</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2" w:history="1">
        <w:r w:rsidR="00D07A00" w:rsidRPr="00C13D5A">
          <w:rPr>
            <w:rStyle w:val="Hipercze"/>
            <w:rFonts w:cs="Calibri"/>
            <w:noProof/>
          </w:rPr>
          <w:t>4.1 Systemy zarządzania i kontroli</w:t>
        </w:r>
        <w:r w:rsidR="00D07A00">
          <w:rPr>
            <w:noProof/>
            <w:webHidden/>
          </w:rPr>
          <w:tab/>
        </w:r>
        <w:r w:rsidR="00D07A00">
          <w:rPr>
            <w:noProof/>
            <w:webHidden/>
          </w:rPr>
          <w:fldChar w:fldCharType="begin"/>
        </w:r>
        <w:r w:rsidR="00D07A00">
          <w:rPr>
            <w:noProof/>
            <w:webHidden/>
          </w:rPr>
          <w:instrText xml:space="preserve"> PAGEREF _Toc530737582 \h </w:instrText>
        </w:r>
        <w:r w:rsidR="00D07A00">
          <w:rPr>
            <w:noProof/>
            <w:webHidden/>
          </w:rPr>
        </w:r>
        <w:r w:rsidR="00D07A00">
          <w:rPr>
            <w:noProof/>
            <w:webHidden/>
          </w:rPr>
          <w:fldChar w:fldCharType="separate"/>
        </w:r>
        <w:r w:rsidR="00D07A00">
          <w:rPr>
            <w:noProof/>
            <w:webHidden/>
          </w:rPr>
          <w:t>56</w:t>
        </w:r>
        <w:r w:rsidR="00D07A00">
          <w:rPr>
            <w:noProof/>
            <w:webHidden/>
          </w:rPr>
          <w:fldChar w:fldCharType="end"/>
        </w:r>
      </w:hyperlink>
    </w:p>
    <w:p w:rsidR="00D07A00" w:rsidRDefault="008741F4">
      <w:pPr>
        <w:pStyle w:val="Spistreci3"/>
        <w:tabs>
          <w:tab w:val="right" w:leader="dot" w:pos="9062"/>
        </w:tabs>
        <w:rPr>
          <w:rFonts w:asciiTheme="minorHAnsi" w:eastAsiaTheme="minorEastAsia" w:hAnsiTheme="minorHAnsi" w:cstheme="minorBidi"/>
          <w:noProof/>
          <w:lang w:eastAsia="pl-PL"/>
        </w:rPr>
      </w:pPr>
      <w:hyperlink w:anchor="_Toc530737583" w:history="1">
        <w:r w:rsidR="00D07A00" w:rsidRPr="00C13D5A">
          <w:rPr>
            <w:rStyle w:val="Hipercze"/>
            <w:noProof/>
          </w:rPr>
          <w:t>4.1.1. Instytucje Programowe i ich funkcje</w:t>
        </w:r>
        <w:r w:rsidR="00D07A00">
          <w:rPr>
            <w:noProof/>
            <w:webHidden/>
          </w:rPr>
          <w:tab/>
        </w:r>
        <w:r w:rsidR="00D07A00">
          <w:rPr>
            <w:noProof/>
            <w:webHidden/>
          </w:rPr>
          <w:fldChar w:fldCharType="begin"/>
        </w:r>
        <w:r w:rsidR="00D07A00">
          <w:rPr>
            <w:noProof/>
            <w:webHidden/>
          </w:rPr>
          <w:instrText xml:space="preserve"> PAGEREF _Toc530737583 \h </w:instrText>
        </w:r>
        <w:r w:rsidR="00D07A00">
          <w:rPr>
            <w:noProof/>
            <w:webHidden/>
          </w:rPr>
        </w:r>
        <w:r w:rsidR="00D07A00">
          <w:rPr>
            <w:noProof/>
            <w:webHidden/>
          </w:rPr>
          <w:fldChar w:fldCharType="separate"/>
        </w:r>
        <w:r w:rsidR="00D07A00">
          <w:rPr>
            <w:noProof/>
            <w:webHidden/>
          </w:rPr>
          <w:t>56</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4" w:history="1">
        <w:r w:rsidR="00D07A00" w:rsidRPr="00C13D5A">
          <w:rPr>
            <w:rStyle w:val="Hipercze"/>
            <w:rFonts w:cs="Calibri"/>
            <w:noProof/>
          </w:rPr>
          <w:t>4.2 Ramy czasowe realizacji Programu</w:t>
        </w:r>
        <w:r w:rsidR="00D07A00">
          <w:rPr>
            <w:noProof/>
            <w:webHidden/>
          </w:rPr>
          <w:tab/>
        </w:r>
        <w:r w:rsidR="00D07A00">
          <w:rPr>
            <w:noProof/>
            <w:webHidden/>
          </w:rPr>
          <w:fldChar w:fldCharType="begin"/>
        </w:r>
        <w:r w:rsidR="00D07A00">
          <w:rPr>
            <w:noProof/>
            <w:webHidden/>
          </w:rPr>
          <w:instrText xml:space="preserve"> PAGEREF _Toc530737584 \h </w:instrText>
        </w:r>
        <w:r w:rsidR="00D07A00">
          <w:rPr>
            <w:noProof/>
            <w:webHidden/>
          </w:rPr>
        </w:r>
        <w:r w:rsidR="00D07A00">
          <w:rPr>
            <w:noProof/>
            <w:webHidden/>
          </w:rPr>
          <w:fldChar w:fldCharType="separate"/>
        </w:r>
        <w:r w:rsidR="00D07A00">
          <w:rPr>
            <w:noProof/>
            <w:webHidden/>
          </w:rPr>
          <w:t>58</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5" w:history="1">
        <w:r w:rsidR="00D07A00" w:rsidRPr="00C13D5A">
          <w:rPr>
            <w:rStyle w:val="Hipercze"/>
            <w:rFonts w:cs="Calibri"/>
            <w:noProof/>
          </w:rPr>
          <w:t>4.3 Procedura wyboru projektów</w:t>
        </w:r>
        <w:r w:rsidR="00D07A00">
          <w:rPr>
            <w:noProof/>
            <w:webHidden/>
          </w:rPr>
          <w:tab/>
        </w:r>
        <w:r w:rsidR="00D07A00">
          <w:rPr>
            <w:noProof/>
            <w:webHidden/>
          </w:rPr>
          <w:fldChar w:fldCharType="begin"/>
        </w:r>
        <w:r w:rsidR="00D07A00">
          <w:rPr>
            <w:noProof/>
            <w:webHidden/>
          </w:rPr>
          <w:instrText xml:space="preserve"> PAGEREF _Toc530737585 \h </w:instrText>
        </w:r>
        <w:r w:rsidR="00D07A00">
          <w:rPr>
            <w:noProof/>
            <w:webHidden/>
          </w:rPr>
        </w:r>
        <w:r w:rsidR="00D07A00">
          <w:rPr>
            <w:noProof/>
            <w:webHidden/>
          </w:rPr>
          <w:fldChar w:fldCharType="separate"/>
        </w:r>
        <w:r w:rsidR="00D07A00">
          <w:rPr>
            <w:noProof/>
            <w:webHidden/>
          </w:rPr>
          <w:t>58</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6" w:history="1">
        <w:r w:rsidR="00D07A00" w:rsidRPr="00C13D5A">
          <w:rPr>
            <w:rStyle w:val="Hipercze"/>
            <w:rFonts w:cs="Calibri"/>
            <w:noProof/>
          </w:rPr>
          <w:t>4.4 Projekty wybrane w procedurze bezpośredniego udzielenia zamówienia</w:t>
        </w:r>
        <w:r w:rsidR="00D07A00">
          <w:rPr>
            <w:noProof/>
            <w:webHidden/>
          </w:rPr>
          <w:tab/>
        </w:r>
        <w:r w:rsidR="00D07A00">
          <w:rPr>
            <w:noProof/>
            <w:webHidden/>
          </w:rPr>
          <w:fldChar w:fldCharType="begin"/>
        </w:r>
        <w:r w:rsidR="00D07A00">
          <w:rPr>
            <w:noProof/>
            <w:webHidden/>
          </w:rPr>
          <w:instrText xml:space="preserve"> PAGEREF _Toc530737586 \h </w:instrText>
        </w:r>
        <w:r w:rsidR="00D07A00">
          <w:rPr>
            <w:noProof/>
            <w:webHidden/>
          </w:rPr>
        </w:r>
        <w:r w:rsidR="00D07A00">
          <w:rPr>
            <w:noProof/>
            <w:webHidden/>
          </w:rPr>
          <w:fldChar w:fldCharType="separate"/>
        </w:r>
        <w:r w:rsidR="00D07A00">
          <w:rPr>
            <w:noProof/>
            <w:webHidden/>
          </w:rPr>
          <w:t>64</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7" w:history="1">
        <w:r w:rsidR="00D07A00" w:rsidRPr="00C13D5A">
          <w:rPr>
            <w:rStyle w:val="Hipercze"/>
            <w:rFonts w:cs="Calibri"/>
            <w:noProof/>
          </w:rPr>
          <w:t>4.5 Zasady kwalifikowalności wydatków</w:t>
        </w:r>
        <w:r w:rsidR="00D07A00">
          <w:rPr>
            <w:noProof/>
            <w:webHidden/>
          </w:rPr>
          <w:tab/>
        </w:r>
        <w:r w:rsidR="00D07A00">
          <w:rPr>
            <w:noProof/>
            <w:webHidden/>
          </w:rPr>
          <w:fldChar w:fldCharType="begin"/>
        </w:r>
        <w:r w:rsidR="00D07A00">
          <w:rPr>
            <w:noProof/>
            <w:webHidden/>
          </w:rPr>
          <w:instrText xml:space="preserve"> PAGEREF _Toc530737587 \h </w:instrText>
        </w:r>
        <w:r w:rsidR="00D07A00">
          <w:rPr>
            <w:noProof/>
            <w:webHidden/>
          </w:rPr>
        </w:r>
        <w:r w:rsidR="00D07A00">
          <w:rPr>
            <w:noProof/>
            <w:webHidden/>
          </w:rPr>
          <w:fldChar w:fldCharType="separate"/>
        </w:r>
        <w:r w:rsidR="00D07A00">
          <w:rPr>
            <w:noProof/>
            <w:webHidden/>
          </w:rPr>
          <w:t>70</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8" w:history="1">
        <w:r w:rsidR="00D07A00" w:rsidRPr="00C13D5A">
          <w:rPr>
            <w:rStyle w:val="Hipercze"/>
            <w:noProof/>
          </w:rPr>
          <w:t>4.6 Procedury zarządzania i kontroli finansowej</w:t>
        </w:r>
        <w:r w:rsidR="00D07A00">
          <w:rPr>
            <w:noProof/>
            <w:webHidden/>
          </w:rPr>
          <w:tab/>
        </w:r>
        <w:r w:rsidR="00D07A00">
          <w:rPr>
            <w:noProof/>
            <w:webHidden/>
          </w:rPr>
          <w:fldChar w:fldCharType="begin"/>
        </w:r>
        <w:r w:rsidR="00D07A00">
          <w:rPr>
            <w:noProof/>
            <w:webHidden/>
          </w:rPr>
          <w:instrText xml:space="preserve"> PAGEREF _Toc530737588 \h </w:instrText>
        </w:r>
        <w:r w:rsidR="00D07A00">
          <w:rPr>
            <w:noProof/>
            <w:webHidden/>
          </w:rPr>
        </w:r>
        <w:r w:rsidR="00D07A00">
          <w:rPr>
            <w:noProof/>
            <w:webHidden/>
          </w:rPr>
          <w:fldChar w:fldCharType="separate"/>
        </w:r>
        <w:r w:rsidR="00D07A00">
          <w:rPr>
            <w:noProof/>
            <w:webHidden/>
          </w:rPr>
          <w:t>74</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89" w:history="1">
        <w:r w:rsidR="00D07A00" w:rsidRPr="00C13D5A">
          <w:rPr>
            <w:rStyle w:val="Hipercze"/>
            <w:noProof/>
          </w:rPr>
          <w:t>4.7 Zasady dotyczące zamówień publicznych ogłaszanych przez beneficjentów oraz inne zasady, których należy przestrzegać</w:t>
        </w:r>
        <w:r w:rsidR="00D07A00">
          <w:rPr>
            <w:noProof/>
            <w:webHidden/>
          </w:rPr>
          <w:tab/>
        </w:r>
        <w:r w:rsidR="00D07A00">
          <w:rPr>
            <w:noProof/>
            <w:webHidden/>
          </w:rPr>
          <w:fldChar w:fldCharType="begin"/>
        </w:r>
        <w:r w:rsidR="00D07A00">
          <w:rPr>
            <w:noProof/>
            <w:webHidden/>
          </w:rPr>
          <w:instrText xml:space="preserve"> PAGEREF _Toc530737589 \h </w:instrText>
        </w:r>
        <w:r w:rsidR="00D07A00">
          <w:rPr>
            <w:noProof/>
            <w:webHidden/>
          </w:rPr>
        </w:r>
        <w:r w:rsidR="00D07A00">
          <w:rPr>
            <w:noProof/>
            <w:webHidden/>
          </w:rPr>
          <w:fldChar w:fldCharType="separate"/>
        </w:r>
        <w:r w:rsidR="00D07A00">
          <w:rPr>
            <w:noProof/>
            <w:webHidden/>
          </w:rPr>
          <w:t>77</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0" w:history="1">
        <w:r w:rsidR="00D07A00" w:rsidRPr="00C13D5A">
          <w:rPr>
            <w:rStyle w:val="Hipercze"/>
            <w:noProof/>
          </w:rPr>
          <w:t>4.8 System monitorowania i oceny</w:t>
        </w:r>
        <w:r w:rsidR="00D07A00">
          <w:rPr>
            <w:noProof/>
            <w:webHidden/>
          </w:rPr>
          <w:tab/>
        </w:r>
        <w:r w:rsidR="00D07A00">
          <w:rPr>
            <w:noProof/>
            <w:webHidden/>
          </w:rPr>
          <w:fldChar w:fldCharType="begin"/>
        </w:r>
        <w:r w:rsidR="00D07A00">
          <w:rPr>
            <w:noProof/>
            <w:webHidden/>
          </w:rPr>
          <w:instrText xml:space="preserve"> PAGEREF _Toc530737590 \h </w:instrText>
        </w:r>
        <w:r w:rsidR="00D07A00">
          <w:rPr>
            <w:noProof/>
            <w:webHidden/>
          </w:rPr>
        </w:r>
        <w:r w:rsidR="00D07A00">
          <w:rPr>
            <w:noProof/>
            <w:webHidden/>
          </w:rPr>
          <w:fldChar w:fldCharType="separate"/>
        </w:r>
        <w:r w:rsidR="00D07A00">
          <w:rPr>
            <w:noProof/>
            <w:webHidden/>
          </w:rPr>
          <w:t>78</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1" w:history="1">
        <w:r w:rsidR="00D07A00" w:rsidRPr="00C13D5A">
          <w:rPr>
            <w:rStyle w:val="Hipercze"/>
            <w:rFonts w:cs="Calibri"/>
            <w:noProof/>
          </w:rPr>
          <w:t>4.9 Podział odpowiedzialności między państwami uczestniczącymi</w:t>
        </w:r>
        <w:r w:rsidR="00D07A00">
          <w:rPr>
            <w:noProof/>
            <w:webHidden/>
          </w:rPr>
          <w:tab/>
        </w:r>
        <w:r w:rsidR="00D07A00">
          <w:rPr>
            <w:noProof/>
            <w:webHidden/>
          </w:rPr>
          <w:fldChar w:fldCharType="begin"/>
        </w:r>
        <w:r w:rsidR="00D07A00">
          <w:rPr>
            <w:noProof/>
            <w:webHidden/>
          </w:rPr>
          <w:instrText xml:space="preserve"> PAGEREF _Toc530737591 \h </w:instrText>
        </w:r>
        <w:r w:rsidR="00D07A00">
          <w:rPr>
            <w:noProof/>
            <w:webHidden/>
          </w:rPr>
        </w:r>
        <w:r w:rsidR="00D07A00">
          <w:rPr>
            <w:noProof/>
            <w:webHidden/>
          </w:rPr>
          <w:fldChar w:fldCharType="separate"/>
        </w:r>
        <w:r w:rsidR="00D07A00">
          <w:rPr>
            <w:noProof/>
            <w:webHidden/>
          </w:rPr>
          <w:t>81</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2" w:history="1">
        <w:r w:rsidR="00D07A00" w:rsidRPr="00C13D5A">
          <w:rPr>
            <w:rStyle w:val="Hipercze"/>
            <w:noProof/>
          </w:rPr>
          <w:t>4.10 Strategiczna Ocena Oddziaływania Programu na Środowisko</w:t>
        </w:r>
        <w:r w:rsidR="00D07A00">
          <w:rPr>
            <w:noProof/>
            <w:webHidden/>
          </w:rPr>
          <w:tab/>
        </w:r>
        <w:r w:rsidR="00D07A00">
          <w:rPr>
            <w:noProof/>
            <w:webHidden/>
          </w:rPr>
          <w:fldChar w:fldCharType="begin"/>
        </w:r>
        <w:r w:rsidR="00D07A00">
          <w:rPr>
            <w:noProof/>
            <w:webHidden/>
          </w:rPr>
          <w:instrText xml:space="preserve"> PAGEREF _Toc530737592 \h </w:instrText>
        </w:r>
        <w:r w:rsidR="00D07A00">
          <w:rPr>
            <w:noProof/>
            <w:webHidden/>
          </w:rPr>
        </w:r>
        <w:r w:rsidR="00D07A00">
          <w:rPr>
            <w:noProof/>
            <w:webHidden/>
          </w:rPr>
          <w:fldChar w:fldCharType="separate"/>
        </w:r>
        <w:r w:rsidR="00D07A00">
          <w:rPr>
            <w:noProof/>
            <w:webHidden/>
          </w:rPr>
          <w:t>84</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3" w:history="1">
        <w:r w:rsidR="00D07A00" w:rsidRPr="00C13D5A">
          <w:rPr>
            <w:rStyle w:val="Hipercze"/>
            <w:noProof/>
          </w:rPr>
          <w:t>4.11 Strategia komunikacyjna</w:t>
        </w:r>
        <w:r w:rsidR="00D07A00">
          <w:rPr>
            <w:noProof/>
            <w:webHidden/>
          </w:rPr>
          <w:tab/>
        </w:r>
        <w:r w:rsidR="00D07A00">
          <w:rPr>
            <w:noProof/>
            <w:webHidden/>
          </w:rPr>
          <w:fldChar w:fldCharType="begin"/>
        </w:r>
        <w:r w:rsidR="00D07A00">
          <w:rPr>
            <w:noProof/>
            <w:webHidden/>
          </w:rPr>
          <w:instrText xml:space="preserve"> PAGEREF _Toc530737593 \h </w:instrText>
        </w:r>
        <w:r w:rsidR="00D07A00">
          <w:rPr>
            <w:noProof/>
            <w:webHidden/>
          </w:rPr>
        </w:r>
        <w:r w:rsidR="00D07A00">
          <w:rPr>
            <w:noProof/>
            <w:webHidden/>
          </w:rPr>
          <w:fldChar w:fldCharType="separate"/>
        </w:r>
        <w:r w:rsidR="00D07A00">
          <w:rPr>
            <w:noProof/>
            <w:webHidden/>
          </w:rPr>
          <w:t>88</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4" w:history="1">
        <w:r w:rsidR="00D07A00" w:rsidRPr="00C13D5A">
          <w:rPr>
            <w:rStyle w:val="Hipercze"/>
            <w:rFonts w:cs="Calibri"/>
            <w:noProof/>
          </w:rPr>
          <w:t>4.12 System informatyczny Programu</w:t>
        </w:r>
        <w:r w:rsidR="00D07A00">
          <w:rPr>
            <w:noProof/>
            <w:webHidden/>
          </w:rPr>
          <w:tab/>
        </w:r>
        <w:r w:rsidR="00D07A00">
          <w:rPr>
            <w:noProof/>
            <w:webHidden/>
          </w:rPr>
          <w:fldChar w:fldCharType="begin"/>
        </w:r>
        <w:r w:rsidR="00D07A00">
          <w:rPr>
            <w:noProof/>
            <w:webHidden/>
          </w:rPr>
          <w:instrText xml:space="preserve"> PAGEREF _Toc530737594 \h </w:instrText>
        </w:r>
        <w:r w:rsidR="00D07A00">
          <w:rPr>
            <w:noProof/>
            <w:webHidden/>
          </w:rPr>
        </w:r>
        <w:r w:rsidR="00D07A00">
          <w:rPr>
            <w:noProof/>
            <w:webHidden/>
          </w:rPr>
          <w:fldChar w:fldCharType="separate"/>
        </w:r>
        <w:r w:rsidR="00D07A00">
          <w:rPr>
            <w:noProof/>
            <w:webHidden/>
          </w:rPr>
          <w:t>93</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5" w:history="1">
        <w:r w:rsidR="00D07A00" w:rsidRPr="00C13D5A">
          <w:rPr>
            <w:rStyle w:val="Hipercze"/>
            <w:rFonts w:cs="Calibri"/>
            <w:noProof/>
          </w:rPr>
          <w:t>4.13 Języki</w:t>
        </w:r>
        <w:r w:rsidR="00D07A00">
          <w:rPr>
            <w:noProof/>
            <w:webHidden/>
          </w:rPr>
          <w:tab/>
        </w:r>
        <w:r w:rsidR="00D07A00">
          <w:rPr>
            <w:noProof/>
            <w:webHidden/>
          </w:rPr>
          <w:fldChar w:fldCharType="begin"/>
        </w:r>
        <w:r w:rsidR="00D07A00">
          <w:rPr>
            <w:noProof/>
            <w:webHidden/>
          </w:rPr>
          <w:instrText xml:space="preserve"> PAGEREF _Toc530737595 \h </w:instrText>
        </w:r>
        <w:r w:rsidR="00D07A00">
          <w:rPr>
            <w:noProof/>
            <w:webHidden/>
          </w:rPr>
        </w:r>
        <w:r w:rsidR="00D07A00">
          <w:rPr>
            <w:noProof/>
            <w:webHidden/>
          </w:rPr>
          <w:fldChar w:fldCharType="separate"/>
        </w:r>
        <w:r w:rsidR="00D07A00">
          <w:rPr>
            <w:noProof/>
            <w:webHidden/>
          </w:rPr>
          <w:t>93</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6" w:history="1">
        <w:r w:rsidR="00D07A00" w:rsidRPr="00C13D5A">
          <w:rPr>
            <w:rStyle w:val="Hipercze"/>
            <w:rFonts w:cs="Calibri"/>
            <w:noProof/>
          </w:rPr>
          <w:t>4.14 Zastosowanie euro</w:t>
        </w:r>
        <w:r w:rsidR="00D07A00">
          <w:rPr>
            <w:noProof/>
            <w:webHidden/>
          </w:rPr>
          <w:tab/>
        </w:r>
        <w:r w:rsidR="00D07A00">
          <w:rPr>
            <w:noProof/>
            <w:webHidden/>
          </w:rPr>
          <w:fldChar w:fldCharType="begin"/>
        </w:r>
        <w:r w:rsidR="00D07A00">
          <w:rPr>
            <w:noProof/>
            <w:webHidden/>
          </w:rPr>
          <w:instrText xml:space="preserve"> PAGEREF _Toc530737596 \h </w:instrText>
        </w:r>
        <w:r w:rsidR="00D07A00">
          <w:rPr>
            <w:noProof/>
            <w:webHidden/>
          </w:rPr>
        </w:r>
        <w:r w:rsidR="00D07A00">
          <w:rPr>
            <w:noProof/>
            <w:webHidden/>
          </w:rPr>
          <w:fldChar w:fldCharType="separate"/>
        </w:r>
        <w:r w:rsidR="00D07A00">
          <w:rPr>
            <w:noProof/>
            <w:webHidden/>
          </w:rPr>
          <w:t>94</w:t>
        </w:r>
        <w:r w:rsidR="00D07A00">
          <w:rPr>
            <w:noProof/>
            <w:webHidden/>
          </w:rPr>
          <w:fldChar w:fldCharType="end"/>
        </w:r>
      </w:hyperlink>
    </w:p>
    <w:p w:rsidR="00D07A00" w:rsidRDefault="008741F4">
      <w:pPr>
        <w:pStyle w:val="Spistreci1"/>
        <w:tabs>
          <w:tab w:val="left" w:pos="440"/>
          <w:tab w:val="right" w:leader="dot" w:pos="9062"/>
        </w:tabs>
        <w:rPr>
          <w:rFonts w:asciiTheme="minorHAnsi" w:eastAsiaTheme="minorEastAsia" w:hAnsiTheme="minorHAnsi" w:cstheme="minorBidi"/>
          <w:noProof/>
          <w:lang w:eastAsia="pl-PL"/>
        </w:rPr>
      </w:pPr>
      <w:hyperlink w:anchor="_Toc530737597" w:history="1">
        <w:r w:rsidR="00D07A00" w:rsidRPr="00C13D5A">
          <w:rPr>
            <w:rStyle w:val="Hipercze"/>
            <w:rFonts w:cs="Calibri"/>
            <w:noProof/>
          </w:rPr>
          <w:t>5.</w:t>
        </w:r>
        <w:r w:rsidR="00D07A00">
          <w:rPr>
            <w:rFonts w:asciiTheme="minorHAnsi" w:eastAsiaTheme="minorEastAsia" w:hAnsiTheme="minorHAnsi" w:cstheme="minorBidi"/>
            <w:noProof/>
            <w:lang w:eastAsia="pl-PL"/>
          </w:rPr>
          <w:tab/>
        </w:r>
        <w:r w:rsidR="00D07A00" w:rsidRPr="00C13D5A">
          <w:rPr>
            <w:rStyle w:val="Hipercze"/>
            <w:rFonts w:cs="Calibri"/>
            <w:noProof/>
          </w:rPr>
          <w:t>Finanse Programu</w:t>
        </w:r>
        <w:r w:rsidR="00D07A00">
          <w:rPr>
            <w:noProof/>
            <w:webHidden/>
          </w:rPr>
          <w:tab/>
        </w:r>
        <w:r w:rsidR="00D07A00">
          <w:rPr>
            <w:noProof/>
            <w:webHidden/>
          </w:rPr>
          <w:fldChar w:fldCharType="begin"/>
        </w:r>
        <w:r w:rsidR="00D07A00">
          <w:rPr>
            <w:noProof/>
            <w:webHidden/>
          </w:rPr>
          <w:instrText xml:space="preserve"> PAGEREF _Toc530737597 \h </w:instrText>
        </w:r>
        <w:r w:rsidR="00D07A00">
          <w:rPr>
            <w:noProof/>
            <w:webHidden/>
          </w:rPr>
        </w:r>
        <w:r w:rsidR="00D07A00">
          <w:rPr>
            <w:noProof/>
            <w:webHidden/>
          </w:rPr>
          <w:fldChar w:fldCharType="separate"/>
        </w:r>
        <w:r w:rsidR="00D07A00">
          <w:rPr>
            <w:noProof/>
            <w:webHidden/>
          </w:rPr>
          <w:t>94</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8" w:history="1">
        <w:r w:rsidR="00D07A00" w:rsidRPr="00C13D5A">
          <w:rPr>
            <w:rStyle w:val="Hipercze"/>
            <w:rFonts w:cstheme="minorHAnsi"/>
            <w:noProof/>
          </w:rPr>
          <w:t>5.1 Orientacyjny plan finansowy</w:t>
        </w:r>
        <w:r w:rsidR="00D07A00">
          <w:rPr>
            <w:noProof/>
            <w:webHidden/>
          </w:rPr>
          <w:tab/>
        </w:r>
        <w:r w:rsidR="00D07A00">
          <w:rPr>
            <w:noProof/>
            <w:webHidden/>
          </w:rPr>
          <w:fldChar w:fldCharType="begin"/>
        </w:r>
        <w:r w:rsidR="00D07A00">
          <w:rPr>
            <w:noProof/>
            <w:webHidden/>
          </w:rPr>
          <w:instrText xml:space="preserve"> PAGEREF _Toc530737598 \h </w:instrText>
        </w:r>
        <w:r w:rsidR="00D07A00">
          <w:rPr>
            <w:noProof/>
            <w:webHidden/>
          </w:rPr>
        </w:r>
        <w:r w:rsidR="00D07A00">
          <w:rPr>
            <w:noProof/>
            <w:webHidden/>
          </w:rPr>
          <w:fldChar w:fldCharType="separate"/>
        </w:r>
        <w:r w:rsidR="00D07A00">
          <w:rPr>
            <w:noProof/>
            <w:webHidden/>
          </w:rPr>
          <w:t>94</w:t>
        </w:r>
        <w:r w:rsidR="00D07A00">
          <w:rPr>
            <w:noProof/>
            <w:webHidden/>
          </w:rPr>
          <w:fldChar w:fldCharType="end"/>
        </w:r>
      </w:hyperlink>
    </w:p>
    <w:p w:rsidR="00D07A00" w:rsidRDefault="008741F4">
      <w:pPr>
        <w:pStyle w:val="Spistreci2"/>
        <w:tabs>
          <w:tab w:val="right" w:leader="dot" w:pos="9062"/>
        </w:tabs>
        <w:rPr>
          <w:rFonts w:asciiTheme="minorHAnsi" w:eastAsiaTheme="minorEastAsia" w:hAnsiTheme="minorHAnsi" w:cstheme="minorBidi"/>
          <w:noProof/>
          <w:lang w:eastAsia="pl-PL"/>
        </w:rPr>
      </w:pPr>
      <w:hyperlink w:anchor="_Toc530737599" w:history="1">
        <w:r w:rsidR="00D07A00" w:rsidRPr="00C13D5A">
          <w:rPr>
            <w:rStyle w:val="Hipercze"/>
            <w:noProof/>
          </w:rPr>
          <w:t>5.2 Pomoc Techniczna</w:t>
        </w:r>
        <w:r w:rsidR="00D07A00">
          <w:rPr>
            <w:noProof/>
            <w:webHidden/>
          </w:rPr>
          <w:tab/>
        </w:r>
        <w:r w:rsidR="00D07A00">
          <w:rPr>
            <w:noProof/>
            <w:webHidden/>
          </w:rPr>
          <w:fldChar w:fldCharType="begin"/>
        </w:r>
        <w:r w:rsidR="00D07A00">
          <w:rPr>
            <w:noProof/>
            <w:webHidden/>
          </w:rPr>
          <w:instrText xml:space="preserve"> PAGEREF _Toc530737599 \h </w:instrText>
        </w:r>
        <w:r w:rsidR="00D07A00">
          <w:rPr>
            <w:noProof/>
            <w:webHidden/>
          </w:rPr>
        </w:r>
        <w:r w:rsidR="00D07A00">
          <w:rPr>
            <w:noProof/>
            <w:webHidden/>
          </w:rPr>
          <w:fldChar w:fldCharType="separate"/>
        </w:r>
        <w:r w:rsidR="00D07A00">
          <w:rPr>
            <w:noProof/>
            <w:webHidden/>
          </w:rPr>
          <w:t>96</w:t>
        </w:r>
        <w:r w:rsidR="00D07A00">
          <w:rPr>
            <w:noProof/>
            <w:webHidden/>
          </w:rPr>
          <w:fldChar w:fldCharType="end"/>
        </w:r>
      </w:hyperlink>
    </w:p>
    <w:p w:rsidR="00D07A00" w:rsidRDefault="008741F4">
      <w:pPr>
        <w:pStyle w:val="Spistreci1"/>
        <w:tabs>
          <w:tab w:val="right" w:leader="dot" w:pos="9062"/>
        </w:tabs>
        <w:rPr>
          <w:rFonts w:asciiTheme="minorHAnsi" w:eastAsiaTheme="minorEastAsia" w:hAnsiTheme="minorHAnsi" w:cstheme="minorBidi"/>
          <w:noProof/>
          <w:lang w:eastAsia="pl-PL"/>
        </w:rPr>
      </w:pPr>
      <w:hyperlink w:anchor="_Toc530737600" w:history="1">
        <w:r w:rsidR="00D07A00" w:rsidRPr="00C13D5A">
          <w:rPr>
            <w:rStyle w:val="Hipercze"/>
            <w:rFonts w:cs="Calibri"/>
            <w:noProof/>
          </w:rPr>
          <w:t>Lista tabel</w:t>
        </w:r>
        <w:r w:rsidR="00D07A00">
          <w:rPr>
            <w:noProof/>
            <w:webHidden/>
          </w:rPr>
          <w:tab/>
        </w:r>
        <w:r w:rsidR="00D07A00">
          <w:rPr>
            <w:noProof/>
            <w:webHidden/>
          </w:rPr>
          <w:fldChar w:fldCharType="begin"/>
        </w:r>
        <w:r w:rsidR="00D07A00">
          <w:rPr>
            <w:noProof/>
            <w:webHidden/>
          </w:rPr>
          <w:instrText xml:space="preserve"> PAGEREF _Toc530737600 \h </w:instrText>
        </w:r>
        <w:r w:rsidR="00D07A00">
          <w:rPr>
            <w:noProof/>
            <w:webHidden/>
          </w:rPr>
        </w:r>
        <w:r w:rsidR="00D07A00">
          <w:rPr>
            <w:noProof/>
            <w:webHidden/>
          </w:rPr>
          <w:fldChar w:fldCharType="separate"/>
        </w:r>
        <w:r w:rsidR="00D07A00">
          <w:rPr>
            <w:noProof/>
            <w:webHidden/>
          </w:rPr>
          <w:t>100</w:t>
        </w:r>
        <w:r w:rsidR="00D07A00">
          <w:rPr>
            <w:noProof/>
            <w:webHidden/>
          </w:rPr>
          <w:fldChar w:fldCharType="end"/>
        </w:r>
      </w:hyperlink>
    </w:p>
    <w:p w:rsidR="00D07A00" w:rsidRDefault="008741F4">
      <w:pPr>
        <w:pStyle w:val="Spistreci1"/>
        <w:tabs>
          <w:tab w:val="right" w:leader="dot" w:pos="9062"/>
        </w:tabs>
        <w:rPr>
          <w:rFonts w:asciiTheme="minorHAnsi" w:eastAsiaTheme="minorEastAsia" w:hAnsiTheme="minorHAnsi" w:cstheme="minorBidi"/>
          <w:noProof/>
          <w:lang w:eastAsia="pl-PL"/>
        </w:rPr>
      </w:pPr>
      <w:hyperlink w:anchor="_Toc530737601" w:history="1">
        <w:r w:rsidR="00D07A00" w:rsidRPr="00C13D5A">
          <w:rPr>
            <w:rStyle w:val="Hipercze"/>
            <w:rFonts w:cs="Calibri"/>
            <w:noProof/>
          </w:rPr>
          <w:t>Lista wykresów</w:t>
        </w:r>
        <w:r w:rsidR="00D07A00">
          <w:rPr>
            <w:noProof/>
            <w:webHidden/>
          </w:rPr>
          <w:tab/>
        </w:r>
        <w:r w:rsidR="00D07A00">
          <w:rPr>
            <w:noProof/>
            <w:webHidden/>
          </w:rPr>
          <w:fldChar w:fldCharType="begin"/>
        </w:r>
        <w:r w:rsidR="00D07A00">
          <w:rPr>
            <w:noProof/>
            <w:webHidden/>
          </w:rPr>
          <w:instrText xml:space="preserve"> PAGEREF _Toc530737601 \h </w:instrText>
        </w:r>
        <w:r w:rsidR="00D07A00">
          <w:rPr>
            <w:noProof/>
            <w:webHidden/>
          </w:rPr>
        </w:r>
        <w:r w:rsidR="00D07A00">
          <w:rPr>
            <w:noProof/>
            <w:webHidden/>
          </w:rPr>
          <w:fldChar w:fldCharType="separate"/>
        </w:r>
        <w:r w:rsidR="00D07A00">
          <w:rPr>
            <w:noProof/>
            <w:webHidden/>
          </w:rPr>
          <w:t>100</w:t>
        </w:r>
        <w:r w:rsidR="00D07A00">
          <w:rPr>
            <w:noProof/>
            <w:webHidden/>
          </w:rPr>
          <w:fldChar w:fldCharType="end"/>
        </w:r>
      </w:hyperlink>
    </w:p>
    <w:p w:rsidR="00D07A00" w:rsidRDefault="008741F4">
      <w:pPr>
        <w:pStyle w:val="Spistreci1"/>
        <w:tabs>
          <w:tab w:val="right" w:leader="dot" w:pos="9062"/>
        </w:tabs>
        <w:rPr>
          <w:rFonts w:asciiTheme="minorHAnsi" w:eastAsiaTheme="minorEastAsia" w:hAnsiTheme="minorHAnsi" w:cstheme="minorBidi"/>
          <w:noProof/>
          <w:lang w:eastAsia="pl-PL"/>
        </w:rPr>
      </w:pPr>
      <w:hyperlink w:anchor="_Toc530737602" w:history="1">
        <w:r w:rsidR="00D07A00" w:rsidRPr="00C13D5A">
          <w:rPr>
            <w:rStyle w:val="Hipercze"/>
            <w:rFonts w:cs="Calibri"/>
            <w:noProof/>
          </w:rPr>
          <w:t>Lista map</w:t>
        </w:r>
        <w:r w:rsidR="00D07A00">
          <w:rPr>
            <w:noProof/>
            <w:webHidden/>
          </w:rPr>
          <w:tab/>
        </w:r>
        <w:r w:rsidR="00D07A00">
          <w:rPr>
            <w:noProof/>
            <w:webHidden/>
          </w:rPr>
          <w:fldChar w:fldCharType="begin"/>
        </w:r>
        <w:r w:rsidR="00D07A00">
          <w:rPr>
            <w:noProof/>
            <w:webHidden/>
          </w:rPr>
          <w:instrText xml:space="preserve"> PAGEREF _Toc530737602 \h </w:instrText>
        </w:r>
        <w:r w:rsidR="00D07A00">
          <w:rPr>
            <w:noProof/>
            <w:webHidden/>
          </w:rPr>
        </w:r>
        <w:r w:rsidR="00D07A00">
          <w:rPr>
            <w:noProof/>
            <w:webHidden/>
          </w:rPr>
          <w:fldChar w:fldCharType="separate"/>
        </w:r>
        <w:r w:rsidR="00D07A00">
          <w:rPr>
            <w:noProof/>
            <w:webHidden/>
          </w:rPr>
          <w:t>100</w:t>
        </w:r>
        <w:r w:rsidR="00D07A00">
          <w:rPr>
            <w:noProof/>
            <w:webHidden/>
          </w:rPr>
          <w:fldChar w:fldCharType="end"/>
        </w:r>
      </w:hyperlink>
    </w:p>
    <w:p w:rsidR="00D07A00" w:rsidRDefault="008741F4">
      <w:pPr>
        <w:pStyle w:val="Spistreci1"/>
        <w:tabs>
          <w:tab w:val="right" w:leader="dot" w:pos="9062"/>
        </w:tabs>
        <w:rPr>
          <w:rFonts w:asciiTheme="minorHAnsi" w:eastAsiaTheme="minorEastAsia" w:hAnsiTheme="minorHAnsi" w:cstheme="minorBidi"/>
          <w:noProof/>
          <w:lang w:eastAsia="pl-PL"/>
        </w:rPr>
      </w:pPr>
      <w:hyperlink w:anchor="_Toc530737603" w:history="1">
        <w:r w:rsidR="00D07A00" w:rsidRPr="00C13D5A">
          <w:rPr>
            <w:rStyle w:val="Hipercze"/>
            <w:rFonts w:cs="Calibri"/>
            <w:noProof/>
          </w:rPr>
          <w:t>Lista aneksów</w:t>
        </w:r>
        <w:r w:rsidR="00D07A00">
          <w:rPr>
            <w:noProof/>
            <w:webHidden/>
          </w:rPr>
          <w:tab/>
        </w:r>
        <w:r w:rsidR="00D07A00">
          <w:rPr>
            <w:noProof/>
            <w:webHidden/>
          </w:rPr>
          <w:fldChar w:fldCharType="begin"/>
        </w:r>
        <w:r w:rsidR="00D07A00">
          <w:rPr>
            <w:noProof/>
            <w:webHidden/>
          </w:rPr>
          <w:instrText xml:space="preserve"> PAGEREF _Toc530737603 \h </w:instrText>
        </w:r>
        <w:r w:rsidR="00D07A00">
          <w:rPr>
            <w:noProof/>
            <w:webHidden/>
          </w:rPr>
        </w:r>
        <w:r w:rsidR="00D07A00">
          <w:rPr>
            <w:noProof/>
            <w:webHidden/>
          </w:rPr>
          <w:fldChar w:fldCharType="separate"/>
        </w:r>
        <w:r w:rsidR="00D07A00">
          <w:rPr>
            <w:noProof/>
            <w:webHidden/>
          </w:rPr>
          <w:t>100</w:t>
        </w:r>
        <w:r w:rsidR="00D07A00">
          <w:rPr>
            <w:noProof/>
            <w:webHidden/>
          </w:rPr>
          <w:fldChar w:fldCharType="end"/>
        </w:r>
      </w:hyperlink>
    </w:p>
    <w:p w:rsidR="00B2576C" w:rsidRPr="001268E7" w:rsidRDefault="00E12EC3" w:rsidP="004E08B4">
      <w:pPr>
        <w:spacing w:after="0" w:line="281" w:lineRule="auto"/>
        <w:rPr>
          <w:sz w:val="24"/>
          <w:szCs w:val="24"/>
        </w:rPr>
      </w:pPr>
      <w:r w:rsidRPr="00666F85">
        <w:rPr>
          <w:rFonts w:cs="Calibri"/>
          <w:sz w:val="24"/>
          <w:szCs w:val="24"/>
        </w:rPr>
        <w:fldChar w:fldCharType="end"/>
      </w:r>
    </w:p>
    <w:p w:rsidR="00B1144C" w:rsidRPr="001268E7" w:rsidRDefault="00B1144C">
      <w:pPr>
        <w:rPr>
          <w:rFonts w:cs="Calibri"/>
          <w:b/>
          <w:sz w:val="24"/>
          <w:szCs w:val="24"/>
        </w:rPr>
      </w:pPr>
      <w:r w:rsidRPr="001268E7">
        <w:rPr>
          <w:rFonts w:cs="Calibri"/>
          <w:b/>
          <w:sz w:val="24"/>
          <w:szCs w:val="24"/>
        </w:rPr>
        <w:br w:type="page"/>
      </w:r>
    </w:p>
    <w:p w:rsidR="00BD551D" w:rsidRPr="007B7A12" w:rsidRDefault="00666F85" w:rsidP="007B7A12">
      <w:pPr>
        <w:pStyle w:val="Nagwek1"/>
      </w:pPr>
      <w:bookmarkStart w:id="0" w:name="_Toc530737557"/>
      <w:bookmarkStart w:id="1" w:name="_Toc416269364"/>
      <w:bookmarkStart w:id="2" w:name="_Toc422145348"/>
      <w:r w:rsidRPr="007B7A12">
        <w:lastRenderedPageBreak/>
        <w:t>Wykaz skrótów</w:t>
      </w:r>
      <w:bookmarkEnd w:id="0"/>
    </w:p>
    <w:p w:rsidR="00B71030" w:rsidRPr="001268E7" w:rsidRDefault="00B71030" w:rsidP="00513ADE">
      <w:pPr>
        <w:spacing w:after="0" w:line="240" w:lineRule="auto"/>
        <w:jc w:val="both"/>
      </w:pPr>
    </w:p>
    <w:p w:rsidR="00B71030" w:rsidRPr="001268E7" w:rsidRDefault="00B71030" w:rsidP="00513ADE">
      <w:pPr>
        <w:spacing w:after="0" w:line="240" w:lineRule="auto"/>
        <w:jc w:val="both"/>
      </w:pPr>
    </w:p>
    <w:p w:rsidR="00B71030" w:rsidRPr="001268E7" w:rsidRDefault="001D6BB3" w:rsidP="001D6BB3">
      <w:pPr>
        <w:spacing w:after="0" w:line="240" w:lineRule="auto"/>
        <w:jc w:val="both"/>
      </w:pPr>
      <w:r w:rsidRPr="001268E7">
        <w:t>IA</w:t>
      </w:r>
      <w:r w:rsidR="00BD551D" w:rsidRPr="001268E7">
        <w:tab/>
      </w:r>
      <w:r w:rsidR="00BD551D" w:rsidRPr="001268E7">
        <w:tab/>
      </w:r>
      <w:r w:rsidRPr="001268E7">
        <w:t>Instytucja Audytowa</w:t>
      </w:r>
    </w:p>
    <w:p w:rsidR="00B71030" w:rsidRPr="001268E7" w:rsidRDefault="001D6BB3" w:rsidP="001D6BB3">
      <w:pPr>
        <w:spacing w:after="0" w:line="240" w:lineRule="auto"/>
        <w:jc w:val="both"/>
      </w:pPr>
      <w:r w:rsidRPr="001268E7">
        <w:t>Kontrola AIK</w:t>
      </w:r>
      <w:r w:rsidR="00BD551D" w:rsidRPr="001268E7">
        <w:tab/>
      </w:r>
      <w:r w:rsidR="00925662" w:rsidRPr="001268E7">
        <w:t>Kontrola Administracyjna i K</w:t>
      </w:r>
      <w:r w:rsidRPr="001268E7">
        <w:t>walifikowalności</w:t>
      </w:r>
    </w:p>
    <w:p w:rsidR="00B71030" w:rsidRPr="001268E7" w:rsidRDefault="001D6BB3" w:rsidP="001D6BB3">
      <w:pPr>
        <w:spacing w:after="0" w:line="240" w:lineRule="auto"/>
        <w:jc w:val="both"/>
      </w:pPr>
      <w:r w:rsidRPr="001268E7">
        <w:t>FA</w:t>
      </w:r>
      <w:r w:rsidR="00BD551D" w:rsidRPr="001268E7">
        <w:tab/>
      </w:r>
      <w:r w:rsidR="00BD551D" w:rsidRPr="001268E7">
        <w:tab/>
      </w:r>
      <w:r w:rsidR="00EC7E37" w:rsidRPr="001268E7">
        <w:t>Formularz A</w:t>
      </w:r>
      <w:r w:rsidRPr="001268E7">
        <w:t>plikacyjny</w:t>
      </w:r>
      <w:r w:rsidR="00BD551D" w:rsidRPr="001268E7">
        <w:t xml:space="preserve"> </w:t>
      </w:r>
    </w:p>
    <w:p w:rsidR="00B71030" w:rsidRPr="001268E7" w:rsidRDefault="001D6BB3" w:rsidP="001D6BB3">
      <w:pPr>
        <w:spacing w:after="0" w:line="240" w:lineRule="auto"/>
        <w:jc w:val="both"/>
      </w:pPr>
      <w:r w:rsidRPr="001268E7">
        <w:t>BO</w:t>
      </w:r>
      <w:r w:rsidR="00BD551D" w:rsidRPr="001268E7">
        <w:t xml:space="preserve"> </w:t>
      </w:r>
      <w:r w:rsidR="00BD551D" w:rsidRPr="001268E7">
        <w:tab/>
      </w:r>
      <w:r w:rsidR="00BD551D" w:rsidRPr="001268E7">
        <w:tab/>
      </w:r>
      <w:r w:rsidR="0059592A" w:rsidRPr="001268E7">
        <w:t>Oddział (Branch Office)</w:t>
      </w:r>
    </w:p>
    <w:p w:rsidR="00B71030" w:rsidRPr="000627EB" w:rsidRDefault="00681E55" w:rsidP="001D6BB3">
      <w:pPr>
        <w:spacing w:after="0" w:line="240" w:lineRule="auto"/>
        <w:jc w:val="both"/>
        <w:rPr>
          <w:lang w:val="en-GB"/>
        </w:rPr>
      </w:pPr>
      <w:r w:rsidRPr="000627EB">
        <w:rPr>
          <w:lang w:val="en-GB"/>
        </w:rPr>
        <w:t>CBC</w:t>
      </w:r>
      <w:r w:rsidRPr="000627EB">
        <w:rPr>
          <w:lang w:val="en-GB"/>
        </w:rPr>
        <w:tab/>
      </w:r>
      <w:r w:rsidRPr="000627EB">
        <w:rPr>
          <w:lang w:val="en-GB"/>
        </w:rPr>
        <w:tab/>
      </w:r>
      <w:r w:rsidR="00925662" w:rsidRPr="000627EB">
        <w:rPr>
          <w:lang w:val="en-GB"/>
        </w:rPr>
        <w:t>Współpraca T</w:t>
      </w:r>
      <w:r w:rsidR="001D6BB3" w:rsidRPr="000627EB">
        <w:rPr>
          <w:lang w:val="en-GB"/>
        </w:rPr>
        <w:t>ransgraniczna</w:t>
      </w:r>
      <w:r w:rsidRPr="000627EB">
        <w:rPr>
          <w:lang w:val="en-GB"/>
        </w:rPr>
        <w:t xml:space="preserve"> </w:t>
      </w:r>
      <w:r w:rsidR="00056C0B" w:rsidRPr="000627EB">
        <w:rPr>
          <w:lang w:val="en-GB"/>
        </w:rPr>
        <w:t>(Cross-B</w:t>
      </w:r>
      <w:r w:rsidR="001D6BB3" w:rsidRPr="000627EB">
        <w:rPr>
          <w:lang w:val="en-GB"/>
        </w:rPr>
        <w:t>order Cooperation)</w:t>
      </w:r>
    </w:p>
    <w:p w:rsidR="00B71030" w:rsidRPr="001268E7" w:rsidRDefault="001D6BB3" w:rsidP="001D6BB3">
      <w:pPr>
        <w:spacing w:after="0" w:line="240" w:lineRule="auto"/>
        <w:jc w:val="both"/>
      </w:pPr>
      <w:r w:rsidRPr="001268E7">
        <w:t>KPK</w:t>
      </w:r>
      <w:r w:rsidR="00BD551D" w:rsidRPr="001268E7">
        <w:tab/>
      </w:r>
      <w:r w:rsidR="00BD551D" w:rsidRPr="001268E7">
        <w:tab/>
      </w:r>
      <w:r w:rsidRPr="001268E7">
        <w:t>Kontrolny Punkt Kontaktowy</w:t>
      </w:r>
    </w:p>
    <w:p w:rsidR="00B71030" w:rsidRPr="001268E7" w:rsidRDefault="001D6BB3" w:rsidP="001D6BB3">
      <w:pPr>
        <w:spacing w:after="0" w:line="240" w:lineRule="auto"/>
        <w:jc w:val="both"/>
      </w:pPr>
      <w:r w:rsidRPr="001268E7">
        <w:t>ZSW</w:t>
      </w:r>
      <w:r w:rsidR="00BD551D" w:rsidRPr="001268E7">
        <w:tab/>
      </w:r>
      <w:r w:rsidR="00BD551D" w:rsidRPr="001268E7">
        <w:tab/>
      </w:r>
      <w:r w:rsidRPr="001268E7">
        <w:t>Zaproszenie do składania wniosków</w:t>
      </w:r>
    </w:p>
    <w:p w:rsidR="00B71030" w:rsidRPr="001268E7" w:rsidRDefault="001D6BB3" w:rsidP="001D6BB3">
      <w:pPr>
        <w:spacing w:after="0" w:line="240" w:lineRule="auto"/>
        <w:jc w:val="both"/>
      </w:pPr>
      <w:r w:rsidRPr="001268E7">
        <w:t>KE</w:t>
      </w:r>
      <w:r w:rsidR="00BD551D" w:rsidRPr="001268E7">
        <w:tab/>
      </w:r>
      <w:r w:rsidR="00BD551D" w:rsidRPr="001268E7">
        <w:tab/>
      </w:r>
      <w:r w:rsidRPr="001268E7">
        <w:t>Komisja Europejska</w:t>
      </w:r>
    </w:p>
    <w:p w:rsidR="00B71030" w:rsidRPr="001268E7" w:rsidRDefault="001D6BB3" w:rsidP="001D6BB3">
      <w:pPr>
        <w:spacing w:after="0" w:line="240" w:lineRule="auto"/>
        <w:jc w:val="both"/>
      </w:pPr>
      <w:r w:rsidRPr="001268E7">
        <w:t>EFRR</w:t>
      </w:r>
      <w:r w:rsidR="00BD551D" w:rsidRPr="001268E7">
        <w:tab/>
      </w:r>
      <w:r w:rsidR="00BD551D" w:rsidRPr="001268E7">
        <w:tab/>
      </w:r>
      <w:r w:rsidRPr="001268E7">
        <w:t>Europejski Fundusz Rozwoju Regionalnego</w:t>
      </w:r>
    </w:p>
    <w:p w:rsidR="00B71030" w:rsidRPr="001268E7" w:rsidRDefault="001D6BB3" w:rsidP="001D6BB3">
      <w:pPr>
        <w:spacing w:after="0" w:line="240" w:lineRule="auto"/>
        <w:jc w:val="both"/>
      </w:pPr>
      <w:r w:rsidRPr="001268E7">
        <w:t>EIS</w:t>
      </w:r>
      <w:r w:rsidR="00BD551D" w:rsidRPr="001268E7">
        <w:tab/>
      </w:r>
      <w:r w:rsidR="00BD551D" w:rsidRPr="001268E7">
        <w:tab/>
      </w:r>
      <w:r w:rsidRPr="001268E7">
        <w:t>Europejski Instrument Sąsiedztwa</w:t>
      </w:r>
    </w:p>
    <w:p w:rsidR="00B71030" w:rsidRPr="001268E7" w:rsidRDefault="001D6BB3" w:rsidP="001D6BB3">
      <w:pPr>
        <w:spacing w:after="0" w:line="240" w:lineRule="auto"/>
        <w:jc w:val="both"/>
      </w:pPr>
      <w:r w:rsidRPr="001268E7">
        <w:t>EISP</w:t>
      </w:r>
      <w:r w:rsidR="00BD551D" w:rsidRPr="001268E7">
        <w:tab/>
      </w:r>
      <w:r w:rsidR="00BD551D" w:rsidRPr="001268E7">
        <w:tab/>
      </w:r>
      <w:r w:rsidRPr="001268E7">
        <w:t>Europejski Instrument Sąsiedztwa i Partnerstwa</w:t>
      </w:r>
    </w:p>
    <w:p w:rsidR="00B71030" w:rsidRDefault="001D6BB3" w:rsidP="001D6BB3">
      <w:pPr>
        <w:spacing w:after="0" w:line="240" w:lineRule="auto"/>
        <w:jc w:val="both"/>
      </w:pPr>
      <w:r w:rsidRPr="001268E7">
        <w:t>UE</w:t>
      </w:r>
      <w:r w:rsidR="00BD551D" w:rsidRPr="001268E7">
        <w:tab/>
      </w:r>
      <w:r w:rsidR="00BD551D" w:rsidRPr="001268E7">
        <w:tab/>
      </w:r>
      <w:r w:rsidRPr="001268E7">
        <w:t>Unia Europejska</w:t>
      </w:r>
    </w:p>
    <w:p w:rsidR="00E935CF" w:rsidRPr="001268E7" w:rsidRDefault="00E935CF" w:rsidP="00E935CF">
      <w:pPr>
        <w:spacing w:after="0" w:line="240" w:lineRule="auto"/>
        <w:ind w:left="1410" w:hanging="1410"/>
        <w:jc w:val="both"/>
      </w:pPr>
      <w:r>
        <w:t>UF</w:t>
      </w:r>
      <w:r>
        <w:tab/>
      </w:r>
      <w:r>
        <w:tab/>
      </w:r>
      <w:r w:rsidRPr="00E935CF">
        <w:t>Umowa w sprawie finansowania i realizacji Programu Współpracy Transgranicznej Polska-Rosja 2014-2020 (umowa finansowa);</w:t>
      </w:r>
    </w:p>
    <w:p w:rsidR="00B71030" w:rsidRPr="001268E7" w:rsidRDefault="001D6BB3" w:rsidP="001D6BB3">
      <w:pPr>
        <w:spacing w:after="0" w:line="240" w:lineRule="auto"/>
        <w:jc w:val="both"/>
      </w:pPr>
      <w:r w:rsidRPr="001268E7">
        <w:t>FAQ</w:t>
      </w:r>
      <w:r w:rsidR="00BD551D" w:rsidRPr="001268E7">
        <w:tab/>
      </w:r>
      <w:r w:rsidR="00BD551D" w:rsidRPr="001268E7">
        <w:tab/>
      </w:r>
      <w:r w:rsidRPr="001268E7">
        <w:t>Często zadawane pytania (Frequently Asked Questions)</w:t>
      </w:r>
    </w:p>
    <w:p w:rsidR="00B71030" w:rsidRPr="001268E7" w:rsidRDefault="001D6BB3" w:rsidP="001D6BB3">
      <w:pPr>
        <w:spacing w:after="0" w:line="240" w:lineRule="auto"/>
        <w:jc w:val="both"/>
      </w:pPr>
      <w:r w:rsidRPr="001268E7">
        <w:t>GA</w:t>
      </w:r>
      <w:r w:rsidR="00BD551D" w:rsidRPr="001268E7">
        <w:tab/>
      </w:r>
      <w:r w:rsidR="00BD551D" w:rsidRPr="001268E7">
        <w:tab/>
      </w:r>
      <w:r w:rsidRPr="001268E7">
        <w:t>Grupa Audytorów</w:t>
      </w:r>
    </w:p>
    <w:p w:rsidR="00B71030" w:rsidRPr="001268E7" w:rsidRDefault="001D6BB3" w:rsidP="001D6BB3">
      <w:pPr>
        <w:spacing w:after="0" w:line="240" w:lineRule="auto"/>
        <w:jc w:val="both"/>
      </w:pPr>
      <w:r w:rsidRPr="001268E7">
        <w:t>IP</w:t>
      </w:r>
      <w:r w:rsidR="00C36153" w:rsidRPr="001268E7">
        <w:tab/>
      </w:r>
      <w:r w:rsidR="00C36153" w:rsidRPr="001268E7">
        <w:tab/>
      </w:r>
      <w:r w:rsidRPr="001268E7">
        <w:t>Instytucja Pośrednicząca</w:t>
      </w:r>
    </w:p>
    <w:p w:rsidR="00B71030" w:rsidRPr="001268E7" w:rsidRDefault="00DF4D3E" w:rsidP="00DF4D3E">
      <w:pPr>
        <w:spacing w:after="0" w:line="240" w:lineRule="auto"/>
        <w:ind w:left="1410" w:hanging="1410"/>
        <w:jc w:val="both"/>
      </w:pPr>
      <w:r w:rsidRPr="001268E7">
        <w:t>RW</w:t>
      </w:r>
      <w:r w:rsidR="00C36153" w:rsidRPr="001268E7">
        <w:tab/>
      </w:r>
      <w:r w:rsidR="00C36153" w:rsidRPr="001268E7">
        <w:tab/>
      </w:r>
      <w:r w:rsidRPr="001268E7">
        <w:t xml:space="preserve">Rozporządzenie </w:t>
      </w:r>
      <w:r w:rsidRPr="001268E7">
        <w:rPr>
          <w:rFonts w:cs="Calibri"/>
          <w:lang w:eastAsia="pl-PL"/>
        </w:rPr>
        <w:t>Wykonawcze Komisji (UE) nr 897/2014 z dnia 18 sierpnia 2014 r. ustanawiające przepisy szczegółowe dotyczące wdrażania programów współpracy transgranicznej finansowanych na podstawie rozporządzenia Parlamentu Europejskiego i Rady (UE) nr 232/2014 ustanawiającego Europejski Instrument Sąsiedztwa</w:t>
      </w:r>
    </w:p>
    <w:p w:rsidR="00B71030" w:rsidRPr="001268E7" w:rsidRDefault="00DF4D3E" w:rsidP="00DF4D3E">
      <w:pPr>
        <w:spacing w:after="0" w:line="240" w:lineRule="auto"/>
        <w:ind w:left="1410" w:hanging="1410"/>
        <w:jc w:val="both"/>
      </w:pPr>
      <w:r w:rsidRPr="001268E7">
        <w:t>WKM</w:t>
      </w:r>
      <w:r w:rsidR="00C36153" w:rsidRPr="001268E7">
        <w:tab/>
      </w:r>
      <w:r w:rsidR="00C36153" w:rsidRPr="001268E7">
        <w:tab/>
      </w:r>
      <w:r w:rsidRPr="001268E7">
        <w:t>Wspólny Komitet Monitorujący</w:t>
      </w:r>
    </w:p>
    <w:p w:rsidR="00B71030" w:rsidRPr="001268E7" w:rsidRDefault="00DF4D3E" w:rsidP="00DF4D3E">
      <w:pPr>
        <w:spacing w:after="0" w:line="240" w:lineRule="auto"/>
        <w:ind w:left="1410" w:hanging="1410"/>
        <w:jc w:val="both"/>
      </w:pPr>
      <w:r w:rsidRPr="001268E7">
        <w:t>WPO</w:t>
      </w:r>
      <w:r w:rsidR="00C36153" w:rsidRPr="001268E7">
        <w:tab/>
      </w:r>
      <w:r w:rsidRPr="001268E7">
        <w:t>Wspólny Program Operacyjny</w:t>
      </w:r>
    </w:p>
    <w:p w:rsidR="00B71030" w:rsidRPr="001268E7" w:rsidRDefault="00DF4D3E" w:rsidP="00DF4D3E">
      <w:pPr>
        <w:spacing w:after="0" w:line="240" w:lineRule="auto"/>
        <w:ind w:left="1410" w:hanging="1410"/>
        <w:jc w:val="both"/>
      </w:pPr>
      <w:r w:rsidRPr="001268E7">
        <w:t>WST</w:t>
      </w:r>
      <w:r w:rsidR="00C36153" w:rsidRPr="001268E7">
        <w:tab/>
      </w:r>
      <w:r w:rsidRPr="001268E7">
        <w:t>Wspólny Sekretariat Techniczny</w:t>
      </w:r>
    </w:p>
    <w:p w:rsidR="00B71030" w:rsidRPr="001268E7" w:rsidRDefault="00DF4D3E" w:rsidP="00DF4D3E">
      <w:pPr>
        <w:spacing w:after="0" w:line="240" w:lineRule="auto"/>
        <w:ind w:left="1410" w:hanging="1410"/>
        <w:jc w:val="both"/>
      </w:pPr>
      <w:r w:rsidRPr="001268E7">
        <w:t>DPI</w:t>
      </w:r>
      <w:r w:rsidR="00C36153" w:rsidRPr="001268E7">
        <w:tab/>
      </w:r>
      <w:r w:rsidRPr="001268E7">
        <w:t>Duży Projekt Infrastrukturalny</w:t>
      </w:r>
    </w:p>
    <w:p w:rsidR="00B71030" w:rsidRPr="001268E7" w:rsidRDefault="00DF4D3E" w:rsidP="00DF4D3E">
      <w:pPr>
        <w:spacing w:after="0" w:line="240" w:lineRule="auto"/>
        <w:ind w:left="1410" w:hanging="1410"/>
        <w:jc w:val="both"/>
      </w:pPr>
      <w:r w:rsidRPr="001268E7">
        <w:t>IZ</w:t>
      </w:r>
      <w:r w:rsidR="00C36153" w:rsidRPr="001268E7">
        <w:tab/>
      </w:r>
      <w:r w:rsidRPr="001268E7">
        <w:t>Instytucja Zarządzająca</w:t>
      </w:r>
    </w:p>
    <w:p w:rsidR="00B71030" w:rsidRPr="001268E7" w:rsidRDefault="00DF4D3E" w:rsidP="00DF4D3E">
      <w:pPr>
        <w:spacing w:after="0" w:line="240" w:lineRule="auto"/>
        <w:ind w:left="1410" w:hanging="1410"/>
        <w:jc w:val="both"/>
      </w:pPr>
      <w:r w:rsidRPr="001268E7">
        <w:t>PC</w:t>
      </w:r>
      <w:r w:rsidR="00C36153" w:rsidRPr="001268E7">
        <w:tab/>
      </w:r>
      <w:r w:rsidR="0059592A" w:rsidRPr="001268E7">
        <w:t>Państwo C</w:t>
      </w:r>
      <w:r w:rsidRPr="001268E7">
        <w:t>złonkowskie</w:t>
      </w:r>
    </w:p>
    <w:p w:rsidR="00B71030" w:rsidRPr="001268E7" w:rsidRDefault="00DF4D3E" w:rsidP="00DF4D3E">
      <w:pPr>
        <w:spacing w:after="0" w:line="240" w:lineRule="auto"/>
        <w:ind w:left="1410" w:hanging="1410"/>
        <w:jc w:val="both"/>
      </w:pPr>
      <w:r w:rsidRPr="001268E7">
        <w:t>IK</w:t>
      </w:r>
      <w:r w:rsidR="00C36153" w:rsidRPr="001268E7">
        <w:tab/>
      </w:r>
      <w:r w:rsidRPr="001268E7">
        <w:t>Instytucja Krajowa</w:t>
      </w:r>
    </w:p>
    <w:p w:rsidR="00B71030" w:rsidRPr="001268E7" w:rsidRDefault="00DF4D3E" w:rsidP="000667E9">
      <w:pPr>
        <w:spacing w:after="0" w:line="240" w:lineRule="auto"/>
        <w:ind w:left="1410" w:hanging="1410"/>
        <w:jc w:val="both"/>
      </w:pPr>
      <w:r w:rsidRPr="001268E7">
        <w:t>NUTS</w:t>
      </w:r>
      <w:r w:rsidR="00C36153" w:rsidRPr="001268E7">
        <w:tab/>
      </w:r>
      <w:r w:rsidRPr="001268E7">
        <w:rPr>
          <w:rFonts w:cs="Calibri"/>
          <w:lang w:eastAsia="pl-PL"/>
        </w:rPr>
        <w:t xml:space="preserve">Klasyfikacja Jednostek Terytorialnych do Celów Statystycznych </w:t>
      </w:r>
    </w:p>
    <w:p w:rsidR="00B71030" w:rsidRPr="001268E7" w:rsidRDefault="000667E9" w:rsidP="000667E9">
      <w:pPr>
        <w:spacing w:after="0" w:line="240" w:lineRule="auto"/>
        <w:ind w:left="1410" w:hanging="1410"/>
        <w:jc w:val="both"/>
      </w:pPr>
      <w:r w:rsidRPr="001268E7">
        <w:t>OLAF</w:t>
      </w:r>
      <w:r w:rsidR="00C36153" w:rsidRPr="001268E7">
        <w:tab/>
      </w:r>
      <w:r w:rsidRPr="001268E7">
        <w:rPr>
          <w:rFonts w:cs="Calibri"/>
          <w:lang w:eastAsia="pl-PL"/>
        </w:rPr>
        <w:t>Europejski Urząd ds. Zwalczania Nadużyć Finansowych</w:t>
      </w:r>
    </w:p>
    <w:p w:rsidR="00B71030" w:rsidRPr="001268E7" w:rsidRDefault="000667E9" w:rsidP="000667E9">
      <w:pPr>
        <w:spacing w:after="0" w:line="240" w:lineRule="auto"/>
        <w:ind w:left="1410" w:hanging="1410"/>
        <w:jc w:val="both"/>
      </w:pPr>
      <w:r w:rsidRPr="001268E7">
        <w:t>SZiKP</w:t>
      </w:r>
      <w:r w:rsidR="00C36153" w:rsidRPr="001268E7">
        <w:tab/>
      </w:r>
      <w:r w:rsidRPr="001268E7">
        <w:t>System Zarządzania i Kontroli Programu</w:t>
      </w:r>
    </w:p>
    <w:p w:rsidR="00B71030" w:rsidRPr="001268E7" w:rsidRDefault="00056C0B" w:rsidP="000667E9">
      <w:pPr>
        <w:spacing w:after="0" w:line="240" w:lineRule="auto"/>
        <w:ind w:left="1410" w:hanging="1410"/>
        <w:jc w:val="both"/>
      </w:pPr>
      <w:r w:rsidRPr="001268E7">
        <w:t>ZP</w:t>
      </w:r>
      <w:r w:rsidR="00C36153" w:rsidRPr="001268E7">
        <w:tab/>
      </w:r>
      <w:r w:rsidRPr="001268E7">
        <w:t>Zasady Postępowania</w:t>
      </w:r>
    </w:p>
    <w:p w:rsidR="00B71030" w:rsidRPr="001268E7" w:rsidRDefault="000667E9" w:rsidP="000667E9">
      <w:pPr>
        <w:spacing w:after="0" w:line="240" w:lineRule="auto"/>
        <w:ind w:left="1410" w:hanging="1410"/>
        <w:jc w:val="both"/>
      </w:pPr>
      <w:r w:rsidRPr="001268E7">
        <w:t>SOOŚ</w:t>
      </w:r>
      <w:r w:rsidR="00C36153" w:rsidRPr="001268E7">
        <w:tab/>
      </w:r>
      <w:r w:rsidR="00925662" w:rsidRPr="001268E7">
        <w:t>Strategiczna Ocena Oddziaływania na Ś</w:t>
      </w:r>
      <w:r w:rsidRPr="001268E7">
        <w:t>rodowisko</w:t>
      </w:r>
    </w:p>
    <w:p w:rsidR="00B71030" w:rsidRPr="001268E7" w:rsidRDefault="000667E9" w:rsidP="000667E9">
      <w:pPr>
        <w:spacing w:after="0" w:line="240" w:lineRule="auto"/>
        <w:ind w:left="1410" w:hanging="1410"/>
        <w:jc w:val="both"/>
      </w:pPr>
      <w:r w:rsidRPr="001268E7">
        <w:t>PT</w:t>
      </w:r>
      <w:r w:rsidR="00C36153" w:rsidRPr="001268E7">
        <w:tab/>
      </w:r>
      <w:r w:rsidRPr="001268E7">
        <w:t>Po</w:t>
      </w:r>
      <w:r w:rsidR="00925662" w:rsidRPr="001268E7">
        <w:t>moc T</w:t>
      </w:r>
      <w:r w:rsidRPr="001268E7">
        <w:t>echniczna</w:t>
      </w:r>
    </w:p>
    <w:p w:rsidR="00B71030" w:rsidRPr="001268E7" w:rsidRDefault="000667E9" w:rsidP="000667E9">
      <w:pPr>
        <w:spacing w:after="0" w:line="240" w:lineRule="auto"/>
        <w:ind w:left="1410" w:hanging="1410"/>
        <w:jc w:val="both"/>
      </w:pPr>
      <w:r w:rsidRPr="001268E7">
        <w:t>CT</w:t>
      </w:r>
      <w:r w:rsidR="00C36153" w:rsidRPr="001268E7">
        <w:tab/>
      </w:r>
      <w:r w:rsidR="0059592A" w:rsidRPr="001268E7">
        <w:t>Cel T</w:t>
      </w:r>
      <w:r w:rsidRPr="001268E7">
        <w:t>ematyczny</w:t>
      </w:r>
    </w:p>
    <w:p w:rsidR="00B71030" w:rsidRPr="001268E7" w:rsidRDefault="00B71030">
      <w:pPr>
        <w:spacing w:after="0" w:line="240" w:lineRule="auto"/>
        <w:ind w:left="1410" w:hanging="1410"/>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BD551D" w:rsidRPr="001268E7" w:rsidRDefault="00BD551D" w:rsidP="00BD551D">
      <w:pPr>
        <w:spacing w:after="0" w:line="240" w:lineRule="auto"/>
      </w:pPr>
    </w:p>
    <w:p w:rsidR="003B42AD" w:rsidRPr="001268E7" w:rsidRDefault="003A2F28" w:rsidP="000667E9">
      <w:pPr>
        <w:pStyle w:val="Nagwek1"/>
      </w:pPr>
      <w:bookmarkStart w:id="3" w:name="_Toc530737558"/>
      <w:bookmarkEnd w:id="1"/>
      <w:bookmarkEnd w:id="2"/>
      <w:r>
        <w:lastRenderedPageBreak/>
        <w:t>Wprowadzenie</w:t>
      </w:r>
      <w:bookmarkEnd w:id="3"/>
    </w:p>
    <w:p w:rsidR="008E02DA" w:rsidRPr="001268E7" w:rsidRDefault="000667E9" w:rsidP="000667E9">
      <w:pPr>
        <w:spacing w:before="100" w:beforeAutospacing="1" w:after="100" w:afterAutospacing="1" w:line="240" w:lineRule="auto"/>
        <w:jc w:val="both"/>
        <w:rPr>
          <w:color w:val="00B0F0"/>
          <w:sz w:val="24"/>
        </w:rPr>
      </w:pPr>
      <w:r w:rsidRPr="001268E7">
        <w:rPr>
          <w:rFonts w:cstheme="minorHAnsi"/>
          <w:sz w:val="24"/>
          <w:szCs w:val="24"/>
        </w:rPr>
        <w:t xml:space="preserve">Program Współpracy Transgranicznej </w:t>
      </w:r>
      <w:r w:rsidR="00925662" w:rsidRPr="001268E7">
        <w:rPr>
          <w:rFonts w:cstheme="minorHAnsi"/>
          <w:sz w:val="24"/>
          <w:szCs w:val="24"/>
        </w:rPr>
        <w:t xml:space="preserve">(PWT) </w:t>
      </w:r>
      <w:r w:rsidRPr="001268E7">
        <w:rPr>
          <w:rFonts w:cstheme="minorHAnsi"/>
          <w:sz w:val="24"/>
          <w:szCs w:val="24"/>
        </w:rPr>
        <w:t>Polska-Rosja 2014-2020 został opracowany wspólnie przez stronę polską i rosyjską.</w:t>
      </w:r>
      <w:r w:rsidR="003B42AD" w:rsidRPr="001268E7">
        <w:rPr>
          <w:rFonts w:cstheme="minorHAnsi"/>
          <w:sz w:val="24"/>
          <w:szCs w:val="24"/>
        </w:rPr>
        <w:t xml:space="preserve"> </w:t>
      </w:r>
      <w:r w:rsidRPr="001268E7">
        <w:rPr>
          <w:rFonts w:cs="Calibri"/>
          <w:sz w:val="24"/>
          <w:szCs w:val="24"/>
        </w:rPr>
        <w:t>Program będzie współfinansowany przez Unię Europejską i Federację Rosyjską.</w:t>
      </w:r>
      <w:r w:rsidR="005D14E3" w:rsidRPr="001268E7">
        <w:rPr>
          <w:rFonts w:cs="Calibri"/>
          <w:sz w:val="24"/>
          <w:szCs w:val="24"/>
        </w:rPr>
        <w:t xml:space="preserve"> </w:t>
      </w:r>
      <w:r w:rsidRPr="001268E7">
        <w:rPr>
          <w:rFonts w:cs="Calibri"/>
          <w:sz w:val="24"/>
          <w:szCs w:val="24"/>
        </w:rPr>
        <w:t>Wkład finansowy UE będzie zapewniony przez</w:t>
      </w:r>
      <w:r w:rsidR="00925662" w:rsidRPr="001268E7">
        <w:rPr>
          <w:rFonts w:cs="Calibri"/>
          <w:sz w:val="24"/>
          <w:szCs w:val="24"/>
        </w:rPr>
        <w:t xml:space="preserve"> Europejski Instrument Sąsiedztwa</w:t>
      </w:r>
      <w:r w:rsidRPr="001268E7">
        <w:rPr>
          <w:rFonts w:cs="Calibri"/>
          <w:sz w:val="24"/>
          <w:szCs w:val="24"/>
        </w:rPr>
        <w:t xml:space="preserve"> oraz Europejski Fundusz Rozwoju Regionalnego w ramach finansowej perspektywy Unii Europejskiej 2014-2020.</w:t>
      </w:r>
    </w:p>
    <w:p w:rsidR="003B42AD" w:rsidRPr="001268E7" w:rsidRDefault="000667E9" w:rsidP="000667E9">
      <w:pPr>
        <w:spacing w:before="100" w:beforeAutospacing="1" w:after="100" w:afterAutospacing="1" w:line="240" w:lineRule="auto"/>
        <w:jc w:val="both"/>
        <w:rPr>
          <w:rFonts w:cstheme="minorHAnsi"/>
          <w:sz w:val="24"/>
          <w:szCs w:val="24"/>
        </w:rPr>
      </w:pPr>
      <w:r w:rsidRPr="001268E7">
        <w:rPr>
          <w:rFonts w:cstheme="minorHAnsi"/>
          <w:sz w:val="24"/>
          <w:szCs w:val="24"/>
        </w:rPr>
        <w:t>Wspólny</w:t>
      </w:r>
      <w:r w:rsidR="00925662" w:rsidRPr="001268E7">
        <w:rPr>
          <w:rFonts w:cstheme="minorHAnsi"/>
          <w:sz w:val="24"/>
          <w:szCs w:val="24"/>
        </w:rPr>
        <w:t xml:space="preserve"> Program Operacyjny dla</w:t>
      </w:r>
      <w:r w:rsidRPr="001268E7">
        <w:rPr>
          <w:rFonts w:cstheme="minorHAnsi"/>
          <w:sz w:val="24"/>
          <w:szCs w:val="24"/>
        </w:rPr>
        <w:t xml:space="preserve"> PWT Polska-Rosja 2014-2020 został opracowany w oparciu o ramy prawne następujących rozporządzeń i dokumentów:</w:t>
      </w:r>
    </w:p>
    <w:p w:rsidR="000667E9" w:rsidRPr="001268E7" w:rsidRDefault="000667E9" w:rsidP="00C62170">
      <w:pPr>
        <w:pStyle w:val="Akapitzlist"/>
        <w:numPr>
          <w:ilvl w:val="0"/>
          <w:numId w:val="15"/>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Rozporządzenie Rady (UE, Euratom) nr 966/2012 w sprawie zasad finansowych mających zastosowanie do budżetu ogólnego Unii;</w:t>
      </w:r>
    </w:p>
    <w:p w:rsidR="000667E9" w:rsidRPr="00CD0EE5" w:rsidRDefault="000667E9" w:rsidP="00C62170">
      <w:pPr>
        <w:pStyle w:val="Akapitzlist"/>
        <w:numPr>
          <w:ilvl w:val="0"/>
          <w:numId w:val="15"/>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Rozporządzenie Parlamentu Europejskiego i Rady (UE) nr 232/2014 z dnia 11 marca 2014 r. ustanawiające Europejski Instrument Sąsiedztwa;</w:t>
      </w:r>
    </w:p>
    <w:p w:rsidR="00CD0EE5" w:rsidRPr="001268E7" w:rsidRDefault="00CD0EE5" w:rsidP="00CD0EE5">
      <w:pPr>
        <w:pStyle w:val="Akapitzlist"/>
        <w:numPr>
          <w:ilvl w:val="0"/>
          <w:numId w:val="15"/>
        </w:numPr>
        <w:spacing w:before="100" w:beforeAutospacing="1" w:after="100" w:afterAutospacing="1" w:line="240" w:lineRule="auto"/>
        <w:contextualSpacing w:val="0"/>
        <w:jc w:val="both"/>
        <w:rPr>
          <w:rFonts w:cstheme="minorHAnsi"/>
          <w:sz w:val="24"/>
          <w:szCs w:val="24"/>
        </w:rPr>
      </w:pPr>
      <w:r w:rsidRPr="00CD0EE5">
        <w:rPr>
          <w:rFonts w:cstheme="minorHAnsi"/>
          <w:sz w:val="24"/>
          <w:szCs w:val="24"/>
        </w:rPr>
        <w:t>• rozporządzenie Parlamentu Europejskiego i Rady (UE) nr 23</w:t>
      </w:r>
      <w:r>
        <w:rPr>
          <w:rFonts w:cstheme="minorHAnsi"/>
          <w:sz w:val="24"/>
          <w:szCs w:val="24"/>
        </w:rPr>
        <w:t>6/2014 z dnia 11 marca 2014 r. u</w:t>
      </w:r>
      <w:r w:rsidRPr="00CD0EE5">
        <w:rPr>
          <w:rFonts w:cstheme="minorHAnsi"/>
          <w:sz w:val="24"/>
          <w:szCs w:val="24"/>
        </w:rPr>
        <w:t>stanawiające wspólne zasady i procedury wdrażania unijnych instrumentów finansowania działań zewnętrznych;</w:t>
      </w:r>
    </w:p>
    <w:p w:rsidR="000667E9" w:rsidRPr="001268E7" w:rsidRDefault="000667E9" w:rsidP="00C62170">
      <w:pPr>
        <w:pStyle w:val="Akapitzlist"/>
        <w:numPr>
          <w:ilvl w:val="0"/>
          <w:numId w:val="15"/>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Rozporządzenie Wykonawcze Komisji (UE) nr 897/2014 z dnia 18 sierpnia 2014 r. ustanawiające przepisy szczegółowe dotyczące wdrażania programów współpracy transgranicznej finansowanych na podstawie rozporządzenia Parlamentu Europejskiego i Rady (UE) nr 232/2014 ustanawiającego Europejski Instrument Sąsiedztwa;</w:t>
      </w:r>
    </w:p>
    <w:p w:rsidR="000667E9" w:rsidRPr="00CD0EE5" w:rsidRDefault="000667E9" w:rsidP="00C62170">
      <w:pPr>
        <w:pStyle w:val="Akapitzlist"/>
        <w:numPr>
          <w:ilvl w:val="0"/>
          <w:numId w:val="15"/>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Dokument Programowy dla wsparcia UE na rzecz Współpracy Transgranicznej EIS (2014-2020);</w:t>
      </w:r>
    </w:p>
    <w:p w:rsidR="00CD0EE5" w:rsidRPr="001268E7" w:rsidRDefault="00CD0EE5" w:rsidP="00CD0EE5">
      <w:pPr>
        <w:pStyle w:val="Akapitzlist"/>
        <w:numPr>
          <w:ilvl w:val="0"/>
          <w:numId w:val="15"/>
        </w:numPr>
        <w:spacing w:before="100" w:beforeAutospacing="1" w:after="100" w:afterAutospacing="1" w:line="240" w:lineRule="auto"/>
        <w:contextualSpacing w:val="0"/>
        <w:jc w:val="both"/>
        <w:rPr>
          <w:rFonts w:cstheme="minorHAnsi"/>
          <w:sz w:val="24"/>
          <w:szCs w:val="24"/>
        </w:rPr>
      </w:pPr>
      <w:r w:rsidRPr="00CD0EE5">
        <w:rPr>
          <w:rFonts w:cstheme="minorHAnsi"/>
          <w:sz w:val="24"/>
          <w:szCs w:val="24"/>
        </w:rPr>
        <w:t>• Umowa w sprawie finansowania i realizacji Programu Współpracy Transgranicznej Polska-Rosja 2014-2020 (umowa finansowa);</w:t>
      </w:r>
    </w:p>
    <w:p w:rsidR="003B42AD" w:rsidRPr="001268E7" w:rsidRDefault="000667E9" w:rsidP="000667E9">
      <w:pPr>
        <w:spacing w:before="100" w:beforeAutospacing="1" w:after="100" w:afterAutospacing="1" w:line="240" w:lineRule="auto"/>
        <w:jc w:val="both"/>
        <w:rPr>
          <w:rFonts w:cstheme="minorHAnsi"/>
          <w:sz w:val="24"/>
          <w:szCs w:val="24"/>
        </w:rPr>
      </w:pPr>
      <w:r w:rsidRPr="001268E7">
        <w:rPr>
          <w:rFonts w:cstheme="minorHAnsi"/>
          <w:sz w:val="24"/>
          <w:szCs w:val="24"/>
        </w:rPr>
        <w:t>Dodatkowo, dla Federacji Rosyjskiej dokument został opracowany na podstawie następujących dokumentów:</w:t>
      </w:r>
    </w:p>
    <w:p w:rsidR="000667E9" w:rsidRPr="001268E7" w:rsidRDefault="000667E9" w:rsidP="00C62170">
      <w:pPr>
        <w:pStyle w:val="Akapitzlist1"/>
        <w:numPr>
          <w:ilvl w:val="0"/>
          <w:numId w:val="16"/>
        </w:numPr>
        <w:spacing w:before="100" w:beforeAutospacing="1" w:after="100" w:afterAutospacing="1" w:line="240" w:lineRule="auto"/>
        <w:contextualSpacing w:val="0"/>
        <w:jc w:val="both"/>
        <w:rPr>
          <w:rFonts w:cs="Calibri"/>
          <w:sz w:val="24"/>
          <w:szCs w:val="24"/>
        </w:rPr>
      </w:pPr>
      <w:r w:rsidRPr="001268E7">
        <w:rPr>
          <w:rFonts w:cs="Calibri"/>
          <w:sz w:val="24"/>
          <w:szCs w:val="24"/>
        </w:rPr>
        <w:t>Strategi</w:t>
      </w:r>
      <w:r w:rsidR="002E4F70" w:rsidRPr="001268E7">
        <w:rPr>
          <w:rFonts w:cs="Calibri"/>
          <w:sz w:val="24"/>
          <w:szCs w:val="24"/>
        </w:rPr>
        <w:t xml:space="preserve">a </w:t>
      </w:r>
      <w:r w:rsidRPr="001268E7">
        <w:rPr>
          <w:rFonts w:cs="Calibri"/>
          <w:sz w:val="24"/>
          <w:szCs w:val="24"/>
        </w:rPr>
        <w:t xml:space="preserve">Społeczno-Gospodarczego </w:t>
      </w:r>
      <w:r w:rsidR="002E4F70" w:rsidRPr="001268E7">
        <w:rPr>
          <w:rFonts w:cs="Calibri"/>
          <w:sz w:val="24"/>
          <w:szCs w:val="24"/>
        </w:rPr>
        <w:t xml:space="preserve">Rozwoju </w:t>
      </w:r>
      <w:r w:rsidRPr="001268E7">
        <w:rPr>
          <w:rFonts w:cs="Calibri"/>
          <w:sz w:val="24"/>
          <w:szCs w:val="24"/>
        </w:rPr>
        <w:t xml:space="preserve">Północno-Zachodniego Dystryktu </w:t>
      </w:r>
      <w:r w:rsidR="00913F20" w:rsidRPr="001268E7">
        <w:rPr>
          <w:rFonts w:cs="Calibri"/>
          <w:sz w:val="24"/>
          <w:szCs w:val="24"/>
        </w:rPr>
        <w:t xml:space="preserve">Federalnego </w:t>
      </w:r>
      <w:r w:rsidRPr="001268E7">
        <w:rPr>
          <w:rFonts w:cs="Calibri"/>
          <w:sz w:val="24"/>
          <w:szCs w:val="24"/>
        </w:rPr>
        <w:t>Federacji Rosyjskiej do 2020 r. zatwierdzona przez Rządowe Rozporządzenie Wykonawcze Federacji Rosyjskiej nr 2074-p z dnia 18 lis</w:t>
      </w:r>
      <w:r w:rsidR="00913F20" w:rsidRPr="001268E7">
        <w:rPr>
          <w:rFonts w:cs="Calibri"/>
          <w:sz w:val="24"/>
          <w:szCs w:val="24"/>
        </w:rPr>
        <w:t xml:space="preserve">topada 2011 r.; federalna ustawa </w:t>
      </w:r>
      <w:r w:rsidRPr="001268E7">
        <w:rPr>
          <w:rFonts w:cs="Calibri"/>
          <w:sz w:val="24"/>
          <w:szCs w:val="24"/>
        </w:rPr>
        <w:t xml:space="preserve">o zamówieniach publicznych nr 44-ФЗ z </w:t>
      </w:r>
      <w:r w:rsidR="00913F20" w:rsidRPr="001268E7">
        <w:rPr>
          <w:rFonts w:cs="Calibri"/>
          <w:sz w:val="24"/>
          <w:szCs w:val="24"/>
        </w:rPr>
        <w:t xml:space="preserve">dnia </w:t>
      </w:r>
      <w:r w:rsidRPr="001268E7">
        <w:rPr>
          <w:rFonts w:cs="Calibri"/>
          <w:sz w:val="24"/>
          <w:szCs w:val="24"/>
        </w:rPr>
        <w:t>5 kwietnia 2013 r.;</w:t>
      </w:r>
    </w:p>
    <w:p w:rsidR="000667E9" w:rsidRPr="001268E7" w:rsidRDefault="000667E9" w:rsidP="00C62170">
      <w:pPr>
        <w:pStyle w:val="Akapitzlist1"/>
        <w:numPr>
          <w:ilvl w:val="0"/>
          <w:numId w:val="16"/>
        </w:numPr>
        <w:spacing w:before="100" w:beforeAutospacing="1" w:after="100" w:afterAutospacing="1" w:line="240" w:lineRule="auto"/>
        <w:contextualSpacing w:val="0"/>
        <w:jc w:val="both"/>
        <w:rPr>
          <w:rFonts w:cs="Calibri"/>
          <w:sz w:val="24"/>
          <w:szCs w:val="24"/>
        </w:rPr>
      </w:pPr>
      <w:r w:rsidRPr="001268E7">
        <w:rPr>
          <w:rFonts w:cs="Calibri"/>
          <w:sz w:val="24"/>
          <w:szCs w:val="24"/>
        </w:rPr>
        <w:t>Strat</w:t>
      </w:r>
      <w:r w:rsidR="002E4F70" w:rsidRPr="001268E7">
        <w:rPr>
          <w:rFonts w:cs="Calibri"/>
          <w:sz w:val="24"/>
          <w:szCs w:val="24"/>
        </w:rPr>
        <w:t>egia Społeczno-G</w:t>
      </w:r>
      <w:r w:rsidR="00913F20" w:rsidRPr="001268E7">
        <w:rPr>
          <w:rFonts w:cs="Calibri"/>
          <w:sz w:val="24"/>
          <w:szCs w:val="24"/>
        </w:rPr>
        <w:t>ospodarczego</w:t>
      </w:r>
      <w:r w:rsidR="002E4F70" w:rsidRPr="001268E7">
        <w:rPr>
          <w:rFonts w:cs="Calibri"/>
          <w:sz w:val="24"/>
          <w:szCs w:val="24"/>
        </w:rPr>
        <w:t xml:space="preserve"> R</w:t>
      </w:r>
      <w:r w:rsidRPr="001268E7">
        <w:rPr>
          <w:rFonts w:cs="Calibri"/>
          <w:sz w:val="24"/>
          <w:szCs w:val="24"/>
        </w:rPr>
        <w:t xml:space="preserve">ozwoju Federacji Rosyjskiej do 2020 r. </w:t>
      </w:r>
    </w:p>
    <w:p w:rsidR="000667E9" w:rsidRPr="001268E7" w:rsidRDefault="000667E9" w:rsidP="00C62170">
      <w:pPr>
        <w:pStyle w:val="Akapitzlist1"/>
        <w:numPr>
          <w:ilvl w:val="0"/>
          <w:numId w:val="16"/>
        </w:numPr>
        <w:spacing w:before="100" w:beforeAutospacing="1" w:after="100" w:afterAutospacing="1" w:line="240" w:lineRule="auto"/>
        <w:contextualSpacing w:val="0"/>
        <w:jc w:val="both"/>
        <w:rPr>
          <w:rFonts w:cs="Calibri"/>
          <w:sz w:val="24"/>
          <w:szCs w:val="24"/>
        </w:rPr>
      </w:pPr>
      <w:r w:rsidRPr="001268E7">
        <w:rPr>
          <w:rFonts w:cs="Calibri"/>
          <w:sz w:val="24"/>
          <w:szCs w:val="24"/>
        </w:rPr>
        <w:t>Program Rządu Fe</w:t>
      </w:r>
      <w:r w:rsidR="00913F20" w:rsidRPr="001268E7">
        <w:rPr>
          <w:rFonts w:cs="Calibri"/>
          <w:sz w:val="24"/>
          <w:szCs w:val="24"/>
        </w:rPr>
        <w:t>deracji Rosyjskiej "Społeczno-</w:t>
      </w:r>
      <w:r w:rsidRPr="001268E7">
        <w:rPr>
          <w:rFonts w:cs="Calibri"/>
          <w:sz w:val="24"/>
          <w:szCs w:val="24"/>
        </w:rPr>
        <w:t>gospodarczy rozwój obwodu kaliningradzkiego do 2020 r.";</w:t>
      </w:r>
    </w:p>
    <w:p w:rsidR="000667E9" w:rsidRPr="001268E7" w:rsidRDefault="000667E9" w:rsidP="00C62170">
      <w:pPr>
        <w:pStyle w:val="Akapitzlist1"/>
        <w:numPr>
          <w:ilvl w:val="0"/>
          <w:numId w:val="16"/>
        </w:numPr>
        <w:spacing w:before="100" w:beforeAutospacing="1" w:after="100" w:afterAutospacing="1" w:line="240" w:lineRule="auto"/>
        <w:contextualSpacing w:val="0"/>
        <w:jc w:val="both"/>
        <w:rPr>
          <w:rFonts w:cs="Calibri"/>
          <w:sz w:val="24"/>
          <w:szCs w:val="24"/>
        </w:rPr>
      </w:pPr>
      <w:r w:rsidRPr="001268E7">
        <w:rPr>
          <w:rFonts w:cs="Calibri"/>
          <w:sz w:val="24"/>
          <w:szCs w:val="24"/>
        </w:rPr>
        <w:t>Koncepcja Polityki Zagranicznej Federacji Rosyjskiej przyjęta przez Prezydenta Federacji Rosyjskiej dnia 12 lutego 2013 r.;</w:t>
      </w:r>
    </w:p>
    <w:p w:rsidR="000667E9" w:rsidRPr="001268E7" w:rsidRDefault="000667E9" w:rsidP="00C62170">
      <w:pPr>
        <w:pStyle w:val="Akapitzlist1"/>
        <w:numPr>
          <w:ilvl w:val="0"/>
          <w:numId w:val="16"/>
        </w:numPr>
        <w:spacing w:before="100" w:beforeAutospacing="1" w:after="100" w:afterAutospacing="1" w:line="240" w:lineRule="auto"/>
        <w:contextualSpacing w:val="0"/>
        <w:jc w:val="both"/>
        <w:rPr>
          <w:rFonts w:cs="Calibri"/>
          <w:sz w:val="24"/>
          <w:szCs w:val="24"/>
        </w:rPr>
      </w:pPr>
      <w:r w:rsidRPr="001268E7">
        <w:rPr>
          <w:rFonts w:cs="Calibri"/>
          <w:sz w:val="24"/>
          <w:szCs w:val="24"/>
        </w:rPr>
        <w:t>Kodeks Podatkowy Federacji Rosyjskiej;</w:t>
      </w:r>
    </w:p>
    <w:p w:rsidR="000667E9" w:rsidRPr="001268E7" w:rsidRDefault="000667E9" w:rsidP="00C62170">
      <w:pPr>
        <w:pStyle w:val="Akapitzlist1"/>
        <w:numPr>
          <w:ilvl w:val="0"/>
          <w:numId w:val="16"/>
        </w:numPr>
        <w:spacing w:before="100" w:beforeAutospacing="1" w:after="100" w:afterAutospacing="1" w:line="240" w:lineRule="auto"/>
        <w:contextualSpacing w:val="0"/>
        <w:jc w:val="both"/>
        <w:rPr>
          <w:rFonts w:cs="Calibri"/>
          <w:sz w:val="24"/>
          <w:szCs w:val="24"/>
        </w:rPr>
      </w:pPr>
      <w:r w:rsidRPr="001268E7">
        <w:rPr>
          <w:rFonts w:cs="Calibri"/>
          <w:sz w:val="24"/>
          <w:szCs w:val="24"/>
        </w:rPr>
        <w:t>Obowiązujące dekrety Prezydenta Federacji Rosyjskiej i Rządu Rosji</w:t>
      </w:r>
    </w:p>
    <w:p w:rsidR="00A847DD" w:rsidRPr="001268E7" w:rsidRDefault="000667E9" w:rsidP="000667E9">
      <w:pPr>
        <w:spacing w:before="100" w:beforeAutospacing="1" w:after="100" w:afterAutospacing="1" w:line="240" w:lineRule="auto"/>
        <w:jc w:val="both"/>
        <w:rPr>
          <w:rFonts w:cs="Calibri"/>
          <w:sz w:val="24"/>
          <w:szCs w:val="24"/>
        </w:rPr>
      </w:pPr>
      <w:r w:rsidRPr="001268E7">
        <w:rPr>
          <w:rFonts w:cs="Calibri"/>
          <w:sz w:val="24"/>
          <w:szCs w:val="24"/>
        </w:rPr>
        <w:t>Wdrożenie Programu będzie zgodne z postanowieniami stosownej umowy o finansowanie pomiędzy Federacją Rosyjską, Unią Europejską i Polską po przyjęciu WPO.</w:t>
      </w:r>
    </w:p>
    <w:p w:rsidR="00F4406E" w:rsidRDefault="000667E9" w:rsidP="00424FC8">
      <w:pPr>
        <w:spacing w:before="100" w:beforeAutospacing="1" w:after="100" w:afterAutospacing="1" w:line="240" w:lineRule="auto"/>
        <w:jc w:val="both"/>
        <w:rPr>
          <w:rFonts w:cs="Calibri"/>
          <w:sz w:val="24"/>
          <w:szCs w:val="24"/>
        </w:rPr>
      </w:pPr>
      <w:r w:rsidRPr="001268E7">
        <w:rPr>
          <w:rFonts w:cs="Calibri"/>
          <w:sz w:val="24"/>
          <w:szCs w:val="24"/>
        </w:rPr>
        <w:lastRenderedPageBreak/>
        <w:t>Program został opracowany przez Wspólny Komitet Programujący (WKP), który ponosi ogólną odpowiedzialność za przygotowanie Programu Współpracy Transgranicznej (PWT) Polska-Rosja 2014-2020. Podczas spotkań, jak również w trakcie całego etapu przygotowania programu, aktywnie zaangażowani byli przedstawiciele centralnych i regionalnych władz obydwu państw</w:t>
      </w:r>
      <w:r w:rsidR="00F4406E">
        <w:rPr>
          <w:rFonts w:cs="Calibri"/>
          <w:sz w:val="24"/>
          <w:szCs w:val="24"/>
        </w:rPr>
        <w:t>, tzn:</w:t>
      </w:r>
    </w:p>
    <w:p w:rsidR="00F4406E" w:rsidRPr="00F4406E" w:rsidRDefault="00F4406E" w:rsidP="00246345">
      <w:pPr>
        <w:pStyle w:val="Akapitzlist"/>
        <w:numPr>
          <w:ilvl w:val="0"/>
          <w:numId w:val="103"/>
        </w:numPr>
        <w:spacing w:before="100" w:beforeAutospacing="1" w:after="100" w:afterAutospacing="1" w:line="240" w:lineRule="auto"/>
        <w:jc w:val="both"/>
        <w:rPr>
          <w:rFonts w:cstheme="minorHAnsi"/>
          <w:sz w:val="24"/>
          <w:szCs w:val="24"/>
        </w:rPr>
      </w:pPr>
      <w:r>
        <w:rPr>
          <w:rFonts w:cs="Calibri"/>
          <w:sz w:val="24"/>
          <w:szCs w:val="24"/>
        </w:rPr>
        <w:t>Dla strony polskiej:</w:t>
      </w:r>
    </w:p>
    <w:p w:rsidR="00F4406E" w:rsidRDefault="006805F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 xml:space="preserve">Ministerstwo </w:t>
      </w:r>
      <w:r w:rsidR="00D07A00">
        <w:rPr>
          <w:rFonts w:cstheme="minorHAnsi"/>
          <w:sz w:val="24"/>
          <w:szCs w:val="24"/>
        </w:rPr>
        <w:t>Inwestycji i Rozwoju</w:t>
      </w:r>
      <w:r>
        <w:rPr>
          <w:rFonts w:cstheme="minorHAnsi"/>
          <w:sz w:val="24"/>
          <w:szCs w:val="24"/>
        </w:rPr>
        <w:t xml:space="preserve"> Polski,</w:t>
      </w:r>
    </w:p>
    <w:p w:rsidR="006805F3" w:rsidRDefault="006805F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Ministerstwo Spraw Zagranicznych Polski,</w:t>
      </w:r>
    </w:p>
    <w:p w:rsidR="006805F3" w:rsidRDefault="006805F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Urząd Marszałkowski Województwa Pomorskiego,</w:t>
      </w:r>
    </w:p>
    <w:p w:rsidR="006805F3" w:rsidRDefault="006805F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Urząd Marszałkowski Województwa Podlaskiego,</w:t>
      </w:r>
    </w:p>
    <w:p w:rsidR="006805F3" w:rsidRDefault="006805F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Urząd Marszałkowski Województwa Warmińsko-Mazurskiego,</w:t>
      </w:r>
    </w:p>
    <w:p w:rsidR="006805F3" w:rsidRPr="00F4406E" w:rsidRDefault="006805F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Euroregiony (Bałtyk i Niemen)</w:t>
      </w:r>
    </w:p>
    <w:p w:rsidR="00F4406E" w:rsidRPr="00F4406E" w:rsidRDefault="00F4406E" w:rsidP="00246345">
      <w:pPr>
        <w:pStyle w:val="Akapitzlist"/>
        <w:numPr>
          <w:ilvl w:val="0"/>
          <w:numId w:val="103"/>
        </w:numPr>
        <w:spacing w:before="100" w:beforeAutospacing="1" w:after="100" w:afterAutospacing="1" w:line="240" w:lineRule="auto"/>
        <w:jc w:val="both"/>
        <w:rPr>
          <w:rFonts w:cstheme="minorHAnsi"/>
          <w:sz w:val="24"/>
          <w:szCs w:val="24"/>
        </w:rPr>
      </w:pPr>
      <w:r>
        <w:rPr>
          <w:rFonts w:cs="Calibri"/>
          <w:sz w:val="24"/>
          <w:szCs w:val="24"/>
        </w:rPr>
        <w:t>Dla strony rosyjskiej:</w:t>
      </w:r>
    </w:p>
    <w:p w:rsidR="00F50963" w:rsidRDefault="00F5096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Ministerstwo Rozwoju Gospodarczego Federacji Rosyjskiej,</w:t>
      </w:r>
    </w:p>
    <w:p w:rsidR="00F50963" w:rsidRDefault="00F50963"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Ministerstwo Spraw Zagranicznych Federacji Rosyjskiej,</w:t>
      </w:r>
    </w:p>
    <w:p w:rsidR="008758D7" w:rsidRDefault="008758D7"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Ministerstwo Finansów Federacji Rosyjskiej,</w:t>
      </w:r>
    </w:p>
    <w:p w:rsidR="00F4406E" w:rsidRPr="00F4406E" w:rsidRDefault="008758D7"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Pr>
          <w:rFonts w:cstheme="minorHAnsi"/>
          <w:sz w:val="24"/>
          <w:szCs w:val="24"/>
        </w:rPr>
        <w:t>Agencja Spraw Zagranicznych oraz Współpracy Regionalnej Obwodu Kaliningradzkiego</w:t>
      </w:r>
      <w:r w:rsidR="000667E9" w:rsidRPr="00F4406E">
        <w:rPr>
          <w:rFonts w:cs="Calibri"/>
          <w:sz w:val="24"/>
          <w:szCs w:val="24"/>
        </w:rPr>
        <w:t>.</w:t>
      </w:r>
      <w:r w:rsidR="003B42AD" w:rsidRPr="00F4406E">
        <w:rPr>
          <w:rFonts w:cstheme="minorHAnsi"/>
          <w:sz w:val="24"/>
          <w:szCs w:val="24"/>
        </w:rPr>
        <w:t xml:space="preserve"> </w:t>
      </w:r>
    </w:p>
    <w:p w:rsidR="00A847DD" w:rsidRPr="001268E7" w:rsidRDefault="000667E9" w:rsidP="00424FC8">
      <w:pPr>
        <w:spacing w:before="100" w:beforeAutospacing="1" w:after="100" w:afterAutospacing="1" w:line="240" w:lineRule="auto"/>
        <w:jc w:val="both"/>
        <w:rPr>
          <w:rFonts w:cstheme="minorHAnsi"/>
          <w:sz w:val="24"/>
          <w:szCs w:val="24"/>
        </w:rPr>
      </w:pPr>
      <w:r w:rsidRPr="001268E7">
        <w:rPr>
          <w:rFonts w:cstheme="minorHAnsi"/>
          <w:sz w:val="24"/>
          <w:szCs w:val="24"/>
        </w:rPr>
        <w:t xml:space="preserve">Udział w spotkaniach Wspólnego Komitetu Programującego w charakterze obserwatorów wzięli również przedstawiciele Komisji Europejskiej oraz </w:t>
      </w:r>
      <w:r w:rsidR="00424FC8" w:rsidRPr="001268E7">
        <w:rPr>
          <w:rFonts w:cstheme="minorHAnsi"/>
          <w:sz w:val="24"/>
          <w:szCs w:val="24"/>
        </w:rPr>
        <w:t>Projektu Pomocy Technicznej INTERACT EISP.</w:t>
      </w:r>
      <w:r w:rsidR="003B42AD" w:rsidRPr="001268E7">
        <w:rPr>
          <w:rFonts w:cstheme="minorHAnsi"/>
          <w:sz w:val="24"/>
          <w:szCs w:val="24"/>
        </w:rPr>
        <w:t xml:space="preserve"> </w:t>
      </w:r>
      <w:r w:rsidR="00424FC8" w:rsidRPr="001268E7">
        <w:rPr>
          <w:rFonts w:cstheme="minorHAnsi"/>
          <w:sz w:val="24"/>
          <w:szCs w:val="24"/>
        </w:rPr>
        <w:t>Aby opracować wspólne stanowisko dotyczące treści Wspólnego Programu Operacyjnego zorganizowano 6 spotkań:</w:t>
      </w:r>
    </w:p>
    <w:p w:rsidR="00424FC8" w:rsidRPr="001268E7" w:rsidRDefault="00424FC8" w:rsidP="00C62170">
      <w:pPr>
        <w:pStyle w:val="Akapitzlist"/>
        <w:numPr>
          <w:ilvl w:val="0"/>
          <w:numId w:val="7"/>
        </w:numPr>
        <w:spacing w:before="100" w:beforeAutospacing="1" w:after="100" w:afterAutospacing="1" w:line="240" w:lineRule="auto"/>
        <w:jc w:val="both"/>
        <w:rPr>
          <w:rFonts w:cstheme="minorHAnsi"/>
          <w:sz w:val="24"/>
          <w:szCs w:val="24"/>
        </w:rPr>
      </w:pPr>
      <w:r w:rsidRPr="001268E7">
        <w:rPr>
          <w:rFonts w:cstheme="minorHAnsi"/>
          <w:sz w:val="24"/>
          <w:szCs w:val="24"/>
        </w:rPr>
        <w:t>Warszawa (Polska), 29 sierpnia 2013;</w:t>
      </w:r>
    </w:p>
    <w:p w:rsidR="00424FC8" w:rsidRPr="001268E7" w:rsidRDefault="00424FC8" w:rsidP="00C62170">
      <w:pPr>
        <w:pStyle w:val="Akapitzlist"/>
        <w:numPr>
          <w:ilvl w:val="0"/>
          <w:numId w:val="7"/>
        </w:numPr>
        <w:spacing w:before="100" w:beforeAutospacing="1" w:after="100" w:afterAutospacing="1" w:line="240" w:lineRule="auto"/>
        <w:jc w:val="both"/>
        <w:rPr>
          <w:rFonts w:cstheme="minorHAnsi"/>
          <w:sz w:val="24"/>
          <w:szCs w:val="24"/>
        </w:rPr>
      </w:pPr>
      <w:r w:rsidRPr="001268E7">
        <w:rPr>
          <w:rFonts w:cstheme="minorHAnsi"/>
          <w:sz w:val="24"/>
          <w:szCs w:val="24"/>
        </w:rPr>
        <w:t>Moskwa (Rosja), 24 marca 2014;</w:t>
      </w:r>
    </w:p>
    <w:p w:rsidR="00424FC8" w:rsidRPr="001268E7" w:rsidRDefault="00424FC8" w:rsidP="00C62170">
      <w:pPr>
        <w:pStyle w:val="Akapitzlist"/>
        <w:numPr>
          <w:ilvl w:val="0"/>
          <w:numId w:val="7"/>
        </w:numPr>
        <w:spacing w:before="100" w:beforeAutospacing="1" w:after="100" w:afterAutospacing="1" w:line="240" w:lineRule="auto"/>
        <w:jc w:val="both"/>
        <w:rPr>
          <w:rFonts w:cstheme="minorHAnsi"/>
          <w:sz w:val="24"/>
          <w:szCs w:val="24"/>
        </w:rPr>
      </w:pPr>
      <w:r w:rsidRPr="001268E7">
        <w:rPr>
          <w:rFonts w:cstheme="minorHAnsi"/>
          <w:sz w:val="24"/>
          <w:szCs w:val="24"/>
        </w:rPr>
        <w:t>Warszawa (Polska), 12 lutego 2015;</w:t>
      </w:r>
    </w:p>
    <w:p w:rsidR="00424FC8" w:rsidRPr="001268E7" w:rsidRDefault="00424FC8" w:rsidP="00C62170">
      <w:pPr>
        <w:pStyle w:val="Akapitzlist"/>
        <w:numPr>
          <w:ilvl w:val="0"/>
          <w:numId w:val="7"/>
        </w:numPr>
        <w:spacing w:before="100" w:beforeAutospacing="1" w:after="100" w:afterAutospacing="1" w:line="240" w:lineRule="auto"/>
        <w:jc w:val="both"/>
        <w:rPr>
          <w:rFonts w:cstheme="minorHAnsi"/>
          <w:sz w:val="24"/>
          <w:szCs w:val="24"/>
        </w:rPr>
      </w:pPr>
      <w:r w:rsidRPr="001268E7">
        <w:rPr>
          <w:rFonts w:cstheme="minorHAnsi"/>
          <w:sz w:val="24"/>
          <w:szCs w:val="24"/>
        </w:rPr>
        <w:t>Kaliningrad (Rosja), 29 kwietnia 2015;</w:t>
      </w:r>
    </w:p>
    <w:p w:rsidR="00424FC8" w:rsidRPr="001268E7" w:rsidRDefault="00424FC8" w:rsidP="00C62170">
      <w:pPr>
        <w:pStyle w:val="Akapitzlist"/>
        <w:numPr>
          <w:ilvl w:val="0"/>
          <w:numId w:val="7"/>
        </w:numPr>
        <w:spacing w:before="100" w:beforeAutospacing="1" w:after="100" w:afterAutospacing="1" w:line="240" w:lineRule="auto"/>
        <w:jc w:val="both"/>
        <w:rPr>
          <w:rFonts w:cstheme="minorHAnsi"/>
          <w:sz w:val="24"/>
          <w:szCs w:val="24"/>
        </w:rPr>
      </w:pPr>
      <w:r w:rsidRPr="001268E7">
        <w:rPr>
          <w:rFonts w:cstheme="minorHAnsi"/>
          <w:sz w:val="24"/>
          <w:szCs w:val="24"/>
        </w:rPr>
        <w:t>Warszawa (Polska), 9-10 czerwca 2015;</w:t>
      </w:r>
    </w:p>
    <w:p w:rsidR="00424FC8" w:rsidRPr="001268E7" w:rsidRDefault="00424FC8" w:rsidP="00C62170">
      <w:pPr>
        <w:pStyle w:val="Akapitzlist"/>
        <w:numPr>
          <w:ilvl w:val="0"/>
          <w:numId w:val="7"/>
        </w:numPr>
        <w:spacing w:before="100" w:beforeAutospacing="1" w:after="100" w:afterAutospacing="1" w:line="240" w:lineRule="auto"/>
        <w:jc w:val="both"/>
        <w:rPr>
          <w:rFonts w:cstheme="minorHAnsi"/>
          <w:sz w:val="24"/>
          <w:szCs w:val="24"/>
        </w:rPr>
      </w:pPr>
      <w:r w:rsidRPr="001268E7">
        <w:rPr>
          <w:rFonts w:cstheme="minorHAnsi"/>
          <w:sz w:val="24"/>
          <w:szCs w:val="24"/>
        </w:rPr>
        <w:t>Warszawa (Polska), 12 kwietnia 2016.</w:t>
      </w:r>
    </w:p>
    <w:p w:rsidR="003B42AD" w:rsidRPr="001268E7" w:rsidRDefault="00424FC8" w:rsidP="00424FC8">
      <w:pPr>
        <w:spacing w:before="100" w:beforeAutospacing="1" w:after="100" w:afterAutospacing="1" w:line="240" w:lineRule="auto"/>
        <w:jc w:val="both"/>
        <w:rPr>
          <w:rFonts w:cstheme="minorHAnsi"/>
          <w:sz w:val="24"/>
          <w:szCs w:val="24"/>
        </w:rPr>
      </w:pPr>
      <w:r w:rsidRPr="001268E7">
        <w:rPr>
          <w:rFonts w:cstheme="minorHAnsi"/>
          <w:sz w:val="24"/>
          <w:szCs w:val="24"/>
        </w:rPr>
        <w:t>Ponadto, w Federacji Rosyjskiej oraz w Polsce zorganizowane zostały społeczne konsultacje, aby zaznajomić z programem potencjalnych beneficjentów oraz innych uczestników i interesariuszy.</w:t>
      </w:r>
      <w:r w:rsidR="003B42AD" w:rsidRPr="001268E7">
        <w:rPr>
          <w:rFonts w:cstheme="minorHAnsi"/>
          <w:sz w:val="24"/>
          <w:szCs w:val="24"/>
        </w:rPr>
        <w:t xml:space="preserve"> </w:t>
      </w:r>
      <w:r w:rsidRPr="001268E7">
        <w:rPr>
          <w:rFonts w:cstheme="minorHAnsi"/>
          <w:sz w:val="24"/>
          <w:szCs w:val="24"/>
        </w:rPr>
        <w:t>W ramach konsultacji społecznych zebrano potrzeby i pomysły wyżej wspomnianych grup.</w:t>
      </w:r>
      <w:r w:rsidR="003B42AD" w:rsidRPr="001268E7">
        <w:rPr>
          <w:rFonts w:cstheme="minorHAnsi"/>
          <w:sz w:val="24"/>
          <w:szCs w:val="24"/>
        </w:rPr>
        <w:t xml:space="preserve"> </w:t>
      </w:r>
      <w:r w:rsidRPr="001268E7">
        <w:rPr>
          <w:rFonts w:cstheme="minorHAnsi"/>
          <w:sz w:val="24"/>
          <w:szCs w:val="24"/>
        </w:rPr>
        <w:t>Wyniki konsultacji były pomocne w opracowaniu ostatecznej wersji Wspólnego Programu Operacyjnego przed jego przyjęciem przez Komisję Europejską.</w:t>
      </w:r>
    </w:p>
    <w:p w:rsidR="00E8179A" w:rsidRPr="001268E7" w:rsidRDefault="00C716DD" w:rsidP="00424FC8">
      <w:pPr>
        <w:spacing w:before="100" w:beforeAutospacing="1" w:after="100" w:afterAutospacing="1" w:line="240" w:lineRule="auto"/>
        <w:jc w:val="both"/>
        <w:rPr>
          <w:rFonts w:cstheme="minorHAnsi"/>
          <w:sz w:val="24"/>
          <w:szCs w:val="24"/>
        </w:rPr>
      </w:pPr>
      <w:r w:rsidRPr="001268E7">
        <w:rPr>
          <w:rFonts w:cs="Calibri"/>
          <w:sz w:val="24"/>
          <w:szCs w:val="24"/>
          <w:lang w:eastAsia="pl-PL"/>
        </w:rPr>
        <w:t>Strategiczna Ocena Oddziaływania na Ś</w:t>
      </w:r>
      <w:r w:rsidR="00424FC8" w:rsidRPr="001268E7">
        <w:rPr>
          <w:rFonts w:cs="Calibri"/>
          <w:sz w:val="24"/>
          <w:szCs w:val="24"/>
          <w:lang w:eastAsia="pl-PL"/>
        </w:rPr>
        <w:t>rodowisko (SOOŚ) została opracowana w dialogu pomiędzy zewnętrznymi ekspertami, IZ, WKP oraz szerszym kręgiem odbiorców poprzez konsultacje społeczne.</w:t>
      </w:r>
      <w:r w:rsidR="00E8179A" w:rsidRPr="001268E7">
        <w:rPr>
          <w:rFonts w:cstheme="minorHAnsi"/>
          <w:sz w:val="24"/>
          <w:szCs w:val="24"/>
        </w:rPr>
        <w:t xml:space="preserve"> </w:t>
      </w:r>
      <w:r w:rsidR="00424FC8" w:rsidRPr="001268E7">
        <w:rPr>
          <w:rFonts w:cstheme="minorHAnsi"/>
          <w:sz w:val="24"/>
          <w:szCs w:val="24"/>
        </w:rPr>
        <w:t>SOOŚ została opublikowana na stronie internetowej PWT EISP Litwa-Polska-Rosja, co ułatwiło dostęp do dokumentów dla wszystkich zainteresowanych.</w:t>
      </w:r>
    </w:p>
    <w:p w:rsidR="003B42AD" w:rsidRPr="001268E7" w:rsidRDefault="003B42AD" w:rsidP="003B42AD">
      <w:pPr>
        <w:spacing w:before="100" w:beforeAutospacing="1" w:after="100" w:afterAutospacing="1" w:line="240" w:lineRule="auto"/>
        <w:rPr>
          <w:rFonts w:cstheme="minorHAnsi"/>
          <w:sz w:val="24"/>
          <w:szCs w:val="24"/>
        </w:rPr>
      </w:pPr>
      <w:r w:rsidRPr="001268E7">
        <w:rPr>
          <w:rFonts w:cstheme="minorHAnsi"/>
          <w:sz w:val="24"/>
          <w:szCs w:val="24"/>
        </w:rPr>
        <w:br w:type="page"/>
      </w:r>
    </w:p>
    <w:p w:rsidR="00424FC8" w:rsidRPr="001268E7" w:rsidRDefault="0045163C" w:rsidP="004946F2">
      <w:pPr>
        <w:pStyle w:val="Nagwek1"/>
        <w:numPr>
          <w:ilvl w:val="0"/>
          <w:numId w:val="2"/>
        </w:numPr>
        <w:ind w:left="426"/>
      </w:pPr>
      <w:bookmarkStart w:id="4" w:name="_Toc530737559"/>
      <w:r>
        <w:lastRenderedPageBreak/>
        <w:t>Opis obszaru Programu</w:t>
      </w:r>
      <w:bookmarkEnd w:id="4"/>
    </w:p>
    <w:p w:rsidR="003B42AD" w:rsidRPr="001268E7" w:rsidRDefault="00681E55" w:rsidP="00681E55">
      <w:pPr>
        <w:spacing w:before="100" w:beforeAutospacing="1" w:after="100" w:afterAutospacing="1" w:line="240" w:lineRule="auto"/>
        <w:jc w:val="both"/>
        <w:rPr>
          <w:rFonts w:cstheme="minorHAnsi"/>
          <w:sz w:val="24"/>
          <w:szCs w:val="24"/>
        </w:rPr>
      </w:pPr>
      <w:r w:rsidRPr="001268E7">
        <w:rPr>
          <w:rFonts w:cstheme="minorHAnsi"/>
          <w:sz w:val="24"/>
          <w:szCs w:val="24"/>
        </w:rPr>
        <w:t>Program Współpracy Transgranicznej Polska-Rosja 2014-2020 obejmuje cztery regiony (trzy regiony w Polsce i jeden region w Federacji Rosyjskiej):</w:t>
      </w:r>
    </w:p>
    <w:p w:rsidR="00681E55" w:rsidRPr="001268E7" w:rsidRDefault="00681E55" w:rsidP="00C62170">
      <w:pPr>
        <w:pStyle w:val="Akapitzlist"/>
        <w:numPr>
          <w:ilvl w:val="0"/>
          <w:numId w:val="17"/>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region pomorski, Polska;</w:t>
      </w:r>
    </w:p>
    <w:p w:rsidR="00681E55" w:rsidRPr="001268E7" w:rsidRDefault="00681E55" w:rsidP="00C62170">
      <w:pPr>
        <w:pStyle w:val="Akapitzlist"/>
        <w:numPr>
          <w:ilvl w:val="0"/>
          <w:numId w:val="17"/>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region warmińsko-mazurski, Polska;</w:t>
      </w:r>
    </w:p>
    <w:p w:rsidR="00681E55" w:rsidRPr="001268E7" w:rsidRDefault="00681E55" w:rsidP="00C62170">
      <w:pPr>
        <w:pStyle w:val="Akapitzlist"/>
        <w:numPr>
          <w:ilvl w:val="0"/>
          <w:numId w:val="17"/>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region podlaski, Polska;</w:t>
      </w:r>
    </w:p>
    <w:p w:rsidR="00681E55" w:rsidRPr="001268E7" w:rsidRDefault="00681E55" w:rsidP="00C62170">
      <w:pPr>
        <w:pStyle w:val="Akapitzlist"/>
        <w:numPr>
          <w:ilvl w:val="0"/>
          <w:numId w:val="17"/>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obwód kaliningradzki, Federacja Rosyjska.</w:t>
      </w:r>
    </w:p>
    <w:p w:rsidR="003B42AD" w:rsidRPr="001268E7" w:rsidRDefault="00681E55" w:rsidP="00681E55">
      <w:pPr>
        <w:spacing w:before="100" w:beforeAutospacing="1" w:after="100" w:afterAutospacing="1" w:line="240" w:lineRule="auto"/>
        <w:jc w:val="both"/>
        <w:rPr>
          <w:rFonts w:cstheme="minorHAnsi"/>
          <w:sz w:val="24"/>
          <w:szCs w:val="24"/>
        </w:rPr>
      </w:pPr>
      <w:r w:rsidRPr="001268E7">
        <w:rPr>
          <w:rFonts w:cstheme="minorHAnsi"/>
          <w:sz w:val="24"/>
          <w:szCs w:val="24"/>
        </w:rPr>
        <w:t>Długość granicy lądowej pomiędzy Polską (regiony:</w:t>
      </w:r>
      <w:r w:rsidR="003B42AD" w:rsidRPr="001268E7">
        <w:rPr>
          <w:rFonts w:cstheme="minorHAnsi"/>
          <w:sz w:val="24"/>
          <w:szCs w:val="24"/>
        </w:rPr>
        <w:t xml:space="preserve"> </w:t>
      </w:r>
      <w:r w:rsidRPr="001268E7">
        <w:rPr>
          <w:rFonts w:cstheme="minorHAnsi"/>
          <w:sz w:val="24"/>
          <w:szCs w:val="24"/>
        </w:rPr>
        <w:t>pomorski, warmińsko-mazurski i podlaski) a Federacją Rosyjską (obwód kaliningradzki) wynosi 210 km.</w:t>
      </w:r>
      <w:r w:rsidR="003B42AD" w:rsidRPr="001268E7">
        <w:rPr>
          <w:rFonts w:cstheme="minorHAnsi"/>
          <w:sz w:val="24"/>
          <w:szCs w:val="24"/>
        </w:rPr>
        <w:t xml:space="preserve"> </w:t>
      </w:r>
      <w:r w:rsidRPr="001268E7">
        <w:rPr>
          <w:rFonts w:cstheme="minorHAnsi"/>
          <w:sz w:val="24"/>
          <w:szCs w:val="24"/>
        </w:rPr>
        <w:t>Pomiędzy Polską a Federacją Rosyjską jest również granica morska.</w:t>
      </w:r>
      <w:r w:rsidR="003B42AD" w:rsidRPr="001268E7">
        <w:rPr>
          <w:rFonts w:cstheme="minorHAnsi"/>
          <w:sz w:val="24"/>
          <w:szCs w:val="24"/>
        </w:rPr>
        <w:t xml:space="preserve"> </w:t>
      </w:r>
      <w:r w:rsidR="00C716DD" w:rsidRPr="001268E7">
        <w:rPr>
          <w:rFonts w:cstheme="minorHAnsi"/>
          <w:sz w:val="24"/>
          <w:szCs w:val="24"/>
        </w:rPr>
        <w:t>Na granicy polsko-rosyjskiej funkcjonują</w:t>
      </w:r>
      <w:r w:rsidRPr="001268E7">
        <w:rPr>
          <w:rFonts w:cstheme="minorHAnsi"/>
          <w:sz w:val="24"/>
          <w:szCs w:val="24"/>
        </w:rPr>
        <w:t xml:space="preserve"> 4 drogowe przejścia graniczne oraz 3 kolejowe przejścia graniczne.</w:t>
      </w:r>
    </w:p>
    <w:p w:rsidR="003B42AD" w:rsidRPr="001268E7" w:rsidRDefault="003B42AD" w:rsidP="003B42AD">
      <w:pPr>
        <w:spacing w:before="100" w:beforeAutospacing="1" w:after="100" w:afterAutospacing="1" w:line="240" w:lineRule="auto"/>
        <w:jc w:val="both"/>
        <w:rPr>
          <w:rFonts w:cstheme="minorHAnsi"/>
          <w:sz w:val="24"/>
          <w:szCs w:val="24"/>
        </w:rPr>
      </w:pPr>
    </w:p>
    <w:p w:rsidR="003B42AD" w:rsidRPr="001268E7" w:rsidRDefault="003B42AD" w:rsidP="003B42AD">
      <w:pPr>
        <w:spacing w:before="100" w:beforeAutospacing="1" w:after="100" w:afterAutospacing="1" w:line="240" w:lineRule="auto"/>
        <w:jc w:val="both"/>
        <w:rPr>
          <w:rFonts w:cs="Calibri"/>
          <w:sz w:val="24"/>
          <w:szCs w:val="24"/>
        </w:rPr>
      </w:pPr>
      <w:r w:rsidRPr="001268E7">
        <w:rPr>
          <w:noProof/>
          <w:sz w:val="24"/>
          <w:lang w:eastAsia="pl-PL"/>
        </w:rPr>
        <w:drawing>
          <wp:inline distT="0" distB="0" distL="0" distR="0" wp14:anchorId="65C64554" wp14:editId="025E8900">
            <wp:extent cx="5663565" cy="3470910"/>
            <wp:effectExtent l="0" t="0" r="0" b="0"/>
            <wp:docPr id="1" name="Obraz 1" descr="map_new_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ap_new_programm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3565" cy="3470910"/>
                    </a:xfrm>
                    <a:prstGeom prst="rect">
                      <a:avLst/>
                    </a:prstGeom>
                    <a:noFill/>
                    <a:ln>
                      <a:noFill/>
                    </a:ln>
                  </pic:spPr>
                </pic:pic>
              </a:graphicData>
            </a:graphic>
          </wp:inline>
        </w:drawing>
      </w:r>
    </w:p>
    <w:p w:rsidR="007C2CE4" w:rsidRPr="00A32789" w:rsidRDefault="007C2CE4" w:rsidP="007C2CE4">
      <w:pPr>
        <w:spacing w:after="0" w:line="240" w:lineRule="auto"/>
        <w:contextualSpacing/>
        <w:jc w:val="both"/>
        <w:rPr>
          <w:b/>
          <w:i/>
          <w:sz w:val="20"/>
        </w:rPr>
      </w:pPr>
      <w:r w:rsidRPr="00A32789">
        <w:rPr>
          <w:b/>
          <w:i/>
          <w:sz w:val="20"/>
        </w:rPr>
        <w:t>Mapa 1. Obszar Programu Współpracy Transgranicznej Polska-Rosja 2014-2020</w:t>
      </w:r>
    </w:p>
    <w:p w:rsidR="003B42AD" w:rsidRPr="001268E7" w:rsidRDefault="00681E55" w:rsidP="00681E55">
      <w:pPr>
        <w:spacing w:before="100" w:beforeAutospacing="1" w:after="100" w:afterAutospacing="1" w:line="240" w:lineRule="auto"/>
        <w:jc w:val="both"/>
        <w:rPr>
          <w:rStyle w:val="Wyrnieniedelikatne2"/>
        </w:rPr>
      </w:pPr>
      <w:r w:rsidRPr="001268E7">
        <w:rPr>
          <w:rFonts w:cstheme="minorHAnsi"/>
          <w:iCs/>
          <w:sz w:val="24"/>
          <w:szCs w:val="24"/>
        </w:rPr>
        <w:t>Obszar Programu składa</w:t>
      </w:r>
      <w:r w:rsidR="00C716DD" w:rsidRPr="001268E7">
        <w:rPr>
          <w:rFonts w:cstheme="minorHAnsi"/>
          <w:iCs/>
          <w:sz w:val="24"/>
          <w:szCs w:val="24"/>
        </w:rPr>
        <w:t xml:space="preserve"> się z głównych i przyległych regionów, jak również</w:t>
      </w:r>
      <w:r w:rsidRPr="001268E7">
        <w:rPr>
          <w:rFonts w:cstheme="minorHAnsi"/>
          <w:iCs/>
          <w:sz w:val="24"/>
          <w:szCs w:val="24"/>
        </w:rPr>
        <w:t xml:space="preserve"> głównych społecznych, gospodarczych i kultur</w:t>
      </w:r>
      <w:r w:rsidR="005A037D" w:rsidRPr="001268E7">
        <w:rPr>
          <w:rFonts w:cstheme="minorHAnsi"/>
          <w:iCs/>
          <w:sz w:val="24"/>
          <w:szCs w:val="24"/>
        </w:rPr>
        <w:t xml:space="preserve">owych </w:t>
      </w:r>
      <w:r w:rsidRPr="001268E7">
        <w:rPr>
          <w:rFonts w:cstheme="minorHAnsi"/>
          <w:iCs/>
          <w:sz w:val="24"/>
          <w:szCs w:val="24"/>
        </w:rPr>
        <w:t>ośrodków.</w:t>
      </w:r>
    </w:p>
    <w:p w:rsidR="003B42AD" w:rsidRPr="001268E7" w:rsidRDefault="00681E55" w:rsidP="00681E55">
      <w:pPr>
        <w:spacing w:before="100" w:beforeAutospacing="1" w:after="100" w:afterAutospacing="1" w:line="240" w:lineRule="auto"/>
        <w:jc w:val="both"/>
        <w:rPr>
          <w:rStyle w:val="Wyrnieniedelikatne"/>
        </w:rPr>
      </w:pPr>
      <w:r w:rsidRPr="001268E7">
        <w:rPr>
          <w:rStyle w:val="Wyrnieniedelikatne"/>
        </w:rPr>
        <w:t>Główne regiony</w:t>
      </w:r>
    </w:p>
    <w:p w:rsidR="003B42AD" w:rsidRPr="001268E7" w:rsidRDefault="00681E55" w:rsidP="00681E55">
      <w:pPr>
        <w:spacing w:before="100" w:beforeAutospacing="1" w:after="100" w:afterAutospacing="1" w:line="240" w:lineRule="auto"/>
        <w:jc w:val="both"/>
        <w:rPr>
          <w:rFonts w:cstheme="minorHAnsi"/>
          <w:sz w:val="24"/>
          <w:szCs w:val="24"/>
        </w:rPr>
      </w:pPr>
      <w:r w:rsidRPr="001268E7">
        <w:rPr>
          <w:rFonts w:cstheme="minorHAnsi"/>
          <w:sz w:val="24"/>
          <w:szCs w:val="24"/>
        </w:rPr>
        <w:t>Obszar Programu obejmuje następujące jednostki jako główne regiony:</w:t>
      </w:r>
    </w:p>
    <w:p w:rsidR="00681E55" w:rsidRPr="001268E7" w:rsidRDefault="00681E55" w:rsidP="00C62170">
      <w:pPr>
        <w:pStyle w:val="Akapitzlist"/>
        <w:numPr>
          <w:ilvl w:val="0"/>
          <w:numId w:val="18"/>
        </w:numPr>
        <w:spacing w:before="100" w:beforeAutospacing="1" w:after="100" w:afterAutospacing="1" w:line="240" w:lineRule="auto"/>
        <w:jc w:val="both"/>
        <w:rPr>
          <w:sz w:val="24"/>
        </w:rPr>
      </w:pPr>
      <w:r w:rsidRPr="001268E7">
        <w:rPr>
          <w:sz w:val="24"/>
        </w:rPr>
        <w:t>W Polsce - jednostki NUTS III:</w:t>
      </w:r>
    </w:p>
    <w:p w:rsidR="00681E55" w:rsidRPr="001268E7" w:rsidRDefault="00681E55"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gdański (region pomorski);</w:t>
      </w:r>
    </w:p>
    <w:p w:rsidR="00681E55" w:rsidRPr="001268E7" w:rsidRDefault="00681E55"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lastRenderedPageBreak/>
        <w:t>podregion trójmiejski (region pomorski);</w:t>
      </w:r>
    </w:p>
    <w:p w:rsidR="00681E55" w:rsidRPr="001268E7" w:rsidRDefault="00681E55"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starogardzki (region pomorski);</w:t>
      </w:r>
    </w:p>
    <w:p w:rsidR="00681E55" w:rsidRPr="001268E7" w:rsidRDefault="00681E55"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elbląski (region warmińsko-mazurski);</w:t>
      </w:r>
    </w:p>
    <w:p w:rsidR="00681E55" w:rsidRPr="001268E7" w:rsidRDefault="00681E55"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olsztyński (region warmińsko-mazurski);</w:t>
      </w:r>
    </w:p>
    <w:p w:rsidR="00681E55" w:rsidRPr="001268E7" w:rsidRDefault="00681E55"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ełcki (region warmińsko-mazurski);</w:t>
      </w:r>
    </w:p>
    <w:p w:rsidR="00681E55" w:rsidRPr="001268E7" w:rsidRDefault="00681E55" w:rsidP="00C62170">
      <w:pPr>
        <w:pStyle w:val="Akapitzlist"/>
        <w:numPr>
          <w:ilvl w:val="0"/>
          <w:numId w:val="20"/>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suwalski (region podlaski);</w:t>
      </w:r>
    </w:p>
    <w:p w:rsidR="00681E55" w:rsidRPr="001268E7" w:rsidRDefault="00681E55" w:rsidP="00C62170">
      <w:pPr>
        <w:pStyle w:val="Akapitzlist"/>
        <w:numPr>
          <w:ilvl w:val="0"/>
          <w:numId w:val="19"/>
        </w:numPr>
        <w:spacing w:before="100" w:beforeAutospacing="1" w:after="100" w:afterAutospacing="1" w:line="240" w:lineRule="auto"/>
        <w:jc w:val="both"/>
        <w:rPr>
          <w:rFonts w:cstheme="minorHAnsi"/>
          <w:sz w:val="24"/>
          <w:szCs w:val="24"/>
        </w:rPr>
      </w:pPr>
      <w:r w:rsidRPr="001268E7">
        <w:rPr>
          <w:rFonts w:cstheme="minorHAnsi"/>
          <w:sz w:val="24"/>
          <w:szCs w:val="24"/>
        </w:rPr>
        <w:t>W Federacji Rosyjskiej:</w:t>
      </w:r>
    </w:p>
    <w:p w:rsidR="00681E55" w:rsidRPr="001268E7" w:rsidRDefault="00681E55" w:rsidP="00C62170">
      <w:pPr>
        <w:pStyle w:val="Akapitzlist"/>
        <w:numPr>
          <w:ilvl w:val="0"/>
          <w:numId w:val="21"/>
        </w:numPr>
        <w:spacing w:before="100" w:beforeAutospacing="1" w:after="100" w:afterAutospacing="1" w:line="240" w:lineRule="auto"/>
        <w:contextualSpacing w:val="0"/>
        <w:jc w:val="both"/>
        <w:rPr>
          <w:rFonts w:cs="Calibri"/>
          <w:sz w:val="24"/>
          <w:szCs w:val="24"/>
        </w:rPr>
      </w:pPr>
      <w:r w:rsidRPr="001268E7">
        <w:rPr>
          <w:rFonts w:cs="Calibri"/>
          <w:sz w:val="24"/>
          <w:szCs w:val="24"/>
        </w:rPr>
        <w:t>obwód kaliningradzki.</w:t>
      </w:r>
    </w:p>
    <w:p w:rsidR="003B42AD" w:rsidRPr="001268E7" w:rsidRDefault="00681E55" w:rsidP="00681E55">
      <w:pPr>
        <w:spacing w:before="100" w:beforeAutospacing="1" w:after="100" w:afterAutospacing="1" w:line="240" w:lineRule="auto"/>
        <w:jc w:val="both"/>
        <w:rPr>
          <w:rFonts w:cstheme="minorHAnsi"/>
          <w:sz w:val="24"/>
          <w:szCs w:val="24"/>
        </w:rPr>
      </w:pPr>
      <w:r w:rsidRPr="001268E7">
        <w:rPr>
          <w:rFonts w:cstheme="minorHAnsi"/>
          <w:sz w:val="24"/>
          <w:szCs w:val="24"/>
        </w:rPr>
        <w:t xml:space="preserve">Podregion elbląski, olsztyński, ełcki i suwalski </w:t>
      </w:r>
      <w:r w:rsidR="00C716DD" w:rsidRPr="001268E7">
        <w:rPr>
          <w:rFonts w:cstheme="minorHAnsi"/>
          <w:sz w:val="24"/>
          <w:szCs w:val="24"/>
        </w:rPr>
        <w:t>są</w:t>
      </w:r>
      <w:r w:rsidRPr="001268E7">
        <w:rPr>
          <w:rFonts w:cstheme="minorHAnsi"/>
          <w:sz w:val="24"/>
          <w:szCs w:val="24"/>
        </w:rPr>
        <w:t xml:space="preserve"> bezpośrednio zlokalizowane na granicy pomiędzy Polską i Federacją Rosyjską.</w:t>
      </w:r>
      <w:r w:rsidR="003B42AD" w:rsidRPr="001268E7">
        <w:rPr>
          <w:rFonts w:cstheme="minorHAnsi"/>
          <w:sz w:val="24"/>
          <w:szCs w:val="24"/>
        </w:rPr>
        <w:t xml:space="preserve"> </w:t>
      </w:r>
      <w:r w:rsidRPr="001268E7">
        <w:rPr>
          <w:rFonts w:cstheme="minorHAnsi"/>
          <w:sz w:val="24"/>
          <w:szCs w:val="24"/>
        </w:rPr>
        <w:t xml:space="preserve">Podregion trójmiejski został administracyjnie oddzielony od podregionu gdańskiego, zachowując z nim pełną funkcjonalną spójność, a z uwagi </w:t>
      </w:r>
      <w:r w:rsidR="00C716DD" w:rsidRPr="001268E7">
        <w:rPr>
          <w:rFonts w:cstheme="minorHAnsi"/>
          <w:sz w:val="24"/>
          <w:szCs w:val="24"/>
        </w:rPr>
        <w:t xml:space="preserve">na </w:t>
      </w:r>
      <w:r w:rsidRPr="001268E7">
        <w:rPr>
          <w:rFonts w:cstheme="minorHAnsi"/>
          <w:sz w:val="24"/>
          <w:szCs w:val="24"/>
        </w:rPr>
        <w:t>swoją lokalizację przy Zatoce Gdańskiej</w:t>
      </w:r>
      <w:r w:rsidR="00C716DD" w:rsidRPr="001268E7">
        <w:rPr>
          <w:rFonts w:cstheme="minorHAnsi"/>
          <w:sz w:val="24"/>
          <w:szCs w:val="24"/>
        </w:rPr>
        <w:t>,</w:t>
      </w:r>
      <w:r w:rsidRPr="001268E7">
        <w:rPr>
          <w:rFonts w:cstheme="minorHAnsi"/>
          <w:sz w:val="24"/>
          <w:szCs w:val="24"/>
        </w:rPr>
        <w:t xml:space="preserve"> przecina go granica morska pomiędzy Polską i Rosją.</w:t>
      </w:r>
      <w:r w:rsidR="003B42AD" w:rsidRPr="001268E7">
        <w:rPr>
          <w:rFonts w:cstheme="minorHAnsi"/>
          <w:sz w:val="24"/>
          <w:szCs w:val="24"/>
        </w:rPr>
        <w:t xml:space="preserve"> </w:t>
      </w:r>
      <w:r w:rsidRPr="001268E7">
        <w:rPr>
          <w:rFonts w:cstheme="minorHAnsi"/>
          <w:sz w:val="24"/>
          <w:szCs w:val="24"/>
        </w:rPr>
        <w:t>Podregion starogardzki ma relatywnie mocno rozwinięte transgraniczne powiązania i jest usytuowany blisko granicy, w regionie pomorskim.</w:t>
      </w:r>
      <w:r w:rsidR="003B42AD" w:rsidRPr="001268E7">
        <w:rPr>
          <w:rFonts w:cs="Calibri"/>
          <w:sz w:val="24"/>
          <w:szCs w:val="24"/>
        </w:rPr>
        <w:t xml:space="preserve"> </w:t>
      </w:r>
      <w:r w:rsidR="00C716DD" w:rsidRPr="001268E7">
        <w:rPr>
          <w:rFonts w:cs="Calibri"/>
          <w:sz w:val="24"/>
          <w:szCs w:val="24"/>
        </w:rPr>
        <w:t>Najdłuższa granica lądowa z obwodem</w:t>
      </w:r>
      <w:r w:rsidRPr="001268E7">
        <w:rPr>
          <w:rFonts w:cs="Calibri"/>
          <w:sz w:val="24"/>
          <w:szCs w:val="24"/>
        </w:rPr>
        <w:t xml:space="preserve"> kaliningradzki</w:t>
      </w:r>
      <w:r w:rsidR="00C716DD" w:rsidRPr="001268E7">
        <w:rPr>
          <w:rFonts w:cs="Calibri"/>
          <w:sz w:val="24"/>
          <w:szCs w:val="24"/>
        </w:rPr>
        <w:t>m,</w:t>
      </w:r>
      <w:r w:rsidRPr="001268E7">
        <w:rPr>
          <w:rFonts w:cs="Calibri"/>
          <w:sz w:val="24"/>
          <w:szCs w:val="24"/>
        </w:rPr>
        <w:t xml:space="preserve"> wynosząca 210 km</w:t>
      </w:r>
      <w:r w:rsidR="00C716DD" w:rsidRPr="001268E7">
        <w:rPr>
          <w:rFonts w:cs="Calibri"/>
          <w:sz w:val="24"/>
          <w:szCs w:val="24"/>
        </w:rPr>
        <w:t>,</w:t>
      </w:r>
      <w:r w:rsidRPr="001268E7">
        <w:rPr>
          <w:rFonts w:cs="Calibri"/>
          <w:sz w:val="24"/>
          <w:szCs w:val="24"/>
        </w:rPr>
        <w:t xml:space="preserve"> obejmuje obszar województwa warmińsko-mazurskiego.</w:t>
      </w:r>
      <w:r w:rsidR="003B42AD" w:rsidRPr="001268E7">
        <w:rPr>
          <w:rFonts w:cs="Calibri"/>
          <w:sz w:val="24"/>
          <w:szCs w:val="24"/>
        </w:rPr>
        <w:t xml:space="preserve"> </w:t>
      </w:r>
    </w:p>
    <w:p w:rsidR="003B42AD" w:rsidRPr="001268E7" w:rsidRDefault="00681E55" w:rsidP="00681E55">
      <w:pPr>
        <w:spacing w:before="100" w:beforeAutospacing="1" w:after="100" w:afterAutospacing="1" w:line="240" w:lineRule="auto"/>
        <w:jc w:val="both"/>
        <w:rPr>
          <w:rStyle w:val="Wyrnieniedelikatne"/>
        </w:rPr>
      </w:pPr>
      <w:r w:rsidRPr="001268E7">
        <w:rPr>
          <w:rStyle w:val="Wyrnieniedelikatne"/>
        </w:rPr>
        <w:t>Przyległe regiony</w:t>
      </w:r>
    </w:p>
    <w:p w:rsidR="003B42AD" w:rsidRPr="001268E7" w:rsidRDefault="00681E55" w:rsidP="00681E55">
      <w:pPr>
        <w:spacing w:before="100" w:beforeAutospacing="1" w:after="100" w:afterAutospacing="1" w:line="240" w:lineRule="auto"/>
        <w:jc w:val="both"/>
        <w:rPr>
          <w:rFonts w:cstheme="minorHAnsi"/>
          <w:sz w:val="24"/>
          <w:szCs w:val="24"/>
        </w:rPr>
      </w:pPr>
      <w:r w:rsidRPr="001268E7">
        <w:rPr>
          <w:rFonts w:cstheme="minorHAnsi"/>
          <w:sz w:val="24"/>
          <w:szCs w:val="24"/>
        </w:rPr>
        <w:t>Obszar Programu obejmuje również następujące jednostki NUTS III jako przyległe regiony:</w:t>
      </w:r>
    </w:p>
    <w:p w:rsidR="00681E55" w:rsidRPr="001268E7" w:rsidRDefault="00681E55" w:rsidP="00C62170">
      <w:pPr>
        <w:pStyle w:val="Akapitzlist"/>
        <w:numPr>
          <w:ilvl w:val="0"/>
          <w:numId w:val="22"/>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słupski (region pomorski);</w:t>
      </w:r>
    </w:p>
    <w:p w:rsidR="00681E55" w:rsidRPr="001268E7" w:rsidRDefault="00681E55" w:rsidP="00C62170">
      <w:pPr>
        <w:pStyle w:val="Akapitzlist"/>
        <w:numPr>
          <w:ilvl w:val="0"/>
          <w:numId w:val="22"/>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podregion białostocki (region podlaski).</w:t>
      </w:r>
    </w:p>
    <w:p w:rsidR="003B42AD" w:rsidRPr="001268E7" w:rsidRDefault="00681E55" w:rsidP="00681E55">
      <w:pPr>
        <w:spacing w:before="100" w:beforeAutospacing="1" w:after="100" w:afterAutospacing="1" w:line="240" w:lineRule="auto"/>
        <w:jc w:val="both"/>
        <w:rPr>
          <w:rFonts w:cstheme="minorHAnsi"/>
          <w:sz w:val="24"/>
          <w:szCs w:val="24"/>
        </w:rPr>
      </w:pPr>
      <w:r w:rsidRPr="001268E7">
        <w:rPr>
          <w:rFonts w:cstheme="minorHAnsi"/>
          <w:sz w:val="24"/>
          <w:szCs w:val="24"/>
        </w:rPr>
        <w:t xml:space="preserve">Wyżej wspomniane regiony zostały włączone do obszaru Programu, ponieważ zapewniają kontynuację dotychczasowych schematów współpracy opracowanych w ramach PWT EISP Litwa-Polska-Rosja 2004-2006 </w:t>
      </w:r>
      <w:r w:rsidR="002D6C7E" w:rsidRPr="001268E7">
        <w:rPr>
          <w:rFonts w:cstheme="minorHAnsi"/>
          <w:sz w:val="24"/>
          <w:szCs w:val="24"/>
        </w:rPr>
        <w:t>i Litwa-Polska-Rosja 2007-2013.</w:t>
      </w:r>
      <w:r w:rsidRPr="001268E7">
        <w:rPr>
          <w:rFonts w:cstheme="minorHAnsi"/>
          <w:sz w:val="24"/>
          <w:szCs w:val="24"/>
        </w:rPr>
        <w:t xml:space="preserve"> Instytucje z tych regionów uczestniczyły w projektach, a ponadto obserwuje się współpracę pomiędzy miastami partnerskimi i euroregionami.</w:t>
      </w:r>
      <w:r w:rsidR="003B42AD" w:rsidRPr="001268E7">
        <w:rPr>
          <w:rFonts w:cstheme="minorHAnsi"/>
          <w:sz w:val="24"/>
          <w:szCs w:val="24"/>
        </w:rPr>
        <w:t xml:space="preserve"> </w:t>
      </w:r>
      <w:r w:rsidRPr="001268E7">
        <w:rPr>
          <w:rFonts w:cstheme="minorHAnsi"/>
          <w:sz w:val="24"/>
          <w:szCs w:val="24"/>
        </w:rPr>
        <w:t>Istotne jest kontynuowanie partnerstwa zbudowanego w latach 2004-2013 pomiędzy instytucjami społecznymi, gospodarczymi, naukowymi i lokalnymi.</w:t>
      </w:r>
      <w:r w:rsidR="003B42AD" w:rsidRPr="001268E7">
        <w:rPr>
          <w:rFonts w:cstheme="minorHAnsi"/>
          <w:sz w:val="24"/>
          <w:szCs w:val="24"/>
        </w:rPr>
        <w:t xml:space="preserve"> </w:t>
      </w:r>
    </w:p>
    <w:p w:rsidR="003B42AD" w:rsidRPr="001268E7" w:rsidRDefault="00681E55" w:rsidP="005A037D">
      <w:pPr>
        <w:spacing w:before="100" w:beforeAutospacing="1" w:after="100" w:afterAutospacing="1" w:line="240" w:lineRule="auto"/>
        <w:jc w:val="both"/>
        <w:rPr>
          <w:rStyle w:val="Wyrnieniedelikatne2"/>
        </w:rPr>
      </w:pPr>
      <w:r w:rsidRPr="001268E7">
        <w:rPr>
          <w:rStyle w:val="Wyrnieniedelikatne"/>
        </w:rPr>
        <w:t>Główne spo</w:t>
      </w:r>
      <w:r w:rsidR="005A037D" w:rsidRPr="001268E7">
        <w:rPr>
          <w:rStyle w:val="Wyrnieniedelikatne"/>
        </w:rPr>
        <w:t>łeczne, gospodarcze i kulturowe</w:t>
      </w:r>
      <w:r w:rsidRPr="001268E7">
        <w:rPr>
          <w:rStyle w:val="Wyrnieniedelikatne"/>
        </w:rPr>
        <w:t xml:space="preserve"> ośrodki.</w:t>
      </w:r>
    </w:p>
    <w:p w:rsidR="003B42AD" w:rsidRPr="001268E7" w:rsidRDefault="005A037D" w:rsidP="005A037D">
      <w:pPr>
        <w:spacing w:before="100" w:beforeAutospacing="1" w:after="100" w:afterAutospacing="1" w:line="240" w:lineRule="auto"/>
        <w:jc w:val="both"/>
        <w:rPr>
          <w:rFonts w:cstheme="minorHAnsi"/>
          <w:sz w:val="24"/>
          <w:szCs w:val="24"/>
        </w:rPr>
      </w:pPr>
      <w:r w:rsidRPr="001268E7">
        <w:rPr>
          <w:rFonts w:cstheme="minorHAnsi"/>
          <w:sz w:val="24"/>
          <w:szCs w:val="24"/>
        </w:rPr>
        <w:t xml:space="preserve">Moskwa została objęta Programem jako główny ośrodek gospodarczy, społeczny i </w:t>
      </w:r>
      <w:r w:rsidR="005A0E6C" w:rsidRPr="001268E7">
        <w:rPr>
          <w:rFonts w:cstheme="minorHAnsi"/>
          <w:sz w:val="24"/>
          <w:szCs w:val="24"/>
        </w:rPr>
        <w:t>kulturowy</w:t>
      </w:r>
      <w:r w:rsidRPr="001268E7">
        <w:rPr>
          <w:rFonts w:cstheme="minorHAnsi"/>
          <w:sz w:val="24"/>
          <w:szCs w:val="24"/>
        </w:rPr>
        <w:t>.</w:t>
      </w:r>
      <w:r w:rsidR="003B42AD" w:rsidRPr="001268E7">
        <w:rPr>
          <w:rFonts w:cstheme="minorHAnsi"/>
          <w:sz w:val="24"/>
          <w:szCs w:val="24"/>
        </w:rPr>
        <w:t xml:space="preserve"> </w:t>
      </w:r>
      <w:r w:rsidRPr="001268E7">
        <w:rPr>
          <w:rFonts w:cstheme="minorHAnsi"/>
          <w:sz w:val="24"/>
          <w:szCs w:val="24"/>
        </w:rPr>
        <w:t xml:space="preserve">Organizacje </w:t>
      </w:r>
      <w:r w:rsidRPr="001268E7">
        <w:rPr>
          <w:sz w:val="24"/>
        </w:rPr>
        <w:t xml:space="preserve">zlokalizowane w Moskwie mają monopol de jure lub de facto oraz posiadają kompetencje techniczne, </w:t>
      </w:r>
      <w:r w:rsidR="005A0E6C" w:rsidRPr="001268E7">
        <w:rPr>
          <w:sz w:val="24"/>
        </w:rPr>
        <w:t>wysoki stopień specjalizacji oraz</w:t>
      </w:r>
      <w:r w:rsidRPr="001268E7">
        <w:rPr>
          <w:sz w:val="24"/>
        </w:rPr>
        <w:t xml:space="preserve"> uprawnienia administracyjne </w:t>
      </w:r>
      <w:r w:rsidR="005A0E6C" w:rsidRPr="001268E7">
        <w:rPr>
          <w:sz w:val="24"/>
        </w:rPr>
        <w:t xml:space="preserve">wymagane </w:t>
      </w:r>
      <w:r w:rsidRPr="001268E7">
        <w:rPr>
          <w:sz w:val="24"/>
        </w:rPr>
        <w:t xml:space="preserve">do wdrożenia projektów w ramach </w:t>
      </w:r>
      <w:r w:rsidR="00826784" w:rsidRPr="001268E7">
        <w:rPr>
          <w:sz w:val="24"/>
        </w:rPr>
        <w:t>CT</w:t>
      </w:r>
      <w:r w:rsidRPr="001268E7">
        <w:rPr>
          <w:sz w:val="24"/>
        </w:rPr>
        <w:t xml:space="preserve"> 10 (</w:t>
      </w:r>
      <w:r w:rsidR="009158EB" w:rsidRPr="001268E7">
        <w:rPr>
          <w:sz w:val="24"/>
        </w:rPr>
        <w:t>wspieranie</w:t>
      </w:r>
      <w:r w:rsidR="00826784" w:rsidRPr="001268E7">
        <w:rPr>
          <w:sz w:val="24"/>
        </w:rPr>
        <w:t xml:space="preserve"> </w:t>
      </w:r>
      <w:r w:rsidRPr="001268E7">
        <w:rPr>
          <w:sz w:val="24"/>
        </w:rPr>
        <w:t xml:space="preserve">zarządzania granicami </w:t>
      </w:r>
      <w:r w:rsidR="00826784" w:rsidRPr="001268E7">
        <w:rPr>
          <w:sz w:val="24"/>
        </w:rPr>
        <w:t>oraz</w:t>
      </w:r>
      <w:r w:rsidRPr="001268E7">
        <w:rPr>
          <w:sz w:val="24"/>
        </w:rPr>
        <w:t xml:space="preserve"> bezpieczeństw</w:t>
      </w:r>
      <w:r w:rsidR="00826784" w:rsidRPr="001268E7">
        <w:rPr>
          <w:sz w:val="24"/>
        </w:rPr>
        <w:t>em</w:t>
      </w:r>
      <w:r w:rsidRPr="001268E7">
        <w:rPr>
          <w:sz w:val="24"/>
        </w:rPr>
        <w:t xml:space="preserve"> na granicach, zarządzanie mobilnością i migracj</w:t>
      </w:r>
      <w:r w:rsidR="00826784" w:rsidRPr="001268E7">
        <w:rPr>
          <w:sz w:val="24"/>
        </w:rPr>
        <w:t>ami</w:t>
      </w:r>
      <w:r w:rsidRPr="001268E7">
        <w:rPr>
          <w:sz w:val="24"/>
        </w:rPr>
        <w:t>).</w:t>
      </w:r>
      <w:r w:rsidR="003B42AD" w:rsidRPr="001268E7">
        <w:rPr>
          <w:rFonts w:cstheme="minorHAnsi"/>
          <w:sz w:val="24"/>
          <w:szCs w:val="24"/>
        </w:rPr>
        <w:t xml:space="preserve"> </w:t>
      </w:r>
      <w:r w:rsidRPr="001268E7">
        <w:rPr>
          <w:rFonts w:cstheme="minorHAnsi"/>
          <w:sz w:val="24"/>
          <w:szCs w:val="24"/>
        </w:rPr>
        <w:t>W związku z powyższym</w:t>
      </w:r>
      <w:r w:rsidR="005A0E6C" w:rsidRPr="001268E7">
        <w:rPr>
          <w:rFonts w:cstheme="minorHAnsi"/>
          <w:sz w:val="24"/>
          <w:szCs w:val="24"/>
        </w:rPr>
        <w:t xml:space="preserve"> </w:t>
      </w:r>
      <w:r w:rsidRPr="001268E7">
        <w:rPr>
          <w:rFonts w:cstheme="minorHAnsi"/>
          <w:sz w:val="24"/>
          <w:szCs w:val="24"/>
        </w:rPr>
        <w:t>udział Moskwy w znacznym stopniu przyczyni się do osiągnięcia celów Programu i przyniesie istotną wartość dodaną dla głównych/przyległych regionów.</w:t>
      </w:r>
      <w:r w:rsidR="00F141EB" w:rsidRPr="001268E7">
        <w:rPr>
          <w:rFonts w:cstheme="minorHAnsi"/>
          <w:sz w:val="24"/>
          <w:szCs w:val="24"/>
        </w:rPr>
        <w:t xml:space="preserve"> </w:t>
      </w:r>
      <w:r w:rsidRPr="001268E7">
        <w:rPr>
          <w:rFonts w:cstheme="minorHAnsi"/>
          <w:sz w:val="24"/>
          <w:szCs w:val="24"/>
        </w:rPr>
        <w:t xml:space="preserve">Jej udział w Programie będzie ograniczony do działań w ramach </w:t>
      </w:r>
      <w:r w:rsidR="00826784" w:rsidRPr="001268E7">
        <w:rPr>
          <w:rFonts w:cstheme="minorHAnsi"/>
          <w:sz w:val="24"/>
          <w:szCs w:val="24"/>
        </w:rPr>
        <w:t>CT</w:t>
      </w:r>
      <w:r w:rsidRPr="001268E7">
        <w:rPr>
          <w:rFonts w:cstheme="minorHAnsi"/>
          <w:sz w:val="24"/>
          <w:szCs w:val="24"/>
        </w:rPr>
        <w:t xml:space="preserve"> 10.</w:t>
      </w:r>
    </w:p>
    <w:p w:rsidR="003B42AD" w:rsidRPr="001268E7" w:rsidRDefault="005A037D" w:rsidP="00826784">
      <w:pPr>
        <w:spacing w:before="100" w:beforeAutospacing="1" w:after="100" w:afterAutospacing="1" w:line="240" w:lineRule="auto"/>
        <w:jc w:val="both"/>
        <w:rPr>
          <w:rFonts w:cstheme="minorHAnsi"/>
          <w:sz w:val="24"/>
          <w:szCs w:val="24"/>
        </w:rPr>
      </w:pPr>
      <w:r w:rsidRPr="001268E7">
        <w:rPr>
          <w:rFonts w:cstheme="minorHAnsi"/>
          <w:sz w:val="24"/>
          <w:szCs w:val="24"/>
        </w:rPr>
        <w:t>Warszawa została objęta Programem jako główny ośrodek gospodarczy, społeczny i kulturowy.</w:t>
      </w:r>
      <w:r w:rsidR="003B42AD" w:rsidRPr="001268E7">
        <w:rPr>
          <w:rFonts w:cstheme="minorHAnsi"/>
          <w:sz w:val="24"/>
          <w:szCs w:val="24"/>
        </w:rPr>
        <w:t xml:space="preserve"> </w:t>
      </w:r>
      <w:r w:rsidRPr="001268E7">
        <w:rPr>
          <w:rFonts w:cstheme="minorHAnsi"/>
          <w:sz w:val="24"/>
          <w:szCs w:val="24"/>
        </w:rPr>
        <w:t xml:space="preserve">Organizacje zlokalizowane w Warszawie mają monopol de jure lub de facto oraz posiadają techniczne kompetencje, </w:t>
      </w:r>
      <w:r w:rsidR="00F3072F" w:rsidRPr="001268E7">
        <w:rPr>
          <w:rFonts w:cstheme="minorHAnsi"/>
          <w:sz w:val="24"/>
          <w:szCs w:val="24"/>
        </w:rPr>
        <w:t>wysoki stopień specjalizacji oraz</w:t>
      </w:r>
      <w:r w:rsidRPr="001268E7">
        <w:rPr>
          <w:rFonts w:cstheme="minorHAnsi"/>
          <w:sz w:val="24"/>
          <w:szCs w:val="24"/>
        </w:rPr>
        <w:t xml:space="preserve"> uprawnienia </w:t>
      </w:r>
      <w:r w:rsidRPr="001268E7">
        <w:rPr>
          <w:rFonts w:cstheme="minorHAnsi"/>
          <w:sz w:val="24"/>
          <w:szCs w:val="24"/>
        </w:rPr>
        <w:lastRenderedPageBreak/>
        <w:t xml:space="preserve">administracyjne </w:t>
      </w:r>
      <w:r w:rsidR="00F3072F" w:rsidRPr="001268E7">
        <w:rPr>
          <w:rFonts w:cstheme="minorHAnsi"/>
          <w:sz w:val="24"/>
          <w:szCs w:val="24"/>
        </w:rPr>
        <w:t xml:space="preserve">wymagane </w:t>
      </w:r>
      <w:r w:rsidRPr="001268E7">
        <w:rPr>
          <w:rFonts w:cstheme="minorHAnsi"/>
          <w:sz w:val="24"/>
          <w:szCs w:val="24"/>
        </w:rPr>
        <w:t>do wdrożenia projektów w ramac</w:t>
      </w:r>
      <w:r w:rsidR="00826784" w:rsidRPr="001268E7">
        <w:rPr>
          <w:rFonts w:cstheme="minorHAnsi"/>
          <w:sz w:val="24"/>
          <w:szCs w:val="24"/>
        </w:rPr>
        <w:t>h CT</w:t>
      </w:r>
      <w:r w:rsidRPr="001268E7">
        <w:rPr>
          <w:rFonts w:cstheme="minorHAnsi"/>
          <w:sz w:val="24"/>
          <w:szCs w:val="24"/>
        </w:rPr>
        <w:t xml:space="preserve"> 7 (</w:t>
      </w:r>
      <w:r w:rsidR="00F3072F" w:rsidRPr="001268E7">
        <w:rPr>
          <w:rFonts w:cstheme="minorHAnsi"/>
          <w:sz w:val="24"/>
          <w:szCs w:val="24"/>
        </w:rPr>
        <w:t>p</w:t>
      </w:r>
      <w:r w:rsidR="00826784" w:rsidRPr="001268E7">
        <w:rPr>
          <w:rFonts w:cstheme="minorHAnsi"/>
          <w:sz w:val="24"/>
          <w:szCs w:val="24"/>
        </w:rPr>
        <w:t>oprawa dostępności regionów, rozwój trwałego i odpornego na klimat transportu oraz sieci i systemów komunikacyjnych).</w:t>
      </w:r>
      <w:r w:rsidR="003B42AD" w:rsidRPr="001268E7">
        <w:rPr>
          <w:rFonts w:cstheme="minorHAnsi"/>
          <w:sz w:val="24"/>
          <w:szCs w:val="24"/>
        </w:rPr>
        <w:t xml:space="preserve"> </w:t>
      </w:r>
      <w:r w:rsidR="00826784" w:rsidRPr="001268E7">
        <w:rPr>
          <w:rFonts w:cstheme="minorHAnsi"/>
          <w:sz w:val="24"/>
          <w:szCs w:val="24"/>
        </w:rPr>
        <w:t>W z</w:t>
      </w:r>
      <w:r w:rsidR="00F3072F" w:rsidRPr="001268E7">
        <w:rPr>
          <w:rFonts w:cstheme="minorHAnsi"/>
          <w:sz w:val="24"/>
          <w:szCs w:val="24"/>
        </w:rPr>
        <w:t>wiązku z powyższym</w:t>
      </w:r>
      <w:r w:rsidR="00826784" w:rsidRPr="001268E7">
        <w:rPr>
          <w:rFonts w:cstheme="minorHAnsi"/>
          <w:sz w:val="24"/>
          <w:szCs w:val="24"/>
        </w:rPr>
        <w:t xml:space="preserve"> udział Warszawy w znacznym stopniu przyczyni się do osiągnięcia celów Programu i przyniesie istotną wartość dodaną dla głównych/przyległych regionów.</w:t>
      </w:r>
      <w:r w:rsidR="00F47C68" w:rsidRPr="001268E7">
        <w:rPr>
          <w:rFonts w:cstheme="minorHAnsi"/>
          <w:sz w:val="24"/>
          <w:szCs w:val="24"/>
        </w:rPr>
        <w:t xml:space="preserve"> </w:t>
      </w:r>
      <w:r w:rsidR="00826784" w:rsidRPr="001268E7">
        <w:rPr>
          <w:rFonts w:cstheme="minorHAnsi"/>
          <w:sz w:val="24"/>
          <w:szCs w:val="24"/>
        </w:rPr>
        <w:t>Jej udział w Programie będzie ograniczony do działań w ramach CT 7.</w:t>
      </w:r>
    </w:p>
    <w:p w:rsidR="003B42AD" w:rsidRPr="001268E7" w:rsidRDefault="00826784" w:rsidP="00826784">
      <w:pPr>
        <w:spacing w:before="100" w:beforeAutospacing="1" w:after="100" w:afterAutospacing="1" w:line="240" w:lineRule="auto"/>
        <w:jc w:val="both"/>
        <w:rPr>
          <w:rStyle w:val="Wyrnieniedelikatne"/>
        </w:rPr>
      </w:pPr>
      <w:r w:rsidRPr="001268E7">
        <w:rPr>
          <w:rStyle w:val="Wyrnieniedelikatne"/>
        </w:rPr>
        <w:t>Geograficzne kryteria kwalifikacji</w:t>
      </w:r>
    </w:p>
    <w:p w:rsidR="003B42AD" w:rsidRPr="001268E7" w:rsidRDefault="00826784" w:rsidP="00826784">
      <w:pPr>
        <w:spacing w:before="100" w:beforeAutospacing="1" w:after="100" w:afterAutospacing="1" w:line="240" w:lineRule="auto"/>
        <w:jc w:val="both"/>
        <w:rPr>
          <w:rFonts w:cstheme="minorHAnsi"/>
          <w:sz w:val="24"/>
          <w:szCs w:val="24"/>
        </w:rPr>
      </w:pPr>
      <w:r w:rsidRPr="001268E7">
        <w:rPr>
          <w:rFonts w:cstheme="minorHAnsi"/>
          <w:sz w:val="24"/>
          <w:szCs w:val="24"/>
        </w:rPr>
        <w:t>Wszystkie projekty muszą być wdr</w:t>
      </w:r>
      <w:r w:rsidR="009A70E8" w:rsidRPr="001268E7">
        <w:rPr>
          <w:rFonts w:cstheme="minorHAnsi"/>
          <w:sz w:val="24"/>
          <w:szCs w:val="24"/>
        </w:rPr>
        <w:t>ażane</w:t>
      </w:r>
      <w:r w:rsidRPr="001268E7">
        <w:rPr>
          <w:rFonts w:cstheme="minorHAnsi"/>
          <w:sz w:val="24"/>
          <w:szCs w:val="24"/>
        </w:rPr>
        <w:t xml:space="preserve"> w obszarze Programu.</w:t>
      </w:r>
      <w:r w:rsidR="003B42AD" w:rsidRPr="001268E7">
        <w:rPr>
          <w:rFonts w:cstheme="minorHAnsi"/>
          <w:sz w:val="24"/>
          <w:szCs w:val="24"/>
        </w:rPr>
        <w:t xml:space="preserve"> </w:t>
      </w:r>
      <w:r w:rsidRPr="001268E7">
        <w:rPr>
          <w:rFonts w:cstheme="minorHAnsi"/>
          <w:sz w:val="24"/>
          <w:szCs w:val="24"/>
        </w:rPr>
        <w:t>Działania poza obszarem P</w:t>
      </w:r>
      <w:r w:rsidR="009A70E8" w:rsidRPr="001268E7">
        <w:rPr>
          <w:rFonts w:cstheme="minorHAnsi"/>
          <w:sz w:val="24"/>
          <w:szCs w:val="24"/>
        </w:rPr>
        <w:t>rogramu mogą być realizowane</w:t>
      </w:r>
      <w:r w:rsidRPr="001268E7">
        <w:rPr>
          <w:rFonts w:cstheme="minorHAnsi"/>
          <w:sz w:val="24"/>
          <w:szCs w:val="24"/>
        </w:rPr>
        <w:t xml:space="preserve"> wyłącznie w należycie uzasadnionych przypadkach, g</w:t>
      </w:r>
      <w:r w:rsidR="009A70E8" w:rsidRPr="001268E7">
        <w:rPr>
          <w:rFonts w:cstheme="minorHAnsi"/>
          <w:sz w:val="24"/>
          <w:szCs w:val="24"/>
        </w:rPr>
        <w:t>dy jest to konieczne do osiągnięcia celów Programu i przyniesie to</w:t>
      </w:r>
      <w:r w:rsidRPr="001268E7">
        <w:rPr>
          <w:rFonts w:cstheme="minorHAnsi"/>
          <w:sz w:val="24"/>
          <w:szCs w:val="24"/>
        </w:rPr>
        <w:t xml:space="preserve"> korzyść dla głównych/przyległych regionów.</w:t>
      </w:r>
      <w:r w:rsidR="003B42AD" w:rsidRPr="001268E7">
        <w:rPr>
          <w:rFonts w:cstheme="minorHAnsi"/>
          <w:sz w:val="24"/>
          <w:szCs w:val="24"/>
        </w:rPr>
        <w:t xml:space="preserve"> </w:t>
      </w:r>
      <w:r w:rsidRPr="001268E7">
        <w:rPr>
          <w:rFonts w:cstheme="minorHAnsi"/>
          <w:sz w:val="24"/>
          <w:szCs w:val="24"/>
        </w:rPr>
        <w:t xml:space="preserve">Zaangażowanie beneficjentów </w:t>
      </w:r>
      <w:r w:rsidR="009A70E8" w:rsidRPr="001268E7">
        <w:rPr>
          <w:rFonts w:cstheme="minorHAnsi"/>
          <w:sz w:val="24"/>
          <w:szCs w:val="24"/>
        </w:rPr>
        <w:t xml:space="preserve">znajdujących się </w:t>
      </w:r>
      <w:r w:rsidRPr="001268E7">
        <w:rPr>
          <w:rFonts w:cstheme="minorHAnsi"/>
          <w:sz w:val="24"/>
          <w:szCs w:val="24"/>
        </w:rPr>
        <w:t>w głównych społecznych, gospodarczych i kulturowych ośrodkach musi być określone i uzasadnione na poziomie projektu, musi być istotne dla osiągnięcia określonych celów projektu w głównych/przyległych regionach Programu oraz musi być kluczowe dla zapewnienia trwałości działań w głównych/przyległych regionach Programu.</w:t>
      </w:r>
      <w:r w:rsidR="003B42AD" w:rsidRPr="001268E7">
        <w:rPr>
          <w:rFonts w:cstheme="minorHAnsi"/>
          <w:sz w:val="24"/>
          <w:szCs w:val="24"/>
        </w:rPr>
        <w:t xml:space="preserve"> </w:t>
      </w:r>
      <w:r w:rsidRPr="001268E7">
        <w:rPr>
          <w:rFonts w:cstheme="minorHAnsi"/>
          <w:sz w:val="24"/>
          <w:szCs w:val="24"/>
        </w:rPr>
        <w:t xml:space="preserve">Łączna </w:t>
      </w:r>
      <w:r w:rsidR="009A70E8" w:rsidRPr="001268E7">
        <w:rPr>
          <w:rFonts w:cstheme="minorHAnsi"/>
          <w:sz w:val="24"/>
          <w:szCs w:val="24"/>
        </w:rPr>
        <w:t>kwota wydana w ramach P</w:t>
      </w:r>
      <w:r w:rsidRPr="001268E7">
        <w:rPr>
          <w:rFonts w:cstheme="minorHAnsi"/>
          <w:sz w:val="24"/>
          <w:szCs w:val="24"/>
        </w:rPr>
        <w:t>rogr</w:t>
      </w:r>
      <w:r w:rsidR="009A70E8" w:rsidRPr="001268E7">
        <w:rPr>
          <w:rFonts w:cstheme="minorHAnsi"/>
          <w:sz w:val="24"/>
          <w:szCs w:val="24"/>
        </w:rPr>
        <w:t>amu na działania poza obszarem P</w:t>
      </w:r>
      <w:r w:rsidRPr="001268E7">
        <w:rPr>
          <w:rFonts w:cstheme="minorHAnsi"/>
          <w:sz w:val="24"/>
          <w:szCs w:val="24"/>
        </w:rPr>
        <w:t>rogramu nie może przekroczyć 10% wkładu Unii na poziomie programowym.</w:t>
      </w:r>
      <w:r w:rsidR="003B42AD" w:rsidRPr="001268E7">
        <w:rPr>
          <w:rFonts w:cstheme="minorHAnsi"/>
          <w:sz w:val="24"/>
          <w:szCs w:val="24"/>
        </w:rPr>
        <w:t xml:space="preserve"> </w:t>
      </w:r>
    </w:p>
    <w:p w:rsidR="003B42AD" w:rsidRPr="001268E7" w:rsidRDefault="00826784" w:rsidP="00826784">
      <w:pPr>
        <w:spacing w:before="100" w:beforeAutospacing="1" w:after="100" w:afterAutospacing="1" w:line="240" w:lineRule="auto"/>
        <w:jc w:val="both"/>
        <w:rPr>
          <w:sz w:val="24"/>
        </w:rPr>
      </w:pPr>
      <w:r w:rsidRPr="001268E7">
        <w:rPr>
          <w:rFonts w:cstheme="minorHAnsi"/>
          <w:sz w:val="24"/>
          <w:szCs w:val="24"/>
        </w:rPr>
        <w:t>Projekty w przyleg</w:t>
      </w:r>
      <w:r w:rsidR="009A70E8" w:rsidRPr="001268E7">
        <w:rPr>
          <w:rFonts w:cstheme="minorHAnsi"/>
          <w:sz w:val="24"/>
          <w:szCs w:val="24"/>
        </w:rPr>
        <w:t>łych regionach mogą być realizowane</w:t>
      </w:r>
      <w:r w:rsidRPr="001268E7">
        <w:rPr>
          <w:rFonts w:cstheme="minorHAnsi"/>
          <w:sz w:val="24"/>
          <w:szCs w:val="24"/>
        </w:rPr>
        <w:t xml:space="preserve"> w ramach PWT Polska-Rosja pod warunkiem, że fundusze Programu przeznaczone na projekty z tych podregionów </w:t>
      </w:r>
      <w:r w:rsidR="000C564F" w:rsidRPr="001268E7">
        <w:rPr>
          <w:rFonts w:cstheme="minorHAnsi"/>
          <w:sz w:val="24"/>
          <w:szCs w:val="24"/>
        </w:rPr>
        <w:t>nie przekroczą 10% alokacji UE na</w:t>
      </w:r>
      <w:r w:rsidRPr="001268E7">
        <w:rPr>
          <w:rFonts w:cstheme="minorHAnsi"/>
          <w:sz w:val="24"/>
          <w:szCs w:val="24"/>
        </w:rPr>
        <w:t xml:space="preserve"> realizację Programu.</w:t>
      </w:r>
      <w:r w:rsidR="003B42AD" w:rsidRPr="001268E7">
        <w:rPr>
          <w:sz w:val="24"/>
        </w:rPr>
        <w:t xml:space="preserve"> </w:t>
      </w:r>
      <w:r w:rsidRPr="001268E7">
        <w:rPr>
          <w:sz w:val="24"/>
        </w:rPr>
        <w:t>Organizacje z przyległych regionów mogą ubiegać się o fundusze Programu na tych samych warunkach co organizacje z głównych regionów.</w:t>
      </w:r>
      <w:r w:rsidR="003B42AD" w:rsidRPr="001268E7">
        <w:rPr>
          <w:sz w:val="24"/>
        </w:rPr>
        <w:t xml:space="preserve"> </w:t>
      </w:r>
      <w:r w:rsidRPr="001268E7">
        <w:rPr>
          <w:sz w:val="24"/>
        </w:rPr>
        <w:t>Wyżej wspomniana zasada musi być stosowana przez Wspólny Komitent Monitorujący podczas wyboru projektów, które mają być sfinansowane z funduszy Programu.</w:t>
      </w:r>
      <w:r w:rsidR="003B42AD" w:rsidRPr="001268E7">
        <w:rPr>
          <w:sz w:val="24"/>
        </w:rPr>
        <w:t xml:space="preserve"> </w:t>
      </w:r>
    </w:p>
    <w:p w:rsidR="003B42AD" w:rsidRPr="001268E7" w:rsidRDefault="00826784" w:rsidP="00826784">
      <w:p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 xml:space="preserve">Duże Projekty Infrastrukturalne będą </w:t>
      </w:r>
      <w:r w:rsidR="000C564F" w:rsidRPr="001268E7">
        <w:rPr>
          <w:rFonts w:cstheme="minorHAnsi"/>
          <w:spacing w:val="4"/>
          <w:sz w:val="24"/>
          <w:szCs w:val="24"/>
        </w:rPr>
        <w:t>wdrażane</w:t>
      </w:r>
      <w:r w:rsidRPr="001268E7">
        <w:rPr>
          <w:rFonts w:cstheme="minorHAnsi"/>
          <w:spacing w:val="4"/>
          <w:sz w:val="24"/>
          <w:szCs w:val="24"/>
        </w:rPr>
        <w:t xml:space="preserve"> jedynie na głównym obszarze Programu.</w:t>
      </w:r>
    </w:p>
    <w:p w:rsidR="00634745" w:rsidRPr="001268E7" w:rsidRDefault="000C564F" w:rsidP="00826784">
      <w:pPr>
        <w:spacing w:after="0" w:line="240" w:lineRule="auto"/>
        <w:rPr>
          <w:rFonts w:cstheme="minorHAnsi"/>
          <w:sz w:val="24"/>
          <w:szCs w:val="24"/>
        </w:rPr>
      </w:pPr>
      <w:r w:rsidRPr="001268E7">
        <w:rPr>
          <w:rFonts w:cstheme="minorHAnsi"/>
          <w:sz w:val="24"/>
          <w:szCs w:val="24"/>
        </w:rPr>
        <w:t>W ramach realizacji projektów</w:t>
      </w:r>
      <w:r w:rsidR="00826784" w:rsidRPr="001268E7">
        <w:rPr>
          <w:rFonts w:cstheme="minorHAnsi"/>
          <w:sz w:val="24"/>
          <w:szCs w:val="24"/>
        </w:rPr>
        <w:t xml:space="preserve"> nie przewiduje się udziału </w:t>
      </w:r>
      <w:r w:rsidRPr="001268E7">
        <w:rPr>
          <w:rFonts w:cstheme="minorHAnsi"/>
          <w:sz w:val="24"/>
          <w:szCs w:val="24"/>
        </w:rPr>
        <w:t xml:space="preserve">ośrodków innych niż główne społeczne, gospodarcze lub kulturowe ośrodki </w:t>
      </w:r>
      <w:r w:rsidR="00826784" w:rsidRPr="001268E7">
        <w:rPr>
          <w:rFonts w:cstheme="minorHAnsi"/>
          <w:sz w:val="24"/>
          <w:szCs w:val="24"/>
        </w:rPr>
        <w:t>zlokalizowane na obszarze Programu lub o których mowa powyżej.</w:t>
      </w:r>
      <w:r w:rsidR="003B42AD" w:rsidRPr="001268E7">
        <w:rPr>
          <w:rFonts w:cstheme="minorHAnsi"/>
          <w:sz w:val="24"/>
          <w:szCs w:val="24"/>
        </w:rPr>
        <w:t xml:space="preserve"> </w:t>
      </w:r>
    </w:p>
    <w:p w:rsidR="00826784" w:rsidRPr="00DD6F42" w:rsidRDefault="00DD6F42" w:rsidP="00826784">
      <w:pPr>
        <w:pStyle w:val="Nagwek1"/>
        <w:numPr>
          <w:ilvl w:val="0"/>
          <w:numId w:val="2"/>
        </w:numPr>
        <w:ind w:left="426"/>
        <w:rPr>
          <w:szCs w:val="32"/>
        </w:rPr>
      </w:pPr>
      <w:bookmarkStart w:id="5" w:name="_Toc450221619"/>
      <w:bookmarkStart w:id="6" w:name="_Toc450221736"/>
      <w:bookmarkStart w:id="7" w:name="_Toc450221884"/>
      <w:bookmarkStart w:id="8" w:name="_Toc530737560"/>
      <w:bookmarkEnd w:id="5"/>
      <w:bookmarkEnd w:id="6"/>
      <w:bookmarkEnd w:id="7"/>
      <w:r w:rsidRPr="00DD6F42">
        <w:rPr>
          <w:rFonts w:cstheme="minorHAnsi"/>
          <w:szCs w:val="32"/>
        </w:rPr>
        <w:t>Strategia Programu</w:t>
      </w:r>
      <w:bookmarkEnd w:id="8"/>
    </w:p>
    <w:p w:rsidR="003B42AD" w:rsidRPr="001268E7" w:rsidRDefault="00E174A9" w:rsidP="00826784">
      <w:pPr>
        <w:pStyle w:val="Nagwek2"/>
      </w:pPr>
      <w:bookmarkStart w:id="9" w:name="_Toc530737561"/>
      <w:r w:rsidRPr="001268E7">
        <w:t xml:space="preserve">2.1 </w:t>
      </w:r>
      <w:r w:rsidR="00585D1A" w:rsidRPr="001268E7">
        <w:t>Opis s</w:t>
      </w:r>
      <w:r w:rsidR="00826784" w:rsidRPr="001268E7">
        <w:t>trategii Programu</w:t>
      </w:r>
      <w:bookmarkEnd w:id="9"/>
      <w:r w:rsidR="003B42AD" w:rsidRPr="001268E7">
        <w:t xml:space="preserve"> </w:t>
      </w:r>
    </w:p>
    <w:p w:rsidR="003B42AD" w:rsidRPr="001268E7" w:rsidRDefault="00826784" w:rsidP="00826784">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Głównym celem PWT Polska-Rosja 2014-2020 jest wspieranie transgranicznej współpracy w sferze społecznej, środowiskowej, gospodarczej i instytucjonalnej.</w:t>
      </w:r>
      <w:r w:rsidR="003B42AD" w:rsidRPr="001268E7">
        <w:rPr>
          <w:rFonts w:cstheme="minorHAnsi"/>
          <w:sz w:val="24"/>
          <w:szCs w:val="24"/>
        </w:rPr>
        <w:t xml:space="preserve"> </w:t>
      </w:r>
      <w:r w:rsidRPr="001268E7">
        <w:rPr>
          <w:rFonts w:cstheme="minorHAnsi"/>
          <w:sz w:val="24"/>
          <w:szCs w:val="24"/>
        </w:rPr>
        <w:t>Zasadniczo, Program został opracowany w taki sposób, aby realizacja działań w wyżej wspomnianych aspektach przyniosła skutki nie tylko w zakresie tych aspektów, ale również stworzyła podstawy do budowy i rozwoju transgranicznej współpracy oraz dobrych sąsiedzkich stosunków w transgranicznym regionie.</w:t>
      </w:r>
      <w:r w:rsidR="003B42AD" w:rsidRPr="001268E7">
        <w:rPr>
          <w:rFonts w:cstheme="minorHAnsi"/>
          <w:sz w:val="24"/>
          <w:szCs w:val="24"/>
        </w:rPr>
        <w:t xml:space="preserve"> </w:t>
      </w:r>
      <w:r w:rsidRPr="001268E7">
        <w:rPr>
          <w:rFonts w:cstheme="minorHAnsi"/>
          <w:sz w:val="24"/>
          <w:szCs w:val="24"/>
        </w:rPr>
        <w:t>Na dłuższą metę, należy się spodziewać, że takie działania będą sprzyjać integracji kwalifikowalnego obszaru.</w:t>
      </w:r>
      <w:r w:rsidR="003B42AD" w:rsidRPr="001268E7">
        <w:rPr>
          <w:rFonts w:cstheme="minorHAnsi"/>
          <w:sz w:val="24"/>
          <w:szCs w:val="24"/>
        </w:rPr>
        <w:t xml:space="preserve"> </w:t>
      </w:r>
      <w:r w:rsidRPr="001268E7">
        <w:rPr>
          <w:rFonts w:cstheme="minorHAnsi"/>
          <w:sz w:val="24"/>
          <w:szCs w:val="24"/>
        </w:rPr>
        <w:t xml:space="preserve">Aby tak się stało, konieczne jest ograniczenie </w:t>
      </w:r>
      <w:r w:rsidRPr="001268E7">
        <w:rPr>
          <w:rFonts w:cstheme="minorHAnsi"/>
          <w:sz w:val="24"/>
          <w:szCs w:val="24"/>
        </w:rPr>
        <w:lastRenderedPageBreak/>
        <w:t>barier utrudniających rozwój oraz wykorzystanie istniejących potencjałów oraz możliwości rozwoju.</w:t>
      </w:r>
      <w:r w:rsidR="003B42AD" w:rsidRPr="001268E7">
        <w:rPr>
          <w:rFonts w:cstheme="minorHAnsi"/>
          <w:sz w:val="24"/>
          <w:szCs w:val="24"/>
        </w:rPr>
        <w:t xml:space="preserve"> </w:t>
      </w:r>
    </w:p>
    <w:p w:rsidR="003B42AD" w:rsidRPr="001268E7" w:rsidRDefault="00826784" w:rsidP="00826784">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Można stwierdzić, że działania podejmowane w ramach Programu powinny przede wszystkim s</w:t>
      </w:r>
      <w:r w:rsidR="00E174A9" w:rsidRPr="001268E7">
        <w:rPr>
          <w:rFonts w:cstheme="minorHAnsi"/>
          <w:sz w:val="24"/>
          <w:szCs w:val="24"/>
        </w:rPr>
        <w:t>kupić się na sposobach wzmocnienia i wykorzystania mocnych stron</w:t>
      </w:r>
      <w:r w:rsidRPr="001268E7">
        <w:rPr>
          <w:rFonts w:cstheme="minorHAnsi"/>
          <w:sz w:val="24"/>
          <w:szCs w:val="24"/>
        </w:rPr>
        <w:t xml:space="preserve"> regionu oraz s</w:t>
      </w:r>
      <w:r w:rsidR="00E174A9" w:rsidRPr="001268E7">
        <w:rPr>
          <w:rFonts w:cstheme="minorHAnsi"/>
          <w:sz w:val="24"/>
          <w:szCs w:val="24"/>
        </w:rPr>
        <w:t>tworzenia warunków, w których możliwe będzie wykorzystanie szans</w:t>
      </w:r>
      <w:r w:rsidRPr="001268E7">
        <w:rPr>
          <w:rFonts w:cstheme="minorHAnsi"/>
          <w:sz w:val="24"/>
          <w:szCs w:val="24"/>
        </w:rPr>
        <w:t xml:space="preserve"> rozwoju.</w:t>
      </w:r>
      <w:r w:rsidR="003B42AD" w:rsidRPr="001268E7">
        <w:rPr>
          <w:rFonts w:cstheme="minorHAnsi"/>
          <w:sz w:val="24"/>
          <w:szCs w:val="24"/>
        </w:rPr>
        <w:t xml:space="preserve"> </w:t>
      </w:r>
      <w:r w:rsidRPr="001268E7">
        <w:rPr>
          <w:rFonts w:cstheme="minorHAnsi"/>
          <w:sz w:val="24"/>
          <w:szCs w:val="24"/>
        </w:rPr>
        <w:t>Należy jednak pamiętać, że to transgraniczny, a nie czysto rozwojowy program i z tego względu działania wspierające rozwój powinny zawsze wyraźnie obejmować aspekt budowania i wzmacniania współpracy pomiędzy instytucjami i osobami po obu stronach granicy.</w:t>
      </w:r>
    </w:p>
    <w:p w:rsidR="003B42AD" w:rsidRPr="001268E7" w:rsidRDefault="00826784" w:rsidP="005E50AA">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 xml:space="preserve">Zgodnie z </w:t>
      </w:r>
      <w:r w:rsidRPr="001268E7">
        <w:rPr>
          <w:rFonts w:cstheme="minorHAnsi"/>
          <w:i/>
          <w:sz w:val="24"/>
          <w:szCs w:val="24"/>
        </w:rPr>
        <w:t>Dokumentem Programowym dla wsparcia UE na rzecz Współpracy Transgranicznej EIS (2014-2020)</w:t>
      </w:r>
      <w:r w:rsidRPr="001268E7">
        <w:rPr>
          <w:rFonts w:cstheme="minorHAnsi"/>
          <w:sz w:val="24"/>
          <w:szCs w:val="24"/>
        </w:rPr>
        <w:t xml:space="preserve">, Strategia Programu uwzględnia i przyczynia się do osiągnięcia trzech </w:t>
      </w:r>
      <w:r w:rsidR="005E50AA" w:rsidRPr="001268E7">
        <w:rPr>
          <w:rFonts w:cstheme="minorHAnsi"/>
          <w:sz w:val="24"/>
          <w:szCs w:val="24"/>
        </w:rPr>
        <w:t>nadrzędnych celów strategicznych zdefiniowanych we wspomnianym dokumencie, tj.:</w:t>
      </w:r>
      <w:r w:rsidR="003B42AD" w:rsidRPr="001268E7">
        <w:rPr>
          <w:rFonts w:cstheme="minorHAnsi"/>
          <w:sz w:val="24"/>
          <w:szCs w:val="24"/>
        </w:rPr>
        <w:t xml:space="preserve"> </w:t>
      </w:r>
    </w:p>
    <w:p w:rsidR="005E50AA" w:rsidRPr="001268E7" w:rsidRDefault="004E0C59" w:rsidP="00C62170">
      <w:pPr>
        <w:pStyle w:val="Akapitzlist"/>
        <w:numPr>
          <w:ilvl w:val="0"/>
          <w:numId w:val="23"/>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wspieranie</w:t>
      </w:r>
      <w:r w:rsidR="005E50AA" w:rsidRPr="001268E7">
        <w:rPr>
          <w:rFonts w:cs="Calibri"/>
          <w:sz w:val="24"/>
          <w:szCs w:val="24"/>
          <w:lang w:eastAsia="pl-PL"/>
        </w:rPr>
        <w:t xml:space="preserve"> rozwoju gospodarczego i społecznego w regionach po obu stronach wspólnej granicy;</w:t>
      </w:r>
    </w:p>
    <w:p w:rsidR="005E50AA" w:rsidRPr="001268E7" w:rsidRDefault="005E50AA" w:rsidP="00C62170">
      <w:pPr>
        <w:pStyle w:val="Akapitzlist"/>
        <w:numPr>
          <w:ilvl w:val="0"/>
          <w:numId w:val="23"/>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rozwiązywanie wspólnych wyzwań dotyczących środowiska, zdrowia publicznego, bezpieczeństwa i ochrony;</w:t>
      </w:r>
    </w:p>
    <w:p w:rsidR="005E50AA" w:rsidRPr="001268E7" w:rsidRDefault="004E0C59" w:rsidP="00C62170">
      <w:pPr>
        <w:pStyle w:val="Akapitzlist"/>
        <w:numPr>
          <w:ilvl w:val="0"/>
          <w:numId w:val="23"/>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wspieranie</w:t>
      </w:r>
      <w:r w:rsidR="005E50AA" w:rsidRPr="001268E7">
        <w:rPr>
          <w:rFonts w:cs="Calibri"/>
          <w:sz w:val="24"/>
          <w:szCs w:val="24"/>
          <w:lang w:eastAsia="pl-PL"/>
        </w:rPr>
        <w:t xml:space="preserve"> lepszych warunków i zasad zapewniających mobilność osób, towarów i kapitału.</w:t>
      </w:r>
    </w:p>
    <w:p w:rsidR="003B42AD" w:rsidRPr="001268E7" w:rsidRDefault="005E50AA" w:rsidP="005E50AA">
      <w:pPr>
        <w:pStyle w:val="Akapitzlist1"/>
        <w:spacing w:before="100" w:beforeAutospacing="1" w:after="100" w:afterAutospacing="1" w:line="240" w:lineRule="auto"/>
        <w:ind w:left="0"/>
        <w:jc w:val="both"/>
        <w:rPr>
          <w:rFonts w:cs="Calibri"/>
          <w:sz w:val="24"/>
          <w:szCs w:val="24"/>
        </w:rPr>
      </w:pPr>
      <w:r w:rsidRPr="001268E7">
        <w:rPr>
          <w:rFonts w:cs="Calibri"/>
          <w:sz w:val="24"/>
          <w:szCs w:val="24"/>
        </w:rPr>
        <w:t>Dla Federacji R</w:t>
      </w:r>
      <w:r w:rsidR="004E0C59" w:rsidRPr="001268E7">
        <w:rPr>
          <w:rFonts w:cs="Calibri"/>
          <w:sz w:val="24"/>
          <w:szCs w:val="24"/>
        </w:rPr>
        <w:t>osyjskiej Program ten przyczyni</w:t>
      </w:r>
      <w:r w:rsidRPr="001268E7">
        <w:rPr>
          <w:rFonts w:cs="Calibri"/>
          <w:sz w:val="24"/>
          <w:szCs w:val="24"/>
        </w:rPr>
        <w:t xml:space="preserve"> się również do realizacji strategicznego celu </w:t>
      </w:r>
      <w:r w:rsidRPr="001268E7">
        <w:rPr>
          <w:rFonts w:cs="Calibri"/>
          <w:i/>
          <w:sz w:val="24"/>
          <w:szCs w:val="24"/>
        </w:rPr>
        <w:t>Strategii Rozwoju Społeczno-Gospodarczego Północno-Zachodniego Dystryktu Federalnego do 2020 r.</w:t>
      </w:r>
      <w:r w:rsidR="004E0C59" w:rsidRPr="001268E7">
        <w:rPr>
          <w:rFonts w:cs="Calibri"/>
          <w:sz w:val="24"/>
          <w:szCs w:val="24"/>
        </w:rPr>
        <w:t>, którym jest trwała poprawa</w:t>
      </w:r>
      <w:r w:rsidRPr="001268E7">
        <w:rPr>
          <w:rFonts w:cs="Calibri"/>
          <w:sz w:val="24"/>
          <w:szCs w:val="24"/>
        </w:rPr>
        <w:t xml:space="preserve"> standardu życia i warunków życiowych oraz ograniczenie różnic w regionach Północno-Zachodniego Dystryktu Federalnego, w oparciu o:</w:t>
      </w:r>
    </w:p>
    <w:p w:rsidR="005E50AA" w:rsidRPr="001268E7" w:rsidRDefault="005E50AA" w:rsidP="00C62170">
      <w:pPr>
        <w:pStyle w:val="Akapitzlist"/>
        <w:numPr>
          <w:ilvl w:val="0"/>
          <w:numId w:val="24"/>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przyspieszony rozwój gospodarki innowacyjnej;</w:t>
      </w:r>
    </w:p>
    <w:p w:rsidR="005E50AA" w:rsidRPr="001268E7" w:rsidRDefault="005E50AA" w:rsidP="00C62170">
      <w:pPr>
        <w:pStyle w:val="Akapitzlist"/>
        <w:numPr>
          <w:ilvl w:val="0"/>
          <w:numId w:val="24"/>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wsparcie dla polityki inwestycyjnej;</w:t>
      </w:r>
    </w:p>
    <w:p w:rsidR="005E50AA" w:rsidRPr="001268E7" w:rsidRDefault="002054CF" w:rsidP="00C62170">
      <w:pPr>
        <w:pStyle w:val="Akapitzlist"/>
        <w:numPr>
          <w:ilvl w:val="0"/>
          <w:numId w:val="24"/>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międzyregionalną i międzynarodową współpracę</w:t>
      </w:r>
      <w:r w:rsidR="005E50AA" w:rsidRPr="001268E7">
        <w:rPr>
          <w:rFonts w:cstheme="minorHAnsi"/>
          <w:sz w:val="24"/>
          <w:szCs w:val="24"/>
        </w:rPr>
        <w:t>.</w:t>
      </w:r>
    </w:p>
    <w:p w:rsidR="003B42AD" w:rsidRPr="001268E7" w:rsidRDefault="005E50AA" w:rsidP="005E50AA">
      <w:pPr>
        <w:pStyle w:val="Akapitzlist1"/>
        <w:spacing w:before="100" w:beforeAutospacing="1" w:after="100" w:afterAutospacing="1" w:line="240" w:lineRule="auto"/>
        <w:ind w:left="0"/>
        <w:jc w:val="both"/>
        <w:rPr>
          <w:rFonts w:cs="Calibri"/>
          <w:sz w:val="24"/>
          <w:szCs w:val="24"/>
        </w:rPr>
      </w:pPr>
      <w:r w:rsidRPr="001268E7">
        <w:rPr>
          <w:rFonts w:cs="Calibri"/>
          <w:sz w:val="24"/>
          <w:szCs w:val="24"/>
        </w:rPr>
        <w:t xml:space="preserve">Cele tematyczne tego Programu zostały określone zgodnie z głównymi działaniami </w:t>
      </w:r>
      <w:r w:rsidRPr="001268E7">
        <w:rPr>
          <w:rFonts w:cs="Calibri"/>
          <w:i/>
          <w:sz w:val="24"/>
          <w:szCs w:val="24"/>
        </w:rPr>
        <w:t>Planu Działania Strategii Północno-Zachodniego Dystryktu Federalnego 2020</w:t>
      </w:r>
      <w:r w:rsidRPr="001268E7">
        <w:rPr>
          <w:rFonts w:cs="Calibri"/>
          <w:sz w:val="24"/>
          <w:szCs w:val="24"/>
        </w:rPr>
        <w:t>:</w:t>
      </w:r>
    </w:p>
    <w:p w:rsidR="005E50AA" w:rsidRPr="001268E7" w:rsidRDefault="005E50AA" w:rsidP="00C62170">
      <w:pPr>
        <w:pStyle w:val="Akapitzlist"/>
        <w:numPr>
          <w:ilvl w:val="0"/>
          <w:numId w:val="25"/>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rozwój gospodarczy;</w:t>
      </w:r>
    </w:p>
    <w:p w:rsidR="005E50AA" w:rsidRPr="001268E7" w:rsidRDefault="005E50AA" w:rsidP="00C62170">
      <w:pPr>
        <w:pStyle w:val="Akapitzlist"/>
        <w:numPr>
          <w:ilvl w:val="0"/>
          <w:numId w:val="25"/>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usunięcie ograniczeń i barier w zakresie transportu, energii, informacji i inny</w:t>
      </w:r>
      <w:r w:rsidR="004E0C59" w:rsidRPr="001268E7">
        <w:rPr>
          <w:rFonts w:cstheme="minorHAnsi"/>
          <w:sz w:val="24"/>
          <w:szCs w:val="24"/>
        </w:rPr>
        <w:t>ch infrastrukturalnych aspektów</w:t>
      </w:r>
      <w:r w:rsidRPr="001268E7">
        <w:rPr>
          <w:rFonts w:cstheme="minorHAnsi"/>
          <w:sz w:val="24"/>
          <w:szCs w:val="24"/>
        </w:rPr>
        <w:t>;</w:t>
      </w:r>
    </w:p>
    <w:p w:rsidR="005E50AA" w:rsidRPr="001268E7" w:rsidRDefault="005E50AA" w:rsidP="00C62170">
      <w:pPr>
        <w:pStyle w:val="Akapitzlist"/>
        <w:numPr>
          <w:ilvl w:val="0"/>
          <w:numId w:val="25"/>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rozwój społeczny Północno-Zachodniego Dystryktu Federalnego;</w:t>
      </w:r>
    </w:p>
    <w:p w:rsidR="005E50AA" w:rsidRPr="001268E7" w:rsidRDefault="005E50AA" w:rsidP="00C62170">
      <w:pPr>
        <w:pStyle w:val="Akapitzlist"/>
        <w:numPr>
          <w:ilvl w:val="0"/>
          <w:numId w:val="25"/>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rozwiązywanie problemów środowiskowych.</w:t>
      </w:r>
    </w:p>
    <w:p w:rsidR="003B42AD" w:rsidRPr="001268E7" w:rsidRDefault="005E50AA" w:rsidP="005E50AA">
      <w:pPr>
        <w:pStyle w:val="Akapitzlist1"/>
        <w:spacing w:before="100" w:beforeAutospacing="1" w:after="100" w:afterAutospacing="1" w:line="240" w:lineRule="auto"/>
        <w:ind w:left="0"/>
        <w:jc w:val="both"/>
        <w:rPr>
          <w:rFonts w:cs="Calibri"/>
          <w:sz w:val="24"/>
          <w:szCs w:val="24"/>
        </w:rPr>
      </w:pPr>
      <w:r w:rsidRPr="001268E7">
        <w:rPr>
          <w:rFonts w:cs="Calibri"/>
          <w:sz w:val="24"/>
          <w:szCs w:val="24"/>
        </w:rPr>
        <w:t>Na podstawie tych założeń, w oparciu o analizę społeczno-gospodarczej sytuacji ob</w:t>
      </w:r>
      <w:r w:rsidR="004E0C59" w:rsidRPr="001268E7">
        <w:rPr>
          <w:rFonts w:cs="Calibri"/>
          <w:sz w:val="24"/>
          <w:szCs w:val="24"/>
        </w:rPr>
        <w:t>szaru kwalifikowalnego Programu</w:t>
      </w:r>
      <w:r w:rsidRPr="001268E7">
        <w:rPr>
          <w:rFonts w:cs="Calibri"/>
          <w:sz w:val="24"/>
          <w:szCs w:val="24"/>
        </w:rPr>
        <w:t xml:space="preserve"> oraz w oparciu o jego określone mocne i słabe strony, jak również biorąc pod uwagę możliwości i zagrożenia</w:t>
      </w:r>
      <w:r w:rsidR="009158EB" w:rsidRPr="001268E7">
        <w:rPr>
          <w:rFonts w:cs="Calibri"/>
          <w:sz w:val="24"/>
          <w:szCs w:val="24"/>
        </w:rPr>
        <w:t>,</w:t>
      </w:r>
      <w:r w:rsidRPr="001268E7">
        <w:rPr>
          <w:rFonts w:cs="Calibri"/>
          <w:sz w:val="24"/>
          <w:szCs w:val="24"/>
        </w:rPr>
        <w:t xml:space="preserve"> oraz korzystając z doświadczeń zdobytych w poprzednich Programach Współpracy Transgranicznej, Program koncentruje się na czterech Celach Tematycznych wybranych spośród listy załączonej do Dokumentu Programowego 2014-2020:</w:t>
      </w:r>
      <w:r w:rsidR="003B42AD" w:rsidRPr="001268E7">
        <w:rPr>
          <w:rFonts w:cs="Calibri"/>
          <w:sz w:val="24"/>
          <w:szCs w:val="24"/>
        </w:rPr>
        <w:t xml:space="preserve"> </w:t>
      </w:r>
    </w:p>
    <w:p w:rsidR="005E50AA" w:rsidRPr="001268E7" w:rsidRDefault="005E50AA" w:rsidP="00C62170">
      <w:pPr>
        <w:pStyle w:val="Akapitzlist"/>
        <w:numPr>
          <w:ilvl w:val="0"/>
          <w:numId w:val="26"/>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lastRenderedPageBreak/>
        <w:t>Cel Tematyczny 3 (</w:t>
      </w:r>
      <w:r w:rsidRPr="001268E7">
        <w:rPr>
          <w:rFonts w:cs="Calibri"/>
          <w:sz w:val="24"/>
          <w:szCs w:val="24"/>
          <w:lang w:eastAsia="pl-PL"/>
        </w:rPr>
        <w:t>Promocja kultury lokalnej i zachowanie dziedzictwa historycznego);</w:t>
      </w:r>
      <w:r w:rsidRPr="001268E7">
        <w:rPr>
          <w:rFonts w:cstheme="minorHAnsi"/>
          <w:sz w:val="24"/>
          <w:szCs w:val="24"/>
        </w:rPr>
        <w:t xml:space="preserve"> </w:t>
      </w:r>
    </w:p>
    <w:p w:rsidR="005E50AA" w:rsidRPr="001268E7" w:rsidRDefault="005E50AA" w:rsidP="00C62170">
      <w:pPr>
        <w:pStyle w:val="Akapitzlist"/>
        <w:numPr>
          <w:ilvl w:val="0"/>
          <w:numId w:val="26"/>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 xml:space="preserve">Cel Tematyczny 6 (Ochrona środowiska, łagodzenie zmian klimatycznych i adaptacja); </w:t>
      </w:r>
    </w:p>
    <w:p w:rsidR="005E50AA" w:rsidRPr="001268E7" w:rsidRDefault="005E50AA" w:rsidP="00C62170">
      <w:pPr>
        <w:pStyle w:val="Akapitzlist"/>
        <w:numPr>
          <w:ilvl w:val="0"/>
          <w:numId w:val="26"/>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Cel Tematyczny 7 (</w:t>
      </w:r>
      <w:r w:rsidRPr="001268E7">
        <w:rPr>
          <w:rFonts w:cs="Calibri"/>
          <w:sz w:val="24"/>
          <w:szCs w:val="24"/>
          <w:lang w:eastAsia="pl-PL"/>
        </w:rPr>
        <w:t>Poprawa dostępności regionów, rozwoju trwałego i odpornego na klimat transportu oraz sieci i systemów komunikacyjnych);</w:t>
      </w:r>
      <w:r w:rsidRPr="001268E7">
        <w:rPr>
          <w:rFonts w:cstheme="minorHAnsi"/>
          <w:sz w:val="24"/>
          <w:szCs w:val="24"/>
        </w:rPr>
        <w:t xml:space="preserve"> </w:t>
      </w:r>
    </w:p>
    <w:p w:rsidR="005E50AA" w:rsidRPr="001268E7" w:rsidRDefault="005E50AA" w:rsidP="00C62170">
      <w:pPr>
        <w:pStyle w:val="Akapitzlist"/>
        <w:numPr>
          <w:ilvl w:val="0"/>
          <w:numId w:val="26"/>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Cel Tematyczny 10 (</w:t>
      </w:r>
      <w:r w:rsidR="009158EB" w:rsidRPr="001268E7">
        <w:rPr>
          <w:rFonts w:cs="Calibri"/>
          <w:sz w:val="24"/>
          <w:szCs w:val="24"/>
          <w:lang w:eastAsia="pl-PL"/>
        </w:rPr>
        <w:t>Wspieranie</w:t>
      </w:r>
      <w:r w:rsidRPr="001268E7">
        <w:rPr>
          <w:rFonts w:cs="Calibri"/>
          <w:sz w:val="24"/>
          <w:szCs w:val="24"/>
          <w:lang w:eastAsia="pl-PL"/>
        </w:rPr>
        <w:t xml:space="preserve"> zarządzania granicami oraz bezpieczeństwem na granicach, zarządzanie mobilnością i migracjami).</w:t>
      </w:r>
    </w:p>
    <w:p w:rsidR="003B42AD" w:rsidRPr="001268E7" w:rsidRDefault="009158EB" w:rsidP="00D12414">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Aby zwiększyć swój wpływ, odzwierciedlając</w:t>
      </w:r>
      <w:r w:rsidR="00D12414" w:rsidRPr="001268E7">
        <w:rPr>
          <w:rFonts w:cstheme="minorHAnsi"/>
          <w:sz w:val="24"/>
          <w:szCs w:val="24"/>
        </w:rPr>
        <w:t xml:space="preserve"> określone okoliczności i wymagania obszaru Programu, Program Współpracy Transgranicznej Polska-Rosja 2014-2020 wybrał następujące priorytety:</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1"/>
        <w:gridCol w:w="2658"/>
        <w:gridCol w:w="2092"/>
      </w:tblGrid>
      <w:tr w:rsidR="00BB6B5D" w:rsidRPr="001268E7" w:rsidTr="00BB6B5D">
        <w:trPr>
          <w:trHeight w:val="257"/>
        </w:trPr>
        <w:tc>
          <w:tcPr>
            <w:tcW w:w="4111" w:type="dxa"/>
            <w:shd w:val="clear" w:color="auto" w:fill="BFBFBF" w:themeFill="background1" w:themeFillShade="BF"/>
          </w:tcPr>
          <w:p w:rsidR="00BB6B5D" w:rsidRPr="001268E7" w:rsidRDefault="00BB6B5D" w:rsidP="001D5BF3">
            <w:pPr>
              <w:autoSpaceDE w:val="0"/>
              <w:autoSpaceDN w:val="0"/>
              <w:adjustRightInd w:val="0"/>
              <w:spacing w:before="100" w:beforeAutospacing="1" w:after="100" w:afterAutospacing="1" w:line="240" w:lineRule="auto"/>
              <w:jc w:val="center"/>
              <w:rPr>
                <w:rFonts w:cstheme="minorHAnsi"/>
              </w:rPr>
            </w:pPr>
            <w:r w:rsidRPr="001268E7">
              <w:rPr>
                <w:rFonts w:cstheme="minorHAnsi"/>
                <w:b/>
                <w:bCs/>
              </w:rPr>
              <w:t>CEL TEMATYCZNY</w:t>
            </w:r>
          </w:p>
        </w:tc>
        <w:tc>
          <w:tcPr>
            <w:tcW w:w="2658" w:type="dxa"/>
            <w:shd w:val="clear" w:color="auto" w:fill="BFBFBF" w:themeFill="background1" w:themeFillShade="BF"/>
          </w:tcPr>
          <w:p w:rsidR="00BB6B5D" w:rsidRPr="001268E7" w:rsidRDefault="00BB6B5D" w:rsidP="001D5BF3">
            <w:pPr>
              <w:autoSpaceDE w:val="0"/>
              <w:autoSpaceDN w:val="0"/>
              <w:adjustRightInd w:val="0"/>
              <w:spacing w:before="100" w:beforeAutospacing="1" w:after="100" w:afterAutospacing="1" w:line="240" w:lineRule="auto"/>
              <w:jc w:val="center"/>
              <w:rPr>
                <w:rFonts w:cstheme="minorHAnsi"/>
              </w:rPr>
            </w:pPr>
            <w:r w:rsidRPr="001268E7">
              <w:rPr>
                <w:rFonts w:cstheme="minorHAnsi"/>
                <w:b/>
                <w:bCs/>
              </w:rPr>
              <w:t>PRIORYTET</w:t>
            </w:r>
          </w:p>
        </w:tc>
        <w:tc>
          <w:tcPr>
            <w:tcW w:w="2092" w:type="dxa"/>
            <w:shd w:val="clear" w:color="auto" w:fill="BFBFBF" w:themeFill="background1" w:themeFillShade="BF"/>
          </w:tcPr>
          <w:p w:rsidR="00BB6B5D" w:rsidRPr="001268E7" w:rsidRDefault="00BB6B5D" w:rsidP="001D5BF3">
            <w:pPr>
              <w:autoSpaceDE w:val="0"/>
              <w:autoSpaceDN w:val="0"/>
              <w:adjustRightInd w:val="0"/>
              <w:spacing w:before="100" w:beforeAutospacing="1" w:after="100" w:afterAutospacing="1" w:line="240" w:lineRule="auto"/>
              <w:jc w:val="center"/>
              <w:rPr>
                <w:rFonts w:cstheme="minorHAnsi"/>
              </w:rPr>
            </w:pPr>
            <w:r>
              <w:rPr>
                <w:rFonts w:cstheme="minorHAnsi"/>
              </w:rPr>
              <w:t>AKRONIM</w:t>
            </w:r>
          </w:p>
        </w:tc>
      </w:tr>
      <w:tr w:rsidR="00BB6B5D" w:rsidRPr="001268E7" w:rsidTr="00BB6B5D">
        <w:trPr>
          <w:trHeight w:val="596"/>
        </w:trPr>
        <w:tc>
          <w:tcPr>
            <w:tcW w:w="4111" w:type="dxa"/>
          </w:tcPr>
          <w:p w:rsidR="00BB6B5D" w:rsidRPr="001268E7" w:rsidRDefault="00BB6B5D" w:rsidP="001D5BF3">
            <w:pPr>
              <w:autoSpaceDE w:val="0"/>
              <w:autoSpaceDN w:val="0"/>
              <w:adjustRightInd w:val="0"/>
              <w:spacing w:before="100" w:beforeAutospacing="1" w:after="100" w:afterAutospacing="1" w:line="240" w:lineRule="auto"/>
              <w:rPr>
                <w:rFonts w:cstheme="minorHAnsi"/>
              </w:rPr>
            </w:pPr>
            <w:r w:rsidRPr="001268E7">
              <w:rPr>
                <w:rFonts w:cstheme="minorHAnsi"/>
                <w:b/>
              </w:rPr>
              <w:t xml:space="preserve">Cel Tematyczny 3 </w:t>
            </w:r>
            <w:r w:rsidRPr="001268E7">
              <w:rPr>
                <w:rFonts w:cstheme="minorHAnsi"/>
              </w:rPr>
              <w:t>- Promocja kultury lokalnej i zachowanie dziedzictwa historycznego</w:t>
            </w:r>
          </w:p>
        </w:tc>
        <w:tc>
          <w:tcPr>
            <w:tcW w:w="2658" w:type="dxa"/>
          </w:tcPr>
          <w:p w:rsidR="00BB6B5D" w:rsidRPr="001268E7" w:rsidRDefault="00BB6B5D" w:rsidP="001D5BF3">
            <w:pPr>
              <w:autoSpaceDE w:val="0"/>
              <w:autoSpaceDN w:val="0"/>
              <w:adjustRightInd w:val="0"/>
              <w:spacing w:before="100" w:beforeAutospacing="1" w:after="100" w:afterAutospacing="1" w:line="240" w:lineRule="auto"/>
              <w:rPr>
                <w:rFonts w:cstheme="minorHAnsi"/>
              </w:rPr>
            </w:pPr>
            <w:r w:rsidRPr="001268E7">
              <w:rPr>
                <w:rFonts w:cstheme="minorHAnsi"/>
                <w:b/>
                <w:bCs/>
              </w:rPr>
              <w:t xml:space="preserve">Priorytet 1. </w:t>
            </w:r>
            <w:r w:rsidRPr="001268E7">
              <w:rPr>
                <w:rFonts w:cstheme="minorHAnsi"/>
                <w:bCs/>
              </w:rPr>
              <w:t>Współpraca w zakresie zachowania i transgranicznego rozwoju dziedzictwa historycznego, przyrodniczego i kulturowego</w:t>
            </w:r>
          </w:p>
        </w:tc>
        <w:tc>
          <w:tcPr>
            <w:tcW w:w="2092" w:type="dxa"/>
          </w:tcPr>
          <w:p w:rsidR="00BB6B5D" w:rsidRPr="001268E7" w:rsidRDefault="00D928A7" w:rsidP="001D5BF3">
            <w:pPr>
              <w:autoSpaceDE w:val="0"/>
              <w:autoSpaceDN w:val="0"/>
              <w:adjustRightInd w:val="0"/>
              <w:spacing w:before="100" w:beforeAutospacing="1" w:after="100" w:afterAutospacing="1" w:line="240" w:lineRule="auto"/>
              <w:rPr>
                <w:rFonts w:cstheme="minorHAnsi"/>
              </w:rPr>
            </w:pPr>
            <w:r>
              <w:rPr>
                <w:rFonts w:cstheme="minorHAnsi"/>
              </w:rPr>
              <w:t xml:space="preserve">Dziedzictwo </w:t>
            </w:r>
          </w:p>
        </w:tc>
      </w:tr>
      <w:tr w:rsidR="00BB6B5D" w:rsidRPr="001268E7" w:rsidTr="00BB6B5D">
        <w:trPr>
          <w:trHeight w:val="879"/>
        </w:trPr>
        <w:tc>
          <w:tcPr>
            <w:tcW w:w="4111" w:type="dxa"/>
          </w:tcPr>
          <w:p w:rsidR="00BB6B5D" w:rsidRPr="001268E7" w:rsidRDefault="00BB6B5D" w:rsidP="001D5BF3">
            <w:pPr>
              <w:autoSpaceDE w:val="0"/>
              <w:autoSpaceDN w:val="0"/>
              <w:adjustRightInd w:val="0"/>
              <w:spacing w:before="100" w:beforeAutospacing="1" w:after="100" w:afterAutospacing="1" w:line="240" w:lineRule="auto"/>
              <w:rPr>
                <w:rFonts w:cstheme="minorHAnsi"/>
              </w:rPr>
            </w:pPr>
            <w:r w:rsidRPr="001268E7">
              <w:rPr>
                <w:rFonts w:cstheme="minorHAnsi"/>
                <w:b/>
              </w:rPr>
              <w:t xml:space="preserve">Cel Tematyczny 6 </w:t>
            </w:r>
            <w:r w:rsidRPr="001268E7">
              <w:rPr>
                <w:rFonts w:cstheme="minorHAnsi"/>
              </w:rPr>
              <w:t>- Ochrona środowiska, łagodzenie zmian klimatycznych i adaptacja</w:t>
            </w:r>
          </w:p>
        </w:tc>
        <w:tc>
          <w:tcPr>
            <w:tcW w:w="2658" w:type="dxa"/>
          </w:tcPr>
          <w:p w:rsidR="00BB6B5D" w:rsidRPr="001268E7" w:rsidRDefault="00BB6B5D" w:rsidP="001D5BF3">
            <w:pPr>
              <w:autoSpaceDE w:val="0"/>
              <w:autoSpaceDN w:val="0"/>
              <w:adjustRightInd w:val="0"/>
              <w:spacing w:before="100" w:beforeAutospacing="1" w:after="100" w:afterAutospacing="1" w:line="240" w:lineRule="auto"/>
              <w:rPr>
                <w:rFonts w:cstheme="minorHAnsi"/>
              </w:rPr>
            </w:pPr>
            <w:r w:rsidRPr="001268E7">
              <w:rPr>
                <w:b/>
              </w:rPr>
              <w:t xml:space="preserve">Priorytet 2. </w:t>
            </w:r>
            <w:r w:rsidRPr="001268E7">
              <w:t>Współpraca na rzecz czystego środowiska naturalnego na obszarze transgranicznym</w:t>
            </w:r>
          </w:p>
        </w:tc>
        <w:tc>
          <w:tcPr>
            <w:tcW w:w="2092" w:type="dxa"/>
          </w:tcPr>
          <w:p w:rsidR="00BB6B5D" w:rsidRPr="001268E7" w:rsidRDefault="00D928A7" w:rsidP="001D5BF3">
            <w:pPr>
              <w:autoSpaceDE w:val="0"/>
              <w:autoSpaceDN w:val="0"/>
              <w:adjustRightInd w:val="0"/>
              <w:spacing w:before="100" w:beforeAutospacing="1" w:after="100" w:afterAutospacing="1" w:line="240" w:lineRule="auto"/>
              <w:rPr>
                <w:rFonts w:cstheme="minorHAnsi"/>
              </w:rPr>
            </w:pPr>
            <w:r>
              <w:rPr>
                <w:rFonts w:cstheme="minorHAnsi"/>
              </w:rPr>
              <w:t>Środowisko</w:t>
            </w:r>
          </w:p>
        </w:tc>
      </w:tr>
      <w:tr w:rsidR="00BB6B5D" w:rsidRPr="001268E7" w:rsidTr="00BB6B5D">
        <w:trPr>
          <w:trHeight w:val="1172"/>
        </w:trPr>
        <w:tc>
          <w:tcPr>
            <w:tcW w:w="4111" w:type="dxa"/>
          </w:tcPr>
          <w:p w:rsidR="00BB6B5D" w:rsidRPr="001268E7" w:rsidRDefault="00BB6B5D" w:rsidP="001D5BF3">
            <w:pPr>
              <w:autoSpaceDE w:val="0"/>
              <w:autoSpaceDN w:val="0"/>
              <w:adjustRightInd w:val="0"/>
              <w:spacing w:before="100" w:beforeAutospacing="1" w:after="100" w:afterAutospacing="1" w:line="240" w:lineRule="auto"/>
              <w:rPr>
                <w:rFonts w:cstheme="minorHAnsi"/>
              </w:rPr>
            </w:pPr>
            <w:r w:rsidRPr="001268E7">
              <w:rPr>
                <w:rFonts w:cstheme="minorHAnsi"/>
                <w:b/>
              </w:rPr>
              <w:t xml:space="preserve">Cel Tematyczny 7 </w:t>
            </w:r>
            <w:r w:rsidRPr="001268E7">
              <w:rPr>
                <w:rFonts w:cstheme="minorHAnsi"/>
              </w:rPr>
              <w:t>- Poprawa dostępności regionów, rozwój trwałego i odpornego na klimat transportu oraz sieci i systemów komunikacyjnych</w:t>
            </w:r>
          </w:p>
        </w:tc>
        <w:tc>
          <w:tcPr>
            <w:tcW w:w="2658" w:type="dxa"/>
          </w:tcPr>
          <w:p w:rsidR="00BB6B5D" w:rsidRPr="001268E7" w:rsidRDefault="00BB6B5D" w:rsidP="00D12414">
            <w:pPr>
              <w:autoSpaceDE w:val="0"/>
              <w:autoSpaceDN w:val="0"/>
              <w:adjustRightInd w:val="0"/>
              <w:spacing w:before="100" w:beforeAutospacing="1" w:after="100" w:afterAutospacing="1" w:line="240" w:lineRule="auto"/>
              <w:rPr>
                <w:rFonts w:cstheme="minorHAnsi"/>
              </w:rPr>
            </w:pPr>
            <w:r w:rsidRPr="001268E7">
              <w:rPr>
                <w:b/>
              </w:rPr>
              <w:t xml:space="preserve">Priorytet 3. </w:t>
            </w:r>
            <w:r w:rsidRPr="001268E7">
              <w:t>Dostępne regiony oraz trwały transgraniczny transport i komunikacja</w:t>
            </w:r>
          </w:p>
        </w:tc>
        <w:tc>
          <w:tcPr>
            <w:tcW w:w="2092" w:type="dxa"/>
          </w:tcPr>
          <w:p w:rsidR="00BB6B5D" w:rsidRPr="001268E7" w:rsidRDefault="00D928A7" w:rsidP="00E50C2E">
            <w:pPr>
              <w:autoSpaceDE w:val="0"/>
              <w:autoSpaceDN w:val="0"/>
              <w:adjustRightInd w:val="0"/>
              <w:spacing w:before="100" w:beforeAutospacing="1" w:after="100" w:afterAutospacing="1" w:line="240" w:lineRule="auto"/>
              <w:rPr>
                <w:rFonts w:cstheme="minorHAnsi"/>
              </w:rPr>
            </w:pPr>
            <w:r>
              <w:rPr>
                <w:rFonts w:cstheme="minorHAnsi"/>
              </w:rPr>
              <w:t>Dostępność</w:t>
            </w:r>
          </w:p>
        </w:tc>
      </w:tr>
      <w:tr w:rsidR="00BB6B5D" w:rsidRPr="001268E7" w:rsidTr="00BB6B5D">
        <w:trPr>
          <w:trHeight w:val="705"/>
        </w:trPr>
        <w:tc>
          <w:tcPr>
            <w:tcW w:w="4111" w:type="dxa"/>
          </w:tcPr>
          <w:p w:rsidR="00BB6B5D" w:rsidRPr="001268E7" w:rsidRDefault="00BB6B5D" w:rsidP="001D5BF3">
            <w:pPr>
              <w:autoSpaceDE w:val="0"/>
              <w:autoSpaceDN w:val="0"/>
              <w:adjustRightInd w:val="0"/>
              <w:spacing w:before="100" w:beforeAutospacing="1" w:after="100" w:afterAutospacing="1" w:line="240" w:lineRule="auto"/>
              <w:rPr>
                <w:rFonts w:cstheme="minorHAnsi"/>
              </w:rPr>
            </w:pPr>
            <w:r w:rsidRPr="001268E7">
              <w:rPr>
                <w:rFonts w:cstheme="minorHAnsi"/>
                <w:b/>
              </w:rPr>
              <w:t xml:space="preserve">Cel Tematyczny 10 </w:t>
            </w:r>
            <w:r w:rsidRPr="001268E7">
              <w:rPr>
                <w:rFonts w:cstheme="minorHAnsi"/>
              </w:rPr>
              <w:t>- Wspieranie zarządzania granicami oraz bezpieczeństwem na granicach, zarządzanie mobilnością i migracjami</w:t>
            </w:r>
          </w:p>
        </w:tc>
        <w:tc>
          <w:tcPr>
            <w:tcW w:w="2658" w:type="dxa"/>
          </w:tcPr>
          <w:p w:rsidR="00BB6B5D" w:rsidRPr="001268E7" w:rsidRDefault="00BB6B5D" w:rsidP="00D12414">
            <w:pPr>
              <w:autoSpaceDE w:val="0"/>
              <w:autoSpaceDN w:val="0"/>
              <w:adjustRightInd w:val="0"/>
              <w:spacing w:before="100" w:beforeAutospacing="1" w:after="100" w:afterAutospacing="1" w:line="240" w:lineRule="auto"/>
              <w:rPr>
                <w:rFonts w:cstheme="minorHAnsi"/>
                <w:bCs/>
              </w:rPr>
            </w:pPr>
            <w:r w:rsidRPr="001268E7">
              <w:rPr>
                <w:b/>
              </w:rPr>
              <w:t xml:space="preserve">Priorytet 4. </w:t>
            </w:r>
            <w:r w:rsidRPr="001268E7">
              <w:t>Wspólne działania na rzecz efektywności i bezpieczeństwa na granicach</w:t>
            </w:r>
          </w:p>
        </w:tc>
        <w:tc>
          <w:tcPr>
            <w:tcW w:w="2092" w:type="dxa"/>
          </w:tcPr>
          <w:p w:rsidR="00BB6B5D" w:rsidRPr="001268E7" w:rsidRDefault="00D928A7" w:rsidP="00E50C2E">
            <w:pPr>
              <w:autoSpaceDE w:val="0"/>
              <w:autoSpaceDN w:val="0"/>
              <w:adjustRightInd w:val="0"/>
              <w:spacing w:before="100" w:beforeAutospacing="1" w:after="100" w:afterAutospacing="1" w:line="240" w:lineRule="auto"/>
              <w:rPr>
                <w:rFonts w:cstheme="minorHAnsi"/>
              </w:rPr>
            </w:pPr>
            <w:r>
              <w:rPr>
                <w:rFonts w:cstheme="minorHAnsi"/>
              </w:rPr>
              <w:t>Granice</w:t>
            </w:r>
          </w:p>
        </w:tc>
      </w:tr>
    </w:tbl>
    <w:p w:rsidR="00A32789" w:rsidRPr="005A4939" w:rsidRDefault="00A32789" w:rsidP="00A32789">
      <w:pPr>
        <w:spacing w:after="0" w:line="240" w:lineRule="auto"/>
        <w:contextualSpacing/>
        <w:jc w:val="both"/>
        <w:rPr>
          <w:b/>
          <w:i/>
          <w:sz w:val="20"/>
        </w:rPr>
      </w:pPr>
      <w:r w:rsidRPr="005A4939">
        <w:rPr>
          <w:b/>
          <w:i/>
          <w:sz w:val="20"/>
        </w:rPr>
        <w:t>Tabela 1. Cele tematyczne i priorytety Programu Współpracy Transgranicznej Polska-Rosja 2014-2020</w:t>
      </w:r>
    </w:p>
    <w:p w:rsidR="00503648" w:rsidRDefault="00503648" w:rsidP="007B7A12">
      <w:pPr>
        <w:pStyle w:val="Nagwek2"/>
      </w:pPr>
      <w:bookmarkStart w:id="10" w:name="_Toc530737562"/>
      <w:r>
        <w:t>DZIEDZICTWO</w:t>
      </w:r>
      <w:bookmarkEnd w:id="10"/>
    </w:p>
    <w:p w:rsidR="003B42AD" w:rsidRPr="007B7A12" w:rsidRDefault="00D12414" w:rsidP="00D12414">
      <w:pPr>
        <w:autoSpaceDE w:val="0"/>
        <w:autoSpaceDN w:val="0"/>
        <w:adjustRightInd w:val="0"/>
        <w:spacing w:before="100" w:beforeAutospacing="1" w:after="100" w:afterAutospacing="1" w:line="240" w:lineRule="auto"/>
        <w:rPr>
          <w:rStyle w:val="Wyrnieniedelikatne"/>
        </w:rPr>
      </w:pPr>
      <w:r w:rsidRPr="007B7A12">
        <w:rPr>
          <w:rStyle w:val="Wyrnieniedelikatne"/>
        </w:rPr>
        <w:t>CT 3 - Promocja kultury lokalnej i zachowanie dziedzictwa historycznego</w:t>
      </w:r>
    </w:p>
    <w:p w:rsidR="003B42AD" w:rsidRDefault="000C524E" w:rsidP="0054636D">
      <w:pPr>
        <w:autoSpaceDE w:val="0"/>
        <w:autoSpaceDN w:val="0"/>
        <w:adjustRightInd w:val="0"/>
        <w:spacing w:before="100" w:beforeAutospacing="1" w:after="100" w:afterAutospacing="1" w:line="240" w:lineRule="auto"/>
        <w:jc w:val="both"/>
        <w:rPr>
          <w:rFonts w:cstheme="minorHAnsi"/>
          <w:sz w:val="24"/>
          <w:szCs w:val="24"/>
        </w:rPr>
      </w:pPr>
      <w:r w:rsidRPr="001268E7">
        <w:rPr>
          <w:rFonts w:cs="Calibri"/>
          <w:sz w:val="24"/>
          <w:szCs w:val="24"/>
          <w:lang w:eastAsia="pl-PL"/>
        </w:rPr>
        <w:t>Cel Tematyczny 3 ma na celu ochronę i propagowanie dziedzictwa kulturowego i historycznego regionów transgranicznych, wzmacnianie powiązań kulturowych i współpracy, poprawę wizerunku i atrakcyjności regionu oraz zwiększanie potencjału społeczności lokalnych.</w:t>
      </w:r>
      <w:r w:rsidR="003B42AD" w:rsidRPr="001268E7">
        <w:rPr>
          <w:rFonts w:cstheme="minorHAnsi"/>
          <w:sz w:val="24"/>
          <w:szCs w:val="24"/>
        </w:rPr>
        <w:t xml:space="preserve"> </w:t>
      </w:r>
      <w:r w:rsidRPr="001268E7">
        <w:rPr>
          <w:rFonts w:cstheme="minorHAnsi"/>
          <w:sz w:val="24"/>
          <w:szCs w:val="24"/>
        </w:rPr>
        <w:t xml:space="preserve">Istnienie dobrze </w:t>
      </w:r>
      <w:r w:rsidRPr="001268E7">
        <w:rPr>
          <w:rFonts w:cs="Calibri"/>
          <w:sz w:val="24"/>
          <w:szCs w:val="24"/>
          <w:lang w:eastAsia="pl-PL"/>
        </w:rPr>
        <w:t>utrzymanych obiektów dziedzictwa kulturowego i przyrodniczego jest ściśle związane z rozwojem</w:t>
      </w:r>
      <w:r w:rsidRPr="001268E7">
        <w:rPr>
          <w:rFonts w:cs="Calibri"/>
          <w:lang w:eastAsia="pl-PL"/>
        </w:rPr>
        <w:t xml:space="preserve"> </w:t>
      </w:r>
      <w:r w:rsidRPr="001268E7">
        <w:rPr>
          <w:rFonts w:cs="Calibri"/>
          <w:sz w:val="24"/>
          <w:szCs w:val="24"/>
          <w:lang w:eastAsia="pl-PL"/>
        </w:rPr>
        <w:t>turystyki transgranicznej.</w:t>
      </w:r>
      <w:r w:rsidR="003B42AD" w:rsidRPr="001268E7">
        <w:rPr>
          <w:rFonts w:cstheme="minorHAnsi"/>
          <w:sz w:val="24"/>
          <w:szCs w:val="24"/>
        </w:rPr>
        <w:t xml:space="preserve"> </w:t>
      </w:r>
      <w:r w:rsidRPr="001268E7">
        <w:rPr>
          <w:rFonts w:cs="Calibri"/>
          <w:sz w:val="24"/>
          <w:szCs w:val="24"/>
          <w:lang w:eastAsia="pl-PL"/>
        </w:rPr>
        <w:t xml:space="preserve">Dlatego </w:t>
      </w:r>
      <w:r w:rsidR="002054CF" w:rsidRPr="001268E7">
        <w:rPr>
          <w:rFonts w:cs="Calibri"/>
          <w:sz w:val="24"/>
          <w:szCs w:val="24"/>
          <w:lang w:eastAsia="pl-PL"/>
        </w:rPr>
        <w:t xml:space="preserve">też </w:t>
      </w:r>
      <w:r w:rsidRPr="001268E7">
        <w:rPr>
          <w:rFonts w:cs="Calibri"/>
          <w:sz w:val="24"/>
          <w:szCs w:val="24"/>
          <w:lang w:eastAsia="pl-PL"/>
        </w:rPr>
        <w:t xml:space="preserve">turystyka została zdefiniowana jako sektor o najwyższym potencjale, aby stać się jednym z głównych sektorów generujących przychody i rosnącym źródłem zatrudnienia i inwestycji, w szczególności na obszarach </w:t>
      </w:r>
      <w:r w:rsidR="009E5229" w:rsidRPr="001268E7">
        <w:rPr>
          <w:rFonts w:cs="Calibri"/>
          <w:sz w:val="24"/>
          <w:szCs w:val="24"/>
          <w:lang w:eastAsia="pl-PL"/>
        </w:rPr>
        <w:t xml:space="preserve">przybrzeżnych i </w:t>
      </w:r>
      <w:r w:rsidRPr="001268E7">
        <w:rPr>
          <w:rFonts w:cs="Calibri"/>
          <w:sz w:val="24"/>
          <w:szCs w:val="24"/>
          <w:lang w:eastAsia="pl-PL"/>
        </w:rPr>
        <w:t>wiejskich.</w:t>
      </w:r>
      <w:r w:rsidR="003B42AD" w:rsidRPr="001268E7">
        <w:rPr>
          <w:rFonts w:cstheme="minorHAnsi"/>
          <w:sz w:val="24"/>
          <w:szCs w:val="24"/>
        </w:rPr>
        <w:t xml:space="preserve"> </w:t>
      </w:r>
      <w:r w:rsidRPr="001268E7">
        <w:rPr>
          <w:rFonts w:cs="Calibri"/>
          <w:sz w:val="24"/>
          <w:szCs w:val="24"/>
          <w:lang w:eastAsia="pl-PL"/>
        </w:rPr>
        <w:t>W celu lepszego wykorzystania dziedzictwa regionalnego i zwiększenia liczby turystów zarówno przyjeżdżających, jak i lokalnych, wymagana jest poprawa stanu rozlicznych miejsc o pot</w:t>
      </w:r>
      <w:r w:rsidR="009E5229" w:rsidRPr="001268E7">
        <w:rPr>
          <w:rFonts w:cs="Calibri"/>
          <w:sz w:val="24"/>
          <w:szCs w:val="24"/>
          <w:lang w:eastAsia="pl-PL"/>
        </w:rPr>
        <w:t>encjale kulturalnym i przyrodniczym</w:t>
      </w:r>
      <w:r w:rsidRPr="001268E7">
        <w:rPr>
          <w:rFonts w:cs="Calibri"/>
          <w:sz w:val="24"/>
          <w:szCs w:val="24"/>
          <w:lang w:eastAsia="pl-PL"/>
        </w:rPr>
        <w:t xml:space="preserve"> </w:t>
      </w:r>
      <w:r w:rsidRPr="001268E7">
        <w:rPr>
          <w:rFonts w:cs="Calibri"/>
          <w:sz w:val="24"/>
          <w:szCs w:val="24"/>
          <w:lang w:eastAsia="pl-PL"/>
        </w:rPr>
        <w:lastRenderedPageBreak/>
        <w:t>oraz dalszy rozwój infrastruktury turystycznej.</w:t>
      </w:r>
      <w:r w:rsidR="00650AC0" w:rsidRPr="001268E7">
        <w:rPr>
          <w:rFonts w:cstheme="minorHAnsi"/>
          <w:sz w:val="24"/>
          <w:szCs w:val="24"/>
        </w:rPr>
        <w:t xml:space="preserve"> </w:t>
      </w:r>
      <w:r w:rsidR="009E5229" w:rsidRPr="001268E7">
        <w:rPr>
          <w:rFonts w:cs="Calibri"/>
          <w:sz w:val="24"/>
          <w:szCs w:val="24"/>
          <w:lang w:eastAsia="pl-PL"/>
        </w:rPr>
        <w:t>Wsparcie w ramach Priorytetu</w:t>
      </w:r>
      <w:r w:rsidRPr="001268E7">
        <w:rPr>
          <w:rFonts w:cs="Calibri"/>
          <w:sz w:val="24"/>
          <w:szCs w:val="24"/>
          <w:lang w:eastAsia="pl-PL"/>
        </w:rPr>
        <w:t xml:space="preserve"> Celu Tematycznego 3 będzie zatem skupiać się zarówno na rozwoju transgranicznych potencjałów kulturowych, historycznych i przyrodniczych, jak i na rozwoju turystyki transgranicznej.</w:t>
      </w:r>
      <w:r w:rsidR="003B42AD" w:rsidRPr="001268E7">
        <w:rPr>
          <w:rFonts w:cstheme="minorHAnsi"/>
          <w:sz w:val="24"/>
          <w:szCs w:val="24"/>
        </w:rPr>
        <w:t xml:space="preserve"> </w:t>
      </w:r>
      <w:r w:rsidR="009E5229" w:rsidRPr="001268E7">
        <w:rPr>
          <w:rFonts w:cs="Calibri"/>
          <w:sz w:val="24"/>
          <w:szCs w:val="24"/>
          <w:lang w:eastAsia="pl-PL"/>
        </w:rPr>
        <w:t>Priorytet</w:t>
      </w:r>
      <w:r w:rsidRPr="001268E7">
        <w:rPr>
          <w:rFonts w:cs="Calibri"/>
          <w:sz w:val="24"/>
          <w:szCs w:val="24"/>
          <w:lang w:eastAsia="pl-PL"/>
        </w:rPr>
        <w:t xml:space="preserve"> bę</w:t>
      </w:r>
      <w:r w:rsidR="009E5229" w:rsidRPr="001268E7">
        <w:rPr>
          <w:rFonts w:cs="Calibri"/>
          <w:sz w:val="24"/>
          <w:szCs w:val="24"/>
          <w:lang w:eastAsia="pl-PL"/>
        </w:rPr>
        <w:t>dzie</w:t>
      </w:r>
      <w:r w:rsidRPr="001268E7">
        <w:rPr>
          <w:rFonts w:cs="Calibri"/>
          <w:sz w:val="24"/>
          <w:szCs w:val="24"/>
          <w:lang w:eastAsia="pl-PL"/>
        </w:rPr>
        <w:t xml:space="preserve"> koncentrować się na poprawie stanu fizycznego "obiektów" k</w:t>
      </w:r>
      <w:r w:rsidR="009E5229" w:rsidRPr="001268E7">
        <w:rPr>
          <w:rFonts w:cs="Calibri"/>
          <w:sz w:val="24"/>
          <w:szCs w:val="24"/>
          <w:lang w:eastAsia="pl-PL"/>
        </w:rPr>
        <w:t>ultury i dziedzictwa</w:t>
      </w:r>
      <w:r w:rsidRPr="001268E7">
        <w:rPr>
          <w:rFonts w:cs="Calibri"/>
          <w:sz w:val="24"/>
          <w:szCs w:val="24"/>
          <w:lang w:eastAsia="pl-PL"/>
        </w:rPr>
        <w:t>, a także na działaniach "miękkich"</w:t>
      </w:r>
      <w:r w:rsidR="00C23AB6">
        <w:rPr>
          <w:rFonts w:cs="Calibri"/>
          <w:sz w:val="24"/>
          <w:szCs w:val="24"/>
          <w:lang w:eastAsia="pl-PL"/>
        </w:rPr>
        <w:t>, np. konferencje, seminaria, spotkania itd</w:t>
      </w:r>
      <w:r w:rsidRPr="001268E7">
        <w:rPr>
          <w:rFonts w:cs="Calibri"/>
          <w:sz w:val="24"/>
          <w:szCs w:val="24"/>
          <w:lang w:eastAsia="pl-PL"/>
        </w:rPr>
        <w:t>.</w:t>
      </w:r>
      <w:r w:rsidR="003B42AD" w:rsidRPr="001268E7">
        <w:rPr>
          <w:rFonts w:cstheme="minorHAnsi"/>
          <w:sz w:val="24"/>
          <w:szCs w:val="24"/>
        </w:rPr>
        <w:t xml:space="preserve"> </w:t>
      </w:r>
      <w:r w:rsidR="0054636D" w:rsidRPr="001268E7">
        <w:rPr>
          <w:rFonts w:cstheme="minorHAnsi"/>
          <w:sz w:val="24"/>
          <w:szCs w:val="24"/>
        </w:rPr>
        <w:t xml:space="preserve">Rozwój </w:t>
      </w:r>
      <w:r w:rsidR="0054636D" w:rsidRPr="001268E7">
        <w:rPr>
          <w:rFonts w:cs="Calibri"/>
          <w:sz w:val="24"/>
          <w:szCs w:val="24"/>
          <w:lang w:eastAsia="pl-PL"/>
        </w:rPr>
        <w:t>twardej infrastruktury powinien być wspierany poprzez wzmocnienie kontaktów i sieci między zainteresowanymi stronami w sektorach kultury i turystyki.</w:t>
      </w:r>
      <w:r w:rsidR="003B42AD" w:rsidRPr="001268E7">
        <w:rPr>
          <w:rFonts w:cstheme="minorHAnsi"/>
          <w:sz w:val="24"/>
          <w:szCs w:val="24"/>
        </w:rPr>
        <w:t xml:space="preserve"> </w:t>
      </w:r>
      <w:r w:rsidR="0054636D" w:rsidRPr="001268E7">
        <w:rPr>
          <w:rFonts w:cs="Calibri"/>
          <w:sz w:val="24"/>
          <w:szCs w:val="24"/>
          <w:lang w:eastAsia="pl-PL"/>
        </w:rPr>
        <w:t>Ponadto</w:t>
      </w:r>
      <w:r w:rsidR="009E5229" w:rsidRPr="001268E7">
        <w:rPr>
          <w:rFonts w:cs="Calibri"/>
          <w:sz w:val="24"/>
          <w:szCs w:val="24"/>
          <w:lang w:eastAsia="pl-PL"/>
        </w:rPr>
        <w:t>,</w:t>
      </w:r>
      <w:r w:rsidR="0054636D" w:rsidRPr="001268E7">
        <w:rPr>
          <w:rFonts w:cs="Calibri"/>
          <w:sz w:val="24"/>
          <w:szCs w:val="24"/>
          <w:lang w:eastAsia="pl-PL"/>
        </w:rPr>
        <w:t xml:space="preserve"> atrakcyjność turystyki i wzrost w sektorze są silnie uzależnione od różnorodności i jakości usług turystycznych, wizerunku regionu i właściwego rozpowszechnienia sezonowej działalności turystycznej.</w:t>
      </w:r>
      <w:r w:rsidR="003B42AD" w:rsidRPr="001268E7">
        <w:rPr>
          <w:rFonts w:cstheme="minorHAnsi"/>
          <w:sz w:val="24"/>
          <w:szCs w:val="24"/>
        </w:rPr>
        <w:t xml:space="preserve"> </w:t>
      </w:r>
      <w:r w:rsidR="0054636D" w:rsidRPr="001268E7">
        <w:rPr>
          <w:rFonts w:cstheme="minorHAnsi"/>
          <w:sz w:val="24"/>
          <w:szCs w:val="24"/>
        </w:rPr>
        <w:t xml:space="preserve">W związku z powyższym </w:t>
      </w:r>
      <w:r w:rsidR="0054636D" w:rsidRPr="001268E7">
        <w:rPr>
          <w:rFonts w:cs="Calibri"/>
          <w:sz w:val="24"/>
          <w:szCs w:val="24"/>
          <w:lang w:eastAsia="pl-PL"/>
        </w:rPr>
        <w:t>działania mające na celu promocję i dywersyfikację produktów turystycznych będą również objęte tym Celem Tematycznym.</w:t>
      </w:r>
      <w:r w:rsidR="003B42AD" w:rsidRPr="001268E7">
        <w:rPr>
          <w:rFonts w:cstheme="minorHAnsi"/>
          <w:sz w:val="24"/>
          <w:szCs w:val="24"/>
        </w:rPr>
        <w:t xml:space="preserve"> </w:t>
      </w:r>
    </w:p>
    <w:p w:rsidR="005A4939" w:rsidRPr="001268E7" w:rsidRDefault="005A4939" w:rsidP="0054636D">
      <w:pPr>
        <w:autoSpaceDE w:val="0"/>
        <w:autoSpaceDN w:val="0"/>
        <w:adjustRightInd w:val="0"/>
        <w:spacing w:before="100" w:beforeAutospacing="1" w:after="100" w:afterAutospacing="1" w:line="240" w:lineRule="auto"/>
        <w:jc w:val="both"/>
        <w:rPr>
          <w:rFonts w:cstheme="minorHAnsi"/>
          <w:sz w:val="24"/>
          <w:szCs w:val="24"/>
        </w:rPr>
      </w:pPr>
      <w:r>
        <w:rPr>
          <w:rFonts w:cstheme="minorHAnsi"/>
          <w:sz w:val="24"/>
          <w:szCs w:val="24"/>
        </w:rPr>
        <w:t>Dla strony polskiej, działania finansowane w ramach CT 3 (</w:t>
      </w:r>
      <w:r w:rsidRPr="005A4939">
        <w:rPr>
          <w:rFonts w:cstheme="minorHAnsi"/>
          <w:sz w:val="24"/>
          <w:szCs w:val="24"/>
        </w:rPr>
        <w:t>Promocja kultury lokalnej i zachowanie dziedzictwa historycznego</w:t>
      </w:r>
      <w:r>
        <w:rPr>
          <w:rFonts w:cstheme="minorHAnsi"/>
          <w:sz w:val="24"/>
          <w:szCs w:val="24"/>
        </w:rPr>
        <w:t>) powinny być komplementarne do tych finansowanych w ramach Programu Rozwoju Obszarów Wiejskich 2014-2020, w szczególności tych podejmowanych w ramach działania 7.6 („Przywrócenie i modernizacja kulturalnego i naturalnego dziedzictwa wsi”)</w:t>
      </w:r>
      <w:r w:rsidR="00423206">
        <w:rPr>
          <w:rFonts w:cstheme="minorHAnsi"/>
          <w:sz w:val="24"/>
          <w:szCs w:val="24"/>
        </w:rPr>
        <w:t xml:space="preserve"> oraz należy unikać podwójnego finansowania. Obowiązek unikania podwójnego finansowania dotyczy także beneficjentów z Rosji, którzy otrzymają fundusze Unii Europejskiej.</w:t>
      </w:r>
    </w:p>
    <w:p w:rsidR="003B42AD" w:rsidRPr="001268E7" w:rsidRDefault="0054636D" w:rsidP="0054636D">
      <w:pPr>
        <w:autoSpaceDE w:val="0"/>
        <w:autoSpaceDN w:val="0"/>
        <w:adjustRightInd w:val="0"/>
        <w:spacing w:before="100" w:beforeAutospacing="1" w:after="100" w:afterAutospacing="1" w:line="240" w:lineRule="auto"/>
        <w:rPr>
          <w:rFonts w:cstheme="minorHAnsi"/>
          <w:b/>
          <w:bCs/>
          <w:sz w:val="24"/>
          <w:szCs w:val="24"/>
        </w:rPr>
      </w:pPr>
      <w:r w:rsidRPr="001268E7">
        <w:rPr>
          <w:rFonts w:cstheme="minorHAnsi"/>
          <w:b/>
          <w:bCs/>
          <w:sz w:val="24"/>
          <w:szCs w:val="24"/>
        </w:rPr>
        <w:t xml:space="preserve">Priorytet 1. </w:t>
      </w:r>
      <w:r w:rsidRPr="007273B8">
        <w:rPr>
          <w:rFonts w:cstheme="minorHAnsi"/>
          <w:bCs/>
          <w:sz w:val="24"/>
          <w:szCs w:val="24"/>
        </w:rPr>
        <w:t>Współpraca w zakresie zachowania i transgranicznego rozwoju dziedz</w:t>
      </w:r>
      <w:r w:rsidR="009E08DA" w:rsidRPr="007273B8">
        <w:rPr>
          <w:rFonts w:cstheme="minorHAnsi"/>
          <w:bCs/>
          <w:sz w:val="24"/>
          <w:szCs w:val="24"/>
        </w:rPr>
        <w:t>ictwa historycznego, przyrodniczego</w:t>
      </w:r>
      <w:r w:rsidRPr="007273B8">
        <w:rPr>
          <w:rFonts w:cstheme="minorHAnsi"/>
          <w:bCs/>
          <w:sz w:val="24"/>
          <w:szCs w:val="24"/>
        </w:rPr>
        <w:t xml:space="preserve"> i kulturowego</w:t>
      </w:r>
    </w:p>
    <w:p w:rsidR="003B42AD" w:rsidRPr="001268E7" w:rsidRDefault="002E4F70" w:rsidP="0054636D">
      <w:pPr>
        <w:autoSpaceDE w:val="0"/>
        <w:autoSpaceDN w:val="0"/>
        <w:adjustRightInd w:val="0"/>
        <w:spacing w:before="100" w:beforeAutospacing="1" w:after="100" w:afterAutospacing="1" w:line="240" w:lineRule="auto"/>
        <w:rPr>
          <w:rFonts w:cstheme="minorHAnsi"/>
          <w:sz w:val="24"/>
          <w:szCs w:val="24"/>
        </w:rPr>
      </w:pPr>
      <w:r w:rsidRPr="001268E7">
        <w:rPr>
          <w:rFonts w:cs="Calibri"/>
          <w:sz w:val="24"/>
          <w:szCs w:val="24"/>
          <w:lang w:eastAsia="pl-PL"/>
        </w:rPr>
        <w:t>Proponowane indykatywne</w:t>
      </w:r>
      <w:r w:rsidR="0054636D" w:rsidRPr="001268E7">
        <w:rPr>
          <w:rFonts w:cs="Calibri"/>
          <w:sz w:val="24"/>
          <w:szCs w:val="24"/>
          <w:lang w:eastAsia="pl-PL"/>
        </w:rPr>
        <w:t xml:space="preserve"> przedsięwzięcia w ramach priorytetu:</w:t>
      </w:r>
    </w:p>
    <w:p w:rsidR="0054636D" w:rsidRPr="001268E7" w:rsidRDefault="009E08DA" w:rsidP="00C62170">
      <w:pPr>
        <w:pStyle w:val="Akapitzlist"/>
        <w:numPr>
          <w:ilvl w:val="0"/>
          <w:numId w:val="27"/>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inicjatywy i wydarzeni</w:t>
      </w:r>
      <w:r w:rsidR="009E5229" w:rsidRPr="001268E7">
        <w:rPr>
          <w:rFonts w:cs="Calibri"/>
          <w:sz w:val="24"/>
          <w:szCs w:val="24"/>
          <w:lang w:eastAsia="pl-PL"/>
        </w:rPr>
        <w:t>a dotyczące promocji i ochrony</w:t>
      </w:r>
      <w:r w:rsidRPr="001268E7">
        <w:rPr>
          <w:rFonts w:cs="Calibri"/>
          <w:sz w:val="24"/>
          <w:szCs w:val="24"/>
          <w:lang w:eastAsia="pl-PL"/>
        </w:rPr>
        <w:t xml:space="preserve"> kultury lokalnej, historii i dziedzictwa przyrodniczego;</w:t>
      </w:r>
    </w:p>
    <w:p w:rsidR="00F37076" w:rsidRPr="00F37076" w:rsidRDefault="009E08DA" w:rsidP="00F37076">
      <w:pPr>
        <w:pStyle w:val="Akapitzlist"/>
        <w:numPr>
          <w:ilvl w:val="0"/>
          <w:numId w:val="27"/>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projekty mające na celu wsparcie, promocję i zachowanie tradycyjnego rzemiosła, rękodzieła i umiejętności;</w:t>
      </w:r>
      <w:r w:rsidRPr="001268E7">
        <w:rPr>
          <w:rFonts w:cstheme="minorHAnsi"/>
          <w:sz w:val="24"/>
          <w:szCs w:val="24"/>
        </w:rPr>
        <w:t xml:space="preserve"> </w:t>
      </w:r>
      <w:r w:rsidR="00F37076" w:rsidRPr="00F37076">
        <w:rPr>
          <w:rFonts w:cs="Calibri"/>
          <w:sz w:val="24"/>
          <w:szCs w:val="24"/>
          <w:lang w:eastAsia="pl-PL"/>
        </w:rPr>
        <w:t>Wspólne projekty dotyczące przygotowania i realizacji inwestycji w infrastrukturę turystyczną i usługi zwiększające zrównoważone użytkowanie dziedzictwa kulturowego i przyrodniczego w turystyce, włączając uzupełniającą infrastrukturę turystyczną, służącą korzystaniu z dziedzictwa kulturowego, historycznego i przyrodniczego (np. trasy rowerowe, szlaki turystyki wodnej, ścieżki przyrodnicze, ścieżki edukacyjne, oznakowanie, infrastruktura dla osób ze specjalnymi potrzebami itp.), rozwój terenów rekreacyjnych;</w:t>
      </w:r>
      <w:r w:rsidR="00F37076" w:rsidRPr="00F37076">
        <w:rPr>
          <w:rFonts w:cstheme="minorHAnsi"/>
          <w:sz w:val="24"/>
          <w:szCs w:val="24"/>
        </w:rPr>
        <w:t xml:space="preserve"> </w:t>
      </w:r>
    </w:p>
    <w:p w:rsidR="00DA2CF2" w:rsidRPr="001268E7" w:rsidRDefault="00DA2CF2" w:rsidP="00C62170">
      <w:pPr>
        <w:pStyle w:val="Akapitzlist"/>
        <w:numPr>
          <w:ilvl w:val="0"/>
          <w:numId w:val="27"/>
        </w:numPr>
        <w:spacing w:before="100" w:beforeAutospacing="1" w:after="100" w:afterAutospacing="1" w:line="240" w:lineRule="auto"/>
        <w:jc w:val="both"/>
        <w:rPr>
          <w:rFonts w:cstheme="minorHAnsi"/>
          <w:vanish/>
          <w:sz w:val="24"/>
        </w:rPr>
      </w:pPr>
      <w:r w:rsidRPr="001268E7">
        <w:rPr>
          <w:rFonts w:cs="Calibri"/>
          <w:sz w:val="24"/>
          <w:szCs w:val="24"/>
          <w:lang w:eastAsia="pl-PL"/>
        </w:rPr>
        <w:t>Wspólne tworzenie produktó</w:t>
      </w:r>
      <w:r w:rsidR="006C595F" w:rsidRPr="001268E7">
        <w:rPr>
          <w:rFonts w:cs="Calibri"/>
          <w:sz w:val="24"/>
          <w:szCs w:val="24"/>
          <w:lang w:eastAsia="pl-PL"/>
        </w:rPr>
        <w:t>w turystycznych, przy jednoczesnym respektowaniu</w:t>
      </w:r>
      <w:r w:rsidRPr="001268E7">
        <w:rPr>
          <w:rFonts w:cs="Calibri"/>
          <w:sz w:val="24"/>
          <w:szCs w:val="24"/>
          <w:lang w:eastAsia="pl-PL"/>
        </w:rPr>
        <w:t xml:space="preserve"> konieczności ochrony dziedzictwa kulturowego, h</w:t>
      </w:r>
      <w:r w:rsidR="009E5229" w:rsidRPr="001268E7">
        <w:rPr>
          <w:rFonts w:cs="Calibri"/>
          <w:sz w:val="24"/>
          <w:szCs w:val="24"/>
          <w:lang w:eastAsia="pl-PL"/>
        </w:rPr>
        <w:t xml:space="preserve">istorycznego i przyrodniczego; wspólne projekty stymulujące współpracę międzyinstytucjonalną </w:t>
      </w:r>
      <w:r w:rsidRPr="001268E7">
        <w:rPr>
          <w:rFonts w:cs="Calibri"/>
          <w:sz w:val="24"/>
          <w:szCs w:val="24"/>
          <w:lang w:eastAsia="pl-PL"/>
        </w:rPr>
        <w:t>w zakresie dziedzictwa historycznego, kulturowego i przyrodniczego, np.</w:t>
      </w:r>
      <w:r w:rsidR="00650AC0" w:rsidRPr="001268E7">
        <w:rPr>
          <w:rFonts w:cstheme="minorHAnsi"/>
          <w:sz w:val="24"/>
          <w:szCs w:val="24"/>
        </w:rPr>
        <w:t xml:space="preserve"> </w:t>
      </w:r>
      <w:r w:rsidRPr="001268E7">
        <w:rPr>
          <w:rFonts w:cstheme="minorHAnsi"/>
          <w:sz w:val="24"/>
          <w:szCs w:val="24"/>
        </w:rPr>
        <w:t>zarządzanie dziedzictwem przyrodniczym, rozwój wspólnych produktów i usług turystycznych, marketing zasobów dziedzictwa (wymiana dobrych praktyk i inne działania powiązane);</w:t>
      </w:r>
      <w:r w:rsidR="00650AC0" w:rsidRPr="001268E7">
        <w:rPr>
          <w:rFonts w:cstheme="minorHAnsi"/>
          <w:sz w:val="24"/>
          <w:szCs w:val="24"/>
        </w:rPr>
        <w:t xml:space="preserve"> </w:t>
      </w:r>
    </w:p>
    <w:p w:rsidR="00DA2CF2" w:rsidRPr="001268E7" w:rsidRDefault="009E5229" w:rsidP="00C62170">
      <w:pPr>
        <w:pStyle w:val="Akapitzlist"/>
        <w:numPr>
          <w:ilvl w:val="0"/>
          <w:numId w:val="27"/>
        </w:numPr>
        <w:spacing w:before="100" w:beforeAutospacing="1" w:after="100" w:afterAutospacing="1" w:line="240" w:lineRule="auto"/>
        <w:jc w:val="both"/>
        <w:rPr>
          <w:rFonts w:cstheme="minorHAnsi"/>
          <w:sz w:val="24"/>
          <w:szCs w:val="24"/>
        </w:rPr>
      </w:pPr>
      <w:r w:rsidRPr="001268E7">
        <w:rPr>
          <w:rFonts w:cs="Calibri"/>
          <w:sz w:val="24"/>
          <w:szCs w:val="24"/>
          <w:lang w:eastAsia="pl-PL"/>
        </w:rPr>
        <w:t>Ochrona</w:t>
      </w:r>
      <w:r w:rsidR="00DA2CF2" w:rsidRPr="001268E7">
        <w:rPr>
          <w:rFonts w:cs="Calibri"/>
          <w:sz w:val="24"/>
          <w:szCs w:val="24"/>
          <w:lang w:eastAsia="pl-PL"/>
        </w:rPr>
        <w:t>, zachowanie i adaptacja lub rozwijanie dziedzictwa kulturowego, historycznego lub przyrodniczego do celów turystycznych oraz społecznych, kulturalnych, edukacyjnych i innych celów społeczności lokalnych;</w:t>
      </w:r>
      <w:r w:rsidR="00DA2CF2" w:rsidRPr="001268E7">
        <w:rPr>
          <w:rFonts w:cstheme="minorHAnsi"/>
          <w:sz w:val="24"/>
          <w:szCs w:val="24"/>
        </w:rPr>
        <w:t xml:space="preserve"> </w:t>
      </w:r>
    </w:p>
    <w:p w:rsidR="00DA2CF2" w:rsidRPr="001268E7" w:rsidRDefault="00DA2CF2" w:rsidP="00C62170">
      <w:pPr>
        <w:pStyle w:val="Akapitzlist"/>
        <w:numPr>
          <w:ilvl w:val="0"/>
          <w:numId w:val="27"/>
        </w:numPr>
        <w:spacing w:before="100" w:beforeAutospacing="1" w:after="100" w:afterAutospacing="1" w:line="240" w:lineRule="auto"/>
        <w:jc w:val="both"/>
        <w:rPr>
          <w:rFonts w:cstheme="minorHAnsi"/>
          <w:sz w:val="24"/>
          <w:szCs w:val="24"/>
        </w:rPr>
      </w:pPr>
      <w:r w:rsidRPr="001268E7">
        <w:rPr>
          <w:rFonts w:cs="Calibri"/>
          <w:sz w:val="24"/>
          <w:szCs w:val="24"/>
          <w:lang w:eastAsia="pl-PL"/>
        </w:rPr>
        <w:t xml:space="preserve">Wspólne szkolenia i wymiany personelu mające na celu poprawę umiejętności w zakresie zarządzania dziedzictwem kulturowym lub przyrodniczym, rozwoju </w:t>
      </w:r>
      <w:r w:rsidRPr="001268E7">
        <w:rPr>
          <w:rFonts w:cs="Calibri"/>
          <w:sz w:val="24"/>
          <w:szCs w:val="24"/>
          <w:lang w:eastAsia="pl-PL"/>
        </w:rPr>
        <w:lastRenderedPageBreak/>
        <w:t>wspólnych produktów i usług turystycznych, marketingu zasobów dziedzictwa z obszaru Programu i innych umiejętności powiązanych,</w:t>
      </w:r>
    </w:p>
    <w:p w:rsidR="00DA2CF2" w:rsidRPr="001268E7" w:rsidRDefault="00DA2CF2" w:rsidP="00C62170">
      <w:pPr>
        <w:pStyle w:val="Akapitzlist"/>
        <w:numPr>
          <w:ilvl w:val="0"/>
          <w:numId w:val="27"/>
        </w:numPr>
        <w:spacing w:before="100" w:beforeAutospacing="1" w:after="100" w:afterAutospacing="1" w:line="240" w:lineRule="auto"/>
        <w:jc w:val="both"/>
        <w:rPr>
          <w:rFonts w:cstheme="minorHAnsi"/>
          <w:sz w:val="24"/>
          <w:szCs w:val="24"/>
        </w:rPr>
      </w:pPr>
      <w:r w:rsidRPr="001268E7">
        <w:rPr>
          <w:rFonts w:cstheme="minorHAnsi"/>
          <w:sz w:val="24"/>
          <w:szCs w:val="24"/>
        </w:rPr>
        <w:t>Zachowanie, przywrócenie i odbudowa obiektów dziedzictwa kulturowego i historycznego, zabytków i ich otoczenia,</w:t>
      </w:r>
    </w:p>
    <w:p w:rsidR="00DA2CF2" w:rsidRPr="001268E7" w:rsidRDefault="008B3BF5" w:rsidP="00C62170">
      <w:pPr>
        <w:pStyle w:val="Akapitzlist"/>
        <w:numPr>
          <w:ilvl w:val="0"/>
          <w:numId w:val="27"/>
        </w:numPr>
        <w:spacing w:before="100" w:beforeAutospacing="1" w:after="100" w:afterAutospacing="1" w:line="240" w:lineRule="auto"/>
        <w:jc w:val="both"/>
        <w:rPr>
          <w:rFonts w:cstheme="minorHAnsi"/>
          <w:sz w:val="24"/>
          <w:szCs w:val="24"/>
        </w:rPr>
      </w:pPr>
      <w:r w:rsidRPr="001268E7">
        <w:rPr>
          <w:rFonts w:cstheme="minorHAnsi"/>
          <w:sz w:val="24"/>
          <w:szCs w:val="24"/>
        </w:rPr>
        <w:t>Przygotowanie i opracowanie analiz, badań, strategii i programów w celu zachowania dziedzictwa kulturowego,</w:t>
      </w:r>
    </w:p>
    <w:p w:rsidR="008B3BF5" w:rsidRPr="001268E7" w:rsidRDefault="008B3BF5" w:rsidP="00C62170">
      <w:pPr>
        <w:pStyle w:val="Akapitzlist"/>
        <w:numPr>
          <w:ilvl w:val="0"/>
          <w:numId w:val="27"/>
        </w:numPr>
        <w:spacing w:before="100" w:beforeAutospacing="1" w:after="100" w:afterAutospacing="1" w:line="240" w:lineRule="auto"/>
        <w:jc w:val="both"/>
        <w:rPr>
          <w:rFonts w:cstheme="minorHAnsi"/>
          <w:sz w:val="24"/>
          <w:szCs w:val="24"/>
        </w:rPr>
      </w:pPr>
      <w:r w:rsidRPr="001268E7">
        <w:rPr>
          <w:rFonts w:cstheme="minorHAnsi"/>
          <w:sz w:val="24"/>
          <w:szCs w:val="24"/>
        </w:rPr>
        <w:t>Tworzenie systemów informacji kulturowej,</w:t>
      </w:r>
    </w:p>
    <w:p w:rsidR="008B3BF5" w:rsidRDefault="00A72A7B" w:rsidP="00C62170">
      <w:pPr>
        <w:pStyle w:val="Akapitzlist"/>
        <w:numPr>
          <w:ilvl w:val="0"/>
          <w:numId w:val="27"/>
        </w:numPr>
        <w:spacing w:before="100" w:beforeAutospacing="1" w:after="100" w:afterAutospacing="1" w:line="240" w:lineRule="auto"/>
        <w:jc w:val="both"/>
        <w:rPr>
          <w:rFonts w:cstheme="minorHAnsi"/>
          <w:sz w:val="24"/>
          <w:szCs w:val="24"/>
        </w:rPr>
      </w:pPr>
      <w:r w:rsidRPr="001268E7">
        <w:rPr>
          <w:rFonts w:cstheme="minorHAnsi"/>
          <w:sz w:val="24"/>
          <w:szCs w:val="24"/>
        </w:rPr>
        <w:t>Ochrona</w:t>
      </w:r>
      <w:r w:rsidR="008B3BF5" w:rsidRPr="001268E7">
        <w:rPr>
          <w:rFonts w:cstheme="minorHAnsi"/>
          <w:sz w:val="24"/>
          <w:szCs w:val="24"/>
        </w:rPr>
        <w:t xml:space="preserve"> dziedzictwa przyrodniczego wspólnej ekologicznej i kulturowej wartości, np. rezerwaty, parki narodowe itp. </w:t>
      </w:r>
    </w:p>
    <w:p w:rsidR="00D61551" w:rsidRDefault="00F37076" w:rsidP="007B7A12">
      <w:pPr>
        <w:pStyle w:val="Nagwek2"/>
      </w:pPr>
      <w:bookmarkStart w:id="11" w:name="_Toc530737563"/>
      <w:r w:rsidRPr="00F37076">
        <w:t>Ś</w:t>
      </w:r>
      <w:r>
        <w:t>RODOWISKO</w:t>
      </w:r>
      <w:bookmarkEnd w:id="11"/>
    </w:p>
    <w:p w:rsidR="003B42AD" w:rsidRPr="007B7A12" w:rsidRDefault="008B3BF5" w:rsidP="007273B8">
      <w:pPr>
        <w:autoSpaceDE w:val="0"/>
        <w:autoSpaceDN w:val="0"/>
        <w:adjustRightInd w:val="0"/>
        <w:spacing w:after="0" w:line="240" w:lineRule="auto"/>
        <w:rPr>
          <w:rStyle w:val="Wyrnieniedelikatne"/>
        </w:rPr>
      </w:pPr>
      <w:r w:rsidRPr="007B7A12">
        <w:rPr>
          <w:rStyle w:val="Wyrnieniedelikatne"/>
        </w:rPr>
        <w:t>CT 6 - Ochrona środowiska, łagodzenie zmian klimatycznych i adaptacja</w:t>
      </w:r>
    </w:p>
    <w:p w:rsidR="003B42AD" w:rsidRPr="001268E7" w:rsidRDefault="008B3BF5" w:rsidP="008B3BF5">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Czyste środowisko naturalne jest niezbędnym warunkiem zapewnienia odpowiedniej jakości życia dla mieszkańców regionu.</w:t>
      </w:r>
      <w:r w:rsidR="003B42AD" w:rsidRPr="001268E7">
        <w:rPr>
          <w:rFonts w:cstheme="minorHAnsi"/>
          <w:sz w:val="24"/>
          <w:szCs w:val="24"/>
        </w:rPr>
        <w:t xml:space="preserve"> </w:t>
      </w:r>
      <w:r w:rsidRPr="001268E7">
        <w:rPr>
          <w:rFonts w:cstheme="minorHAnsi"/>
          <w:sz w:val="24"/>
          <w:szCs w:val="24"/>
        </w:rPr>
        <w:t>Problemy środowiskowe mają w szczególności charakter transgraniczny, ponieważ czynniki zanieczyszczające środowisko łatwo przekraczają granice administracyjne.</w:t>
      </w:r>
      <w:r w:rsidR="003B42AD" w:rsidRPr="001268E7">
        <w:rPr>
          <w:rFonts w:cstheme="minorHAnsi"/>
          <w:sz w:val="24"/>
          <w:szCs w:val="24"/>
        </w:rPr>
        <w:t xml:space="preserve"> </w:t>
      </w:r>
      <w:r w:rsidRPr="001268E7">
        <w:rPr>
          <w:rFonts w:cstheme="minorHAnsi"/>
          <w:sz w:val="24"/>
          <w:szCs w:val="24"/>
        </w:rPr>
        <w:t>Wymiar środowiskow</w:t>
      </w:r>
      <w:r w:rsidR="00113B0E" w:rsidRPr="001268E7">
        <w:rPr>
          <w:rFonts w:cstheme="minorHAnsi"/>
          <w:sz w:val="24"/>
          <w:szCs w:val="24"/>
        </w:rPr>
        <w:t>y jest dobrze widoczny i znaczący</w:t>
      </w:r>
      <w:r w:rsidRPr="001268E7">
        <w:rPr>
          <w:rFonts w:cstheme="minorHAnsi"/>
          <w:sz w:val="24"/>
          <w:szCs w:val="24"/>
        </w:rPr>
        <w:t xml:space="preserve"> na granicy pomiędzy Polską i </w:t>
      </w:r>
      <w:r w:rsidR="00113B0E" w:rsidRPr="001268E7">
        <w:rPr>
          <w:rFonts w:cstheme="minorHAnsi"/>
          <w:sz w:val="24"/>
          <w:szCs w:val="24"/>
        </w:rPr>
        <w:t>obwodem kaliningradzkim, tj.</w:t>
      </w:r>
      <w:r w:rsidRPr="001268E7">
        <w:rPr>
          <w:rFonts w:cstheme="minorHAnsi"/>
          <w:sz w:val="24"/>
          <w:szCs w:val="24"/>
        </w:rPr>
        <w:t xml:space="preserve"> na obszarze, który obejmuje tak wrażliwe i ważne ekosystemy jak Zalew Wiślany, Mierzeja Wiślana, Zatoka Gdańska czy Pojezierze Mazurskie.</w:t>
      </w:r>
      <w:r w:rsidR="003B42AD" w:rsidRPr="001268E7">
        <w:rPr>
          <w:rFonts w:cstheme="minorHAnsi"/>
          <w:sz w:val="24"/>
          <w:szCs w:val="24"/>
        </w:rPr>
        <w:t xml:space="preserve"> </w:t>
      </w:r>
      <w:r w:rsidRPr="001268E7">
        <w:rPr>
          <w:rFonts w:cstheme="minorHAnsi"/>
          <w:sz w:val="24"/>
          <w:szCs w:val="24"/>
        </w:rPr>
        <w:t>Tutaj, ochrona wód powierzchniowych i gruntowych ma zasadnicze znaczenie, równ</w:t>
      </w:r>
      <w:r w:rsidR="00113B0E" w:rsidRPr="001268E7">
        <w:rPr>
          <w:rFonts w:cstheme="minorHAnsi"/>
          <w:sz w:val="24"/>
          <w:szCs w:val="24"/>
        </w:rPr>
        <w:t>ież dlatego, że jego wpływ wykracza daleko</w:t>
      </w:r>
      <w:r w:rsidRPr="001268E7">
        <w:rPr>
          <w:rFonts w:cstheme="minorHAnsi"/>
          <w:sz w:val="24"/>
          <w:szCs w:val="24"/>
        </w:rPr>
        <w:t xml:space="preserve"> poza obszar kwalifikowalny, tj. może poważnie wpłynąć na stan ekosystemu Morza Bałtyckiego.</w:t>
      </w:r>
      <w:r w:rsidR="003B42AD" w:rsidRPr="001268E7">
        <w:rPr>
          <w:rFonts w:cstheme="minorHAnsi"/>
          <w:sz w:val="24"/>
          <w:szCs w:val="24"/>
        </w:rPr>
        <w:t xml:space="preserve"> </w:t>
      </w:r>
      <w:r w:rsidRPr="001268E7">
        <w:rPr>
          <w:rFonts w:cstheme="minorHAnsi"/>
          <w:sz w:val="24"/>
          <w:szCs w:val="24"/>
        </w:rPr>
        <w:t>Działania w ramach Celu Tematycznego 6</w:t>
      </w:r>
      <w:r w:rsidR="00113B0E" w:rsidRPr="001268E7">
        <w:rPr>
          <w:rFonts w:cstheme="minorHAnsi"/>
          <w:sz w:val="24"/>
          <w:szCs w:val="24"/>
        </w:rPr>
        <w:t xml:space="preserve"> obejmują długą listę przedsięwzięć</w:t>
      </w:r>
      <w:r w:rsidRPr="001268E7">
        <w:rPr>
          <w:rFonts w:cstheme="minorHAnsi"/>
          <w:sz w:val="24"/>
          <w:szCs w:val="24"/>
        </w:rPr>
        <w:t xml:space="preserve"> środowiskowych</w:t>
      </w:r>
      <w:r w:rsidR="000F3971" w:rsidRPr="001268E7">
        <w:rPr>
          <w:rFonts w:cstheme="minorHAnsi"/>
          <w:sz w:val="24"/>
          <w:szCs w:val="24"/>
        </w:rPr>
        <w:t xml:space="preserve"> w zakresie gospodarki wodnej, gospodarki odpadami, monitorowania</w:t>
      </w:r>
      <w:r w:rsidRPr="001268E7">
        <w:rPr>
          <w:rFonts w:cstheme="minorHAnsi"/>
          <w:sz w:val="24"/>
          <w:szCs w:val="24"/>
        </w:rPr>
        <w:t xml:space="preserve"> powietrza, łagodzenia zmian klimatycznych, ochrony różnorodności biologicznej itp.</w:t>
      </w:r>
      <w:r w:rsidR="000F3971" w:rsidRPr="001268E7">
        <w:rPr>
          <w:rFonts w:cstheme="minorHAnsi"/>
          <w:sz w:val="24"/>
          <w:szCs w:val="24"/>
        </w:rPr>
        <w:t xml:space="preserve"> w obszarze transgranicznym.</w:t>
      </w:r>
    </w:p>
    <w:p w:rsidR="003B42AD" w:rsidRPr="001268E7" w:rsidRDefault="008B3BF5" w:rsidP="008B3BF5">
      <w:pPr>
        <w:autoSpaceDE w:val="0"/>
        <w:autoSpaceDN w:val="0"/>
        <w:adjustRightInd w:val="0"/>
        <w:spacing w:after="0" w:line="240" w:lineRule="auto"/>
        <w:rPr>
          <w:rFonts w:cstheme="minorHAnsi"/>
          <w:sz w:val="24"/>
          <w:szCs w:val="24"/>
        </w:rPr>
      </w:pPr>
      <w:r w:rsidRPr="001268E7">
        <w:rPr>
          <w:rFonts w:cstheme="minorHAnsi"/>
          <w:b/>
          <w:sz w:val="24"/>
          <w:szCs w:val="24"/>
        </w:rPr>
        <w:t xml:space="preserve">Priorytet 2. </w:t>
      </w:r>
      <w:r w:rsidRPr="007273B8">
        <w:rPr>
          <w:rFonts w:cstheme="minorHAnsi"/>
          <w:sz w:val="24"/>
          <w:szCs w:val="24"/>
        </w:rPr>
        <w:t>Współpraca na rzecz czystego środowiska naturalnego na obszarze transgranicznym</w:t>
      </w:r>
    </w:p>
    <w:p w:rsidR="003B42AD" w:rsidRPr="001268E7" w:rsidRDefault="002E4F70" w:rsidP="008B3BF5">
      <w:pPr>
        <w:spacing w:before="100" w:beforeAutospacing="1" w:after="100" w:afterAutospacing="1" w:line="240" w:lineRule="auto"/>
        <w:jc w:val="both"/>
        <w:rPr>
          <w:rFonts w:cstheme="minorHAnsi"/>
          <w:sz w:val="24"/>
          <w:szCs w:val="24"/>
        </w:rPr>
      </w:pPr>
      <w:r w:rsidRPr="001268E7">
        <w:rPr>
          <w:rFonts w:cstheme="minorHAnsi"/>
          <w:sz w:val="24"/>
          <w:szCs w:val="24"/>
        </w:rPr>
        <w:t>Proponowane indykatywne</w:t>
      </w:r>
      <w:r w:rsidR="008B3BF5" w:rsidRPr="001268E7">
        <w:rPr>
          <w:rFonts w:cstheme="minorHAnsi"/>
          <w:sz w:val="24"/>
          <w:szCs w:val="24"/>
        </w:rPr>
        <w:t xml:space="preserve"> przedsięwzięcia w ramach priorytetu:</w:t>
      </w:r>
    </w:p>
    <w:p w:rsidR="008B3BF5" w:rsidRPr="001268E7" w:rsidRDefault="008B3BF5"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Wspólne projekty dotyczące ochrony i zrównoważonego wykorzystania zasobów natur</w:t>
      </w:r>
      <w:r w:rsidR="000F3971" w:rsidRPr="001268E7">
        <w:rPr>
          <w:rFonts w:cstheme="minorHAnsi"/>
          <w:sz w:val="24"/>
          <w:szCs w:val="24"/>
        </w:rPr>
        <w:t>alnych takich jak parki, zasoby wodne</w:t>
      </w:r>
      <w:r w:rsidRPr="001268E7">
        <w:rPr>
          <w:rFonts w:cstheme="minorHAnsi"/>
          <w:sz w:val="24"/>
          <w:szCs w:val="24"/>
        </w:rPr>
        <w:t xml:space="preserve"> itp.; </w:t>
      </w:r>
    </w:p>
    <w:p w:rsidR="008B3BF5" w:rsidRPr="001268E7" w:rsidRDefault="008B3BF5"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 xml:space="preserve">Transgraniczna współpraca na rzecz ochrony cennych ekosystemów i zagrożonych gatunków; </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vanish/>
          <w:sz w:val="24"/>
          <w:szCs w:val="24"/>
        </w:rPr>
      </w:pPr>
      <w:r w:rsidRPr="001268E7">
        <w:rPr>
          <w:rFonts w:cstheme="minorHAnsi"/>
          <w:sz w:val="24"/>
          <w:szCs w:val="24"/>
        </w:rPr>
        <w:t>Rozwój infrastruktury w zakresie uzdatniania wody, gospodarki odpadami, zapobiegania i ograniczania zanieczy</w:t>
      </w:r>
      <w:r w:rsidR="000F3971" w:rsidRPr="001268E7">
        <w:rPr>
          <w:rFonts w:cstheme="minorHAnsi"/>
          <w:sz w:val="24"/>
          <w:szCs w:val="24"/>
        </w:rPr>
        <w:t>szczenia (w tym zanieczyszczenia</w:t>
      </w:r>
      <w:r w:rsidRPr="001268E7">
        <w:rPr>
          <w:rFonts w:cstheme="minorHAnsi"/>
          <w:sz w:val="24"/>
          <w:szCs w:val="24"/>
        </w:rPr>
        <w:t xml:space="preserve"> powietrza) na transgranicznym obszarze, np. budowa/modernizacja urządzeń </w:t>
      </w:r>
      <w:r w:rsidR="000F3971" w:rsidRPr="001268E7">
        <w:rPr>
          <w:rFonts w:cstheme="minorHAnsi"/>
          <w:sz w:val="24"/>
          <w:szCs w:val="24"/>
        </w:rPr>
        <w:t>wodociągowych i oczyszczania ścieków</w:t>
      </w:r>
      <w:r w:rsidRPr="001268E7">
        <w:rPr>
          <w:rFonts w:cstheme="minorHAnsi"/>
          <w:sz w:val="24"/>
          <w:szCs w:val="24"/>
        </w:rPr>
        <w:t xml:space="preserve">, tworzenie/modernizacja systemów zbiórki odpadów i recyklingu, </w:t>
      </w:r>
      <w:r w:rsidR="000F3971" w:rsidRPr="001268E7">
        <w:rPr>
          <w:rFonts w:cstheme="minorHAnsi"/>
          <w:sz w:val="24"/>
          <w:szCs w:val="24"/>
        </w:rPr>
        <w:t xml:space="preserve">ekologiczne </w:t>
      </w:r>
      <w:r w:rsidRPr="001268E7">
        <w:rPr>
          <w:rFonts w:cstheme="minorHAnsi"/>
          <w:sz w:val="24"/>
          <w:szCs w:val="24"/>
        </w:rPr>
        <w:t>prze</w:t>
      </w:r>
      <w:r w:rsidR="000F3971" w:rsidRPr="001268E7">
        <w:rPr>
          <w:rFonts w:cstheme="minorHAnsi"/>
          <w:sz w:val="24"/>
          <w:szCs w:val="24"/>
        </w:rPr>
        <w:t>chowywanie odpadów</w:t>
      </w:r>
      <w:r w:rsidRPr="001268E7">
        <w:rPr>
          <w:rFonts w:cstheme="minorHAnsi"/>
          <w:sz w:val="24"/>
          <w:szCs w:val="24"/>
        </w:rPr>
        <w:t xml:space="preserve"> itp.;</w:t>
      </w:r>
    </w:p>
    <w:p w:rsidR="007273B8" w:rsidRDefault="007273B8" w:rsidP="00C62170">
      <w:pPr>
        <w:pStyle w:val="Akapitzlist"/>
        <w:numPr>
          <w:ilvl w:val="0"/>
          <w:numId w:val="28"/>
        </w:numPr>
        <w:spacing w:before="100" w:beforeAutospacing="1" w:after="100" w:afterAutospacing="1" w:line="240" w:lineRule="auto"/>
        <w:jc w:val="both"/>
        <w:rPr>
          <w:rFonts w:cstheme="minorHAnsi"/>
          <w:sz w:val="24"/>
          <w:szCs w:val="24"/>
        </w:rPr>
      </w:pPr>
    </w:p>
    <w:p w:rsidR="007273B8" w:rsidRPr="007273B8" w:rsidRDefault="009225ED" w:rsidP="007273B8">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Wspólne projekty dotyczące gospodarki zasobami wodnymi w związku ze zmianami klimatu (powodzie, susze, niedobory wody);</w:t>
      </w:r>
      <w:r w:rsidR="00650AC0" w:rsidRPr="001268E7">
        <w:rPr>
          <w:rFonts w:cstheme="minorHAnsi"/>
          <w:sz w:val="24"/>
          <w:szCs w:val="24"/>
        </w:rPr>
        <w:t xml:space="preserve"> </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Wspólne projekty dotyczące zrównoważonego zarządzania, ochrony i korzystania z zasobów świeżej wody;</w:t>
      </w:r>
    </w:p>
    <w:p w:rsidR="007273B8" w:rsidRPr="007273B8" w:rsidRDefault="009225ED" w:rsidP="00C62170">
      <w:pPr>
        <w:pStyle w:val="Akapitzlist"/>
        <w:numPr>
          <w:ilvl w:val="0"/>
          <w:numId w:val="28"/>
        </w:numPr>
        <w:spacing w:before="100" w:beforeAutospacing="1" w:after="100" w:afterAutospacing="1" w:line="240" w:lineRule="auto"/>
        <w:jc w:val="both"/>
        <w:rPr>
          <w:rFonts w:cstheme="minorHAnsi"/>
          <w:vanish/>
          <w:sz w:val="24"/>
          <w:szCs w:val="24"/>
        </w:rPr>
      </w:pPr>
      <w:r w:rsidRPr="001268E7">
        <w:rPr>
          <w:rFonts w:cstheme="minorHAnsi"/>
          <w:sz w:val="24"/>
          <w:szCs w:val="24"/>
        </w:rPr>
        <w:t>Wspólne monitorowanie warunków środowiskowych (powietrze, woda) na rzecz lepszej ochrony środowiska;</w:t>
      </w:r>
    </w:p>
    <w:p w:rsidR="009225ED" w:rsidRDefault="009225ED" w:rsidP="007273B8">
      <w:pPr>
        <w:spacing w:before="100" w:beforeAutospacing="1" w:after="100" w:afterAutospacing="1" w:line="240" w:lineRule="auto"/>
        <w:jc w:val="both"/>
        <w:rPr>
          <w:rFonts w:cstheme="minorHAnsi"/>
          <w:sz w:val="24"/>
          <w:szCs w:val="24"/>
        </w:rPr>
      </w:pPr>
      <w:r w:rsidRPr="007273B8">
        <w:rPr>
          <w:rFonts w:cstheme="minorHAnsi"/>
          <w:sz w:val="24"/>
          <w:szCs w:val="24"/>
        </w:rPr>
        <w:t xml:space="preserve"> </w:t>
      </w:r>
    </w:p>
    <w:p w:rsidR="007273B8" w:rsidRPr="007273B8" w:rsidRDefault="007273B8" w:rsidP="007273B8">
      <w:pPr>
        <w:spacing w:before="100" w:beforeAutospacing="1" w:after="100" w:afterAutospacing="1" w:line="240" w:lineRule="auto"/>
        <w:jc w:val="both"/>
        <w:rPr>
          <w:rFonts w:cstheme="minorHAnsi"/>
          <w:vanish/>
          <w:sz w:val="24"/>
          <w:szCs w:val="24"/>
        </w:rPr>
      </w:pP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 xml:space="preserve">Rewitalizacja zanieczyszczonych terenów oraz obszarów stanowiących zagrożenie dla środowiska, w tym obszarów zdegradowanych; </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 xml:space="preserve">Wspólne projekty na rzecz wspierania energooszczędności i zwiększenia wykorzystania odnawialnych źródeł energii (słonecznej, wodnej, wiatrowej, biomasy) na poziomie lokalnym/regionalnym; </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Wspólne szkolenia, spotkania i wym</w:t>
      </w:r>
      <w:r w:rsidR="00C17CA8" w:rsidRPr="001268E7">
        <w:rPr>
          <w:rFonts w:cstheme="minorHAnsi"/>
          <w:sz w:val="24"/>
          <w:szCs w:val="24"/>
        </w:rPr>
        <w:t>iana wiedzy w zakresie projektów dotyczących usług publicznych rozwiązujących wspólne wyzwania</w:t>
      </w:r>
      <w:r w:rsidRPr="001268E7">
        <w:rPr>
          <w:rFonts w:cstheme="minorHAnsi"/>
          <w:sz w:val="24"/>
          <w:szCs w:val="24"/>
        </w:rPr>
        <w:t xml:space="preserve"> </w:t>
      </w:r>
      <w:r w:rsidR="00C17CA8" w:rsidRPr="001268E7">
        <w:rPr>
          <w:rFonts w:cstheme="minorHAnsi"/>
          <w:sz w:val="24"/>
          <w:szCs w:val="24"/>
        </w:rPr>
        <w:t>w zakresie zmian klimatu (pożary</w:t>
      </w:r>
      <w:r w:rsidRPr="001268E7">
        <w:rPr>
          <w:rFonts w:cstheme="minorHAnsi"/>
          <w:sz w:val="24"/>
          <w:szCs w:val="24"/>
        </w:rPr>
        <w:t xml:space="preserve"> lasów, powodzie, susze, obfite opady śniegu, silne wiatry);</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 xml:space="preserve">Wspólne działania na rzecz ochrony obszarów przybrzeżnych, w tym skuteczne gospodarowanie Morzem Bałtyckim i jego zasobami; </w:t>
      </w:r>
    </w:p>
    <w:p w:rsidR="009225ED" w:rsidRPr="001268E7" w:rsidRDefault="00C17CA8" w:rsidP="00C62170">
      <w:pPr>
        <w:pStyle w:val="Akapitzlist"/>
        <w:numPr>
          <w:ilvl w:val="0"/>
          <w:numId w:val="28"/>
        </w:numPr>
        <w:spacing w:before="100" w:beforeAutospacing="1" w:after="100" w:afterAutospacing="1" w:line="240" w:lineRule="auto"/>
        <w:jc w:val="both"/>
        <w:rPr>
          <w:rFonts w:cstheme="minorHAnsi"/>
          <w:vanish/>
          <w:sz w:val="24"/>
        </w:rPr>
      </w:pPr>
      <w:r w:rsidRPr="001268E7">
        <w:rPr>
          <w:rFonts w:cstheme="minorHAnsi"/>
          <w:sz w:val="24"/>
          <w:szCs w:val="24"/>
        </w:rPr>
        <w:t>Wspólne opracowanie strategii i umiejętności oraz współpraca</w:t>
      </w:r>
      <w:r w:rsidR="009225ED" w:rsidRPr="001268E7">
        <w:rPr>
          <w:rFonts w:cstheme="minorHAnsi"/>
          <w:sz w:val="24"/>
          <w:szCs w:val="24"/>
        </w:rPr>
        <w:t xml:space="preserve"> pomiędzy lokalnymi i regionalnymi władzami w zakresie </w:t>
      </w:r>
      <w:r w:rsidRPr="001268E7">
        <w:rPr>
          <w:rFonts w:cstheme="minorHAnsi"/>
          <w:sz w:val="24"/>
          <w:szCs w:val="24"/>
        </w:rPr>
        <w:t>zarządzania zasobami naturalnymi</w:t>
      </w:r>
      <w:r w:rsidR="006C595F" w:rsidRPr="001268E7">
        <w:rPr>
          <w:rFonts w:cstheme="minorHAnsi"/>
          <w:sz w:val="24"/>
          <w:szCs w:val="24"/>
        </w:rPr>
        <w:t xml:space="preserve"> (takimi</w:t>
      </w:r>
      <w:r w:rsidR="009225ED" w:rsidRPr="001268E7">
        <w:rPr>
          <w:rFonts w:cstheme="minorHAnsi"/>
          <w:sz w:val="24"/>
          <w:szCs w:val="24"/>
        </w:rPr>
        <w:t xml:space="preserve"> jak parki, zasoby wodne itp.);</w:t>
      </w:r>
    </w:p>
    <w:p w:rsidR="007273B8" w:rsidRDefault="007273B8" w:rsidP="00C62170">
      <w:pPr>
        <w:pStyle w:val="Akapitzlist"/>
        <w:numPr>
          <w:ilvl w:val="0"/>
          <w:numId w:val="28"/>
        </w:numPr>
        <w:spacing w:before="100" w:beforeAutospacing="1" w:after="100" w:afterAutospacing="1" w:line="240" w:lineRule="auto"/>
        <w:jc w:val="both"/>
        <w:rPr>
          <w:rFonts w:cstheme="minorHAnsi"/>
          <w:sz w:val="24"/>
          <w:szCs w:val="24"/>
        </w:rPr>
      </w:pP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Wspólne szkolenia,</w:t>
      </w:r>
      <w:r w:rsidR="00C17CA8" w:rsidRPr="001268E7">
        <w:rPr>
          <w:rFonts w:cstheme="minorHAnsi"/>
          <w:sz w:val="24"/>
          <w:szCs w:val="24"/>
        </w:rPr>
        <w:t xml:space="preserve"> spotkania i wymiana dobrych</w:t>
      </w:r>
      <w:r w:rsidRPr="001268E7">
        <w:rPr>
          <w:rFonts w:cstheme="minorHAnsi"/>
          <w:sz w:val="24"/>
          <w:szCs w:val="24"/>
        </w:rPr>
        <w:t xml:space="preserve"> praktyk pomiędzy lokalnymi i regionalnymi władzami w zakresie ochrony środowiska; </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Wspólne działania mające na celu zapobieganie i łagodzenie skutków zmian klimatu w rolni</w:t>
      </w:r>
      <w:r w:rsidR="00C17CA8" w:rsidRPr="001268E7">
        <w:rPr>
          <w:rFonts w:cstheme="minorHAnsi"/>
          <w:sz w:val="24"/>
          <w:szCs w:val="24"/>
        </w:rPr>
        <w:t>ctwie, rybołówstwie i leśnictwie</w:t>
      </w:r>
      <w:r w:rsidRPr="001268E7">
        <w:rPr>
          <w:rFonts w:cstheme="minorHAnsi"/>
          <w:sz w:val="24"/>
          <w:szCs w:val="24"/>
        </w:rPr>
        <w:t xml:space="preserve">; </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Wspieranie wspólnych działań podejmowanych w odpowiedzi na zagrożenia dla zdrowia lu</w:t>
      </w:r>
      <w:r w:rsidR="00C17CA8" w:rsidRPr="001268E7">
        <w:rPr>
          <w:rFonts w:cstheme="minorHAnsi"/>
          <w:sz w:val="24"/>
          <w:szCs w:val="24"/>
        </w:rPr>
        <w:t>dzi w wyniku zmian klimatu i zanieczyszczenia</w:t>
      </w:r>
      <w:r w:rsidRPr="001268E7">
        <w:rPr>
          <w:rFonts w:cstheme="minorHAnsi"/>
          <w:sz w:val="24"/>
          <w:szCs w:val="24"/>
        </w:rPr>
        <w:t xml:space="preserve"> (sytuacje awaryjne, choroby związane z klimatem bądź zagrożenia zdrowotne); </w:t>
      </w:r>
    </w:p>
    <w:p w:rsidR="009225ED" w:rsidRPr="001268E7" w:rsidRDefault="009225E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 xml:space="preserve">Opracowanie planów zagospodarowania przestrzennego, wspólnych strategii, systemów zarządzania kryzysowego, systemów monitoringu i ostrzegania dla transgranicznego obszaru w związku z wyzwaniami dotyczącymi klimatu i adaptacją do zmian klimatycznych; </w:t>
      </w:r>
    </w:p>
    <w:p w:rsidR="009225ED" w:rsidRDefault="0054356D" w:rsidP="00C62170">
      <w:pPr>
        <w:pStyle w:val="Akapitzlist"/>
        <w:numPr>
          <w:ilvl w:val="0"/>
          <w:numId w:val="28"/>
        </w:numPr>
        <w:spacing w:before="100" w:beforeAutospacing="1" w:after="100" w:afterAutospacing="1" w:line="240" w:lineRule="auto"/>
        <w:jc w:val="both"/>
        <w:rPr>
          <w:rFonts w:cstheme="minorHAnsi"/>
          <w:sz w:val="24"/>
          <w:szCs w:val="24"/>
        </w:rPr>
      </w:pPr>
      <w:r w:rsidRPr="001268E7">
        <w:rPr>
          <w:rFonts w:cstheme="minorHAnsi"/>
          <w:sz w:val="24"/>
          <w:szCs w:val="24"/>
        </w:rPr>
        <w:t>Przygotowan</w:t>
      </w:r>
      <w:r w:rsidR="00C17CA8" w:rsidRPr="001268E7">
        <w:rPr>
          <w:rFonts w:cstheme="minorHAnsi"/>
          <w:sz w:val="24"/>
          <w:szCs w:val="24"/>
        </w:rPr>
        <w:t>ie analiz, badań środowiskowych i</w:t>
      </w:r>
      <w:r w:rsidRPr="001268E7">
        <w:rPr>
          <w:rFonts w:cstheme="minorHAnsi"/>
          <w:sz w:val="24"/>
          <w:szCs w:val="24"/>
        </w:rPr>
        <w:t xml:space="preserve"> strategii, które pomagają radzić sobie z transgranicznymi wyzwaniami dotyczącymi poprawy stanu wody, jak również </w:t>
      </w:r>
      <w:r w:rsidR="00C17CA8" w:rsidRPr="001268E7">
        <w:rPr>
          <w:rFonts w:cstheme="minorHAnsi"/>
          <w:sz w:val="24"/>
          <w:szCs w:val="24"/>
        </w:rPr>
        <w:t xml:space="preserve">przygotowanie </w:t>
      </w:r>
      <w:r w:rsidRPr="001268E7">
        <w:rPr>
          <w:rFonts w:cstheme="minorHAnsi"/>
          <w:sz w:val="24"/>
          <w:szCs w:val="24"/>
        </w:rPr>
        <w:t>projektów dotyczących rozwoju infrastruktury związanej z ochroną środowiska.</w:t>
      </w:r>
    </w:p>
    <w:p w:rsidR="007273B8" w:rsidRPr="007273B8" w:rsidRDefault="007273B8" w:rsidP="007B7A12">
      <w:pPr>
        <w:pStyle w:val="Nagwek2"/>
      </w:pPr>
      <w:bookmarkStart w:id="12" w:name="_Toc530737564"/>
      <w:r w:rsidRPr="007273B8">
        <w:t>DOSTĘPNOŚĆ</w:t>
      </w:r>
      <w:bookmarkEnd w:id="12"/>
    </w:p>
    <w:p w:rsidR="003B42AD" w:rsidRPr="007B7A12" w:rsidRDefault="0054356D" w:rsidP="0054356D">
      <w:pPr>
        <w:autoSpaceDE w:val="0"/>
        <w:autoSpaceDN w:val="0"/>
        <w:adjustRightInd w:val="0"/>
        <w:spacing w:before="100" w:beforeAutospacing="1" w:after="100" w:afterAutospacing="1" w:line="240" w:lineRule="auto"/>
        <w:rPr>
          <w:rStyle w:val="Wyrnieniedelikatne"/>
        </w:rPr>
      </w:pPr>
      <w:r w:rsidRPr="007B7A12">
        <w:rPr>
          <w:rStyle w:val="Wyrnieniedelikatne"/>
        </w:rPr>
        <w:t>CT 7 - Popra</w:t>
      </w:r>
      <w:r w:rsidR="00C17CA8" w:rsidRPr="007B7A12">
        <w:rPr>
          <w:rStyle w:val="Wyrnieniedelikatne"/>
        </w:rPr>
        <w:t>wa dostępności regionów, rozwój</w:t>
      </w:r>
      <w:r w:rsidRPr="007B7A12">
        <w:rPr>
          <w:rStyle w:val="Wyrnieniedelikatne"/>
        </w:rPr>
        <w:t xml:space="preserve"> trwałego i odpornego na klimat transportu oraz sieci i systemów komunikacyjnych</w:t>
      </w:r>
    </w:p>
    <w:p w:rsidR="003B42AD" w:rsidRPr="001268E7" w:rsidRDefault="0054356D" w:rsidP="0054356D">
      <w:pPr>
        <w:autoSpaceDE w:val="0"/>
        <w:autoSpaceDN w:val="0"/>
        <w:adjustRightInd w:val="0"/>
        <w:spacing w:before="100" w:beforeAutospacing="1" w:after="100" w:afterAutospacing="1" w:line="240" w:lineRule="auto"/>
        <w:jc w:val="both"/>
        <w:rPr>
          <w:rFonts w:cstheme="minorHAnsi"/>
          <w:sz w:val="24"/>
          <w:szCs w:val="24"/>
        </w:rPr>
      </w:pPr>
      <w:r w:rsidRPr="001268E7">
        <w:rPr>
          <w:rFonts w:cs="Calibri"/>
          <w:sz w:val="24"/>
          <w:szCs w:val="24"/>
          <w:lang w:eastAsia="pl-PL"/>
        </w:rPr>
        <w:t>Region Programu charakteryzuje słabe skomunikowanie oraz niewystarczająca ilość sieci i systemów komunikacyjnych, co utrudnia kontakty transgraniczne i zakłóca ruch tranzytowy, a w konsekwencji obniża atrakcyjność regionu dla inwestorów.</w:t>
      </w:r>
      <w:r w:rsidR="003B42AD" w:rsidRPr="001268E7">
        <w:rPr>
          <w:rFonts w:cstheme="minorHAnsi"/>
          <w:sz w:val="24"/>
          <w:szCs w:val="24"/>
        </w:rPr>
        <w:t xml:space="preserve"> </w:t>
      </w:r>
      <w:r w:rsidRPr="001268E7">
        <w:rPr>
          <w:rFonts w:cs="Calibri"/>
          <w:sz w:val="24"/>
          <w:szCs w:val="24"/>
          <w:lang w:eastAsia="pl-PL"/>
        </w:rPr>
        <w:t>Pewne wsparcie w celu złagodzenia tych braków zostało udzielone już w poprzednim Programie EISP Litwa-Polska-Rosja 2007-2013, jednak potrzeby w tym zakresie nadal pozostają znaczące.</w:t>
      </w:r>
      <w:r w:rsidR="003B42AD" w:rsidRPr="001268E7">
        <w:rPr>
          <w:rFonts w:cstheme="minorHAnsi"/>
          <w:sz w:val="24"/>
          <w:szCs w:val="24"/>
        </w:rPr>
        <w:t xml:space="preserve"> </w:t>
      </w:r>
      <w:r w:rsidRPr="001268E7">
        <w:rPr>
          <w:rFonts w:cs="Calibri"/>
          <w:sz w:val="24"/>
          <w:szCs w:val="24"/>
          <w:lang w:eastAsia="pl-PL"/>
        </w:rPr>
        <w:t>Dlatego CT</w:t>
      </w:r>
      <w:r w:rsidR="00C17CA8" w:rsidRPr="001268E7">
        <w:rPr>
          <w:rFonts w:cs="Calibri"/>
          <w:sz w:val="24"/>
          <w:szCs w:val="24"/>
          <w:lang w:eastAsia="pl-PL"/>
        </w:rPr>
        <w:t xml:space="preserve"> </w:t>
      </w:r>
      <w:r w:rsidRPr="001268E7">
        <w:rPr>
          <w:rFonts w:cs="Calibri"/>
          <w:sz w:val="24"/>
          <w:szCs w:val="24"/>
          <w:lang w:eastAsia="pl-PL"/>
        </w:rPr>
        <w:t>7 przewiduje finansowanie działań związanych z poprawą dostępności transportowej, rozwojem transportu przyjaznego dla środowiska, budową i modernizacją sieci łączności i systemów.</w:t>
      </w:r>
      <w:r w:rsidR="003B42AD" w:rsidRPr="001268E7">
        <w:rPr>
          <w:rFonts w:cstheme="minorHAnsi"/>
          <w:sz w:val="24"/>
          <w:szCs w:val="24"/>
        </w:rPr>
        <w:t xml:space="preserve"> </w:t>
      </w:r>
      <w:r w:rsidRPr="001268E7">
        <w:rPr>
          <w:rFonts w:cs="Calibri"/>
          <w:sz w:val="24"/>
          <w:szCs w:val="24"/>
          <w:lang w:eastAsia="pl-PL"/>
        </w:rPr>
        <w:t>Szczególna uwaga powinna dotyczyć rozwoju dróg lokalnych oferujących istotne efekty</w:t>
      </w:r>
      <w:r w:rsidRPr="001268E7">
        <w:rPr>
          <w:rFonts w:cstheme="minorHAnsi"/>
          <w:sz w:val="24"/>
          <w:szCs w:val="24"/>
        </w:rPr>
        <w:t xml:space="preserve"> </w:t>
      </w:r>
      <w:r w:rsidRPr="001268E7">
        <w:rPr>
          <w:rFonts w:cs="Calibri"/>
          <w:sz w:val="24"/>
          <w:szCs w:val="24"/>
          <w:lang w:eastAsia="pl-PL"/>
        </w:rPr>
        <w:t>transgraniczne i oddziaływanie.</w:t>
      </w:r>
      <w:r w:rsidR="003B42AD" w:rsidRPr="001268E7">
        <w:rPr>
          <w:rFonts w:cstheme="minorHAnsi"/>
          <w:sz w:val="24"/>
          <w:szCs w:val="24"/>
        </w:rPr>
        <w:t xml:space="preserve"> </w:t>
      </w:r>
      <w:r w:rsidRPr="001268E7">
        <w:rPr>
          <w:rFonts w:cs="Calibri"/>
          <w:sz w:val="24"/>
          <w:szCs w:val="24"/>
          <w:lang w:eastAsia="pl-PL"/>
        </w:rPr>
        <w:t>Równie ważna jest integracja różnych form transportu i przewoźników, aby przewozy pasażerskie i tranzyt towarów przez obszar Programu były szybsze i bardziej zorientowane na klienta.</w:t>
      </w:r>
      <w:r w:rsidR="003B42AD" w:rsidRPr="001268E7">
        <w:rPr>
          <w:rFonts w:cstheme="minorHAnsi"/>
          <w:sz w:val="24"/>
          <w:szCs w:val="24"/>
        </w:rPr>
        <w:t xml:space="preserve"> </w:t>
      </w:r>
      <w:r w:rsidRPr="001268E7">
        <w:rPr>
          <w:rFonts w:cs="Calibri"/>
          <w:sz w:val="24"/>
          <w:szCs w:val="24"/>
          <w:lang w:eastAsia="pl-PL"/>
        </w:rPr>
        <w:t>Wszystkie inicjatywy i wysiłki poprawiające dostępność transportową powinny być oparte na rozwiązaniach przyjaznych dla środowiska.</w:t>
      </w:r>
    </w:p>
    <w:p w:rsidR="003B42AD" w:rsidRPr="001268E7" w:rsidRDefault="0054356D" w:rsidP="0054356D">
      <w:pPr>
        <w:autoSpaceDE w:val="0"/>
        <w:autoSpaceDN w:val="0"/>
        <w:adjustRightInd w:val="0"/>
        <w:spacing w:after="0" w:line="240" w:lineRule="auto"/>
        <w:ind w:left="60"/>
        <w:jc w:val="both"/>
        <w:rPr>
          <w:rFonts w:cstheme="minorHAnsi"/>
          <w:sz w:val="24"/>
          <w:szCs w:val="24"/>
        </w:rPr>
      </w:pPr>
      <w:r w:rsidRPr="001268E7">
        <w:rPr>
          <w:rFonts w:cstheme="minorHAnsi"/>
          <w:b/>
          <w:sz w:val="24"/>
          <w:szCs w:val="24"/>
        </w:rPr>
        <w:lastRenderedPageBreak/>
        <w:t xml:space="preserve">Priorytet 3. </w:t>
      </w:r>
      <w:r w:rsidRPr="001268E7">
        <w:rPr>
          <w:rFonts w:cstheme="minorHAnsi"/>
          <w:sz w:val="24"/>
          <w:szCs w:val="24"/>
        </w:rPr>
        <w:t>Dostępne regiony oraz trwały transgraniczny transport i komunikacja</w:t>
      </w:r>
    </w:p>
    <w:p w:rsidR="003B42AD" w:rsidRPr="001268E7" w:rsidRDefault="0054356D" w:rsidP="0054356D">
      <w:pPr>
        <w:spacing w:before="100" w:beforeAutospacing="1" w:after="100" w:afterAutospacing="1" w:line="240" w:lineRule="auto"/>
        <w:jc w:val="both"/>
        <w:rPr>
          <w:rFonts w:cstheme="minorHAnsi"/>
          <w:sz w:val="24"/>
          <w:szCs w:val="24"/>
        </w:rPr>
      </w:pPr>
      <w:r w:rsidRPr="001268E7">
        <w:rPr>
          <w:rFonts w:cstheme="minorHAnsi"/>
          <w:sz w:val="24"/>
          <w:szCs w:val="24"/>
        </w:rPr>
        <w:t>Proponowane indykatywne przedsięwzięcia w ramach priorytetu:</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inwestycje w poprawę jakości i dostępności infrastruktury społecznej i gospodarczej;</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Wspólny rozwój systemów transportu multimodalnego;</w:t>
      </w:r>
      <w:r w:rsidRPr="001268E7">
        <w:rPr>
          <w:rFonts w:cstheme="minorHAnsi"/>
          <w:sz w:val="24"/>
          <w:szCs w:val="24"/>
        </w:rPr>
        <w:t xml:space="preserve"> </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Wspólny rozwój i poprawa jakości i bezpieczeństwa istniejących połączeń komunikacyjnych;</w:t>
      </w:r>
      <w:r w:rsidRPr="001268E7">
        <w:rPr>
          <w:rFonts w:cstheme="minorHAnsi"/>
          <w:sz w:val="24"/>
          <w:szCs w:val="24"/>
        </w:rPr>
        <w:t xml:space="preserve"> </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 xml:space="preserve">Wspólne przygotowanie studiów wykonalności, ocen oddziaływania na środowisko i technicznej dokumentacji </w:t>
      </w:r>
      <w:r w:rsidR="001265EF" w:rsidRPr="001268E7">
        <w:rPr>
          <w:rFonts w:cs="Calibri"/>
          <w:sz w:val="24"/>
          <w:szCs w:val="24"/>
          <w:lang w:eastAsia="pl-PL"/>
        </w:rPr>
        <w:t xml:space="preserve">dla </w:t>
      </w:r>
      <w:r w:rsidRPr="001268E7">
        <w:rPr>
          <w:rFonts w:cs="Calibri"/>
          <w:sz w:val="24"/>
          <w:szCs w:val="24"/>
          <w:lang w:eastAsia="pl-PL"/>
        </w:rPr>
        <w:t>systemów transportowych;</w:t>
      </w:r>
      <w:r w:rsidRPr="001268E7">
        <w:rPr>
          <w:rFonts w:cstheme="minorHAnsi"/>
          <w:sz w:val="24"/>
          <w:szCs w:val="24"/>
        </w:rPr>
        <w:t xml:space="preserve"> </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inicjatywy promocji zrównoważonego transportu pasażerskiego i ładunków;</w:t>
      </w:r>
      <w:r w:rsidRPr="001268E7">
        <w:rPr>
          <w:rFonts w:cstheme="minorHAnsi"/>
          <w:sz w:val="24"/>
          <w:szCs w:val="24"/>
        </w:rPr>
        <w:t xml:space="preserve"> </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projekty mające na celu poprawę mobilności osób i dóbr;</w:t>
      </w:r>
      <w:r w:rsidRPr="001268E7">
        <w:rPr>
          <w:rFonts w:cstheme="minorHAnsi"/>
          <w:sz w:val="24"/>
          <w:szCs w:val="24"/>
        </w:rPr>
        <w:t xml:space="preserve"> </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Rozwój i poprawa przyjaznych dla środowiska niskoemisyjnych systemów transportu (włączając zmniejszanie poziomu hałasu);</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inicjatywy rozwoju i poprawy jakości istniejącej infrastruktury ICT;</w:t>
      </w:r>
      <w:r w:rsidRPr="001268E7">
        <w:rPr>
          <w:rFonts w:cstheme="minorHAnsi"/>
          <w:sz w:val="24"/>
          <w:szCs w:val="24"/>
        </w:rPr>
        <w:t xml:space="preserve"> </w:t>
      </w:r>
    </w:p>
    <w:p w:rsidR="0054356D" w:rsidRPr="001268E7"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projekty przygotowania studiów wykonalności, ocen oddziaływania na środowisko i dokumentacji technicznej związanej z tworzeniem sieci szerokopasmowych;</w:t>
      </w:r>
      <w:r w:rsidRPr="001268E7">
        <w:rPr>
          <w:rFonts w:cstheme="minorHAnsi"/>
          <w:sz w:val="24"/>
          <w:szCs w:val="24"/>
        </w:rPr>
        <w:t xml:space="preserve"> </w:t>
      </w:r>
    </w:p>
    <w:p w:rsidR="0054356D" w:rsidRDefault="0054356D" w:rsidP="00C62170">
      <w:pPr>
        <w:pStyle w:val="Akapitzlist"/>
        <w:numPr>
          <w:ilvl w:val="0"/>
          <w:numId w:val="29"/>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tworzenie sieci szerokopasmowych.</w:t>
      </w:r>
      <w:r w:rsidRPr="001268E7">
        <w:rPr>
          <w:rFonts w:cstheme="minorHAnsi"/>
          <w:sz w:val="24"/>
          <w:szCs w:val="24"/>
        </w:rPr>
        <w:t xml:space="preserve"> </w:t>
      </w:r>
    </w:p>
    <w:p w:rsidR="007B7A12" w:rsidRPr="007B7A12" w:rsidRDefault="007B7A12" w:rsidP="007B7A12">
      <w:pPr>
        <w:pStyle w:val="Nagwek2"/>
      </w:pPr>
      <w:bookmarkStart w:id="13" w:name="_Toc530737565"/>
      <w:r>
        <w:t>GRANICE</w:t>
      </w:r>
      <w:bookmarkEnd w:id="13"/>
    </w:p>
    <w:p w:rsidR="003B42AD" w:rsidRPr="007B7A12" w:rsidRDefault="0054356D" w:rsidP="0054356D">
      <w:pPr>
        <w:autoSpaceDE w:val="0"/>
        <w:autoSpaceDN w:val="0"/>
        <w:adjustRightInd w:val="0"/>
        <w:spacing w:after="0" w:line="240" w:lineRule="auto"/>
        <w:jc w:val="both"/>
        <w:rPr>
          <w:rStyle w:val="Wyrnieniedelikatne"/>
        </w:rPr>
      </w:pPr>
      <w:r w:rsidRPr="007B7A12">
        <w:rPr>
          <w:rStyle w:val="Wyrnieniedelikatne"/>
        </w:rPr>
        <w:t xml:space="preserve">CT 10 </w:t>
      </w:r>
      <w:r w:rsidR="001265EF" w:rsidRPr="007B7A12">
        <w:rPr>
          <w:rStyle w:val="Wyrnieniedelikatne"/>
        </w:rPr>
        <w:t>- Wspieranie</w:t>
      </w:r>
      <w:r w:rsidRPr="007B7A12">
        <w:rPr>
          <w:rStyle w:val="Wyrnieniedelikatne"/>
        </w:rPr>
        <w:t xml:space="preserve"> zarządzania granicami oraz bezpieczeństwem na granicach, zarządzanie mobilnością i migracjami</w:t>
      </w:r>
    </w:p>
    <w:p w:rsidR="003B42AD" w:rsidRPr="001268E7" w:rsidRDefault="003B42AD" w:rsidP="003B42AD">
      <w:pPr>
        <w:autoSpaceDE w:val="0"/>
        <w:autoSpaceDN w:val="0"/>
        <w:adjustRightInd w:val="0"/>
        <w:spacing w:after="0" w:line="240" w:lineRule="auto"/>
        <w:ind w:left="60"/>
        <w:jc w:val="both"/>
        <w:rPr>
          <w:rFonts w:cstheme="minorHAnsi"/>
          <w:b/>
          <w:sz w:val="24"/>
          <w:szCs w:val="24"/>
        </w:rPr>
      </w:pPr>
    </w:p>
    <w:p w:rsidR="003B42AD" w:rsidRPr="001268E7" w:rsidRDefault="0054356D" w:rsidP="007B7A12">
      <w:pPr>
        <w:autoSpaceDE w:val="0"/>
        <w:autoSpaceDN w:val="0"/>
        <w:adjustRightInd w:val="0"/>
        <w:spacing w:after="0" w:line="240" w:lineRule="auto"/>
        <w:ind w:left="60"/>
        <w:jc w:val="both"/>
        <w:rPr>
          <w:rFonts w:cstheme="minorHAnsi"/>
          <w:sz w:val="24"/>
          <w:szCs w:val="24"/>
        </w:rPr>
      </w:pPr>
      <w:r w:rsidRPr="001268E7">
        <w:rPr>
          <w:rFonts w:cs="Calibri"/>
          <w:sz w:val="24"/>
          <w:szCs w:val="24"/>
          <w:lang w:eastAsia="pl-PL"/>
        </w:rPr>
        <w:t>Realizacja tego celu powinna służyć polepszeniu efektywności infrastruktury i procedur granicznych, jak również poprawie bezpieczeństwa granic.</w:t>
      </w:r>
      <w:r w:rsidR="003B42AD" w:rsidRPr="001268E7">
        <w:rPr>
          <w:rFonts w:cstheme="minorHAnsi"/>
          <w:sz w:val="24"/>
          <w:szCs w:val="24"/>
        </w:rPr>
        <w:t xml:space="preserve"> </w:t>
      </w:r>
      <w:r w:rsidRPr="001268E7">
        <w:rPr>
          <w:rFonts w:cs="Calibri"/>
          <w:sz w:val="24"/>
          <w:szCs w:val="24"/>
          <w:lang w:eastAsia="pl-PL"/>
        </w:rPr>
        <w:t>Zwiększona przepustowość na przejściach granicznych, a także poprawa stanu ich bezpieczeństwa jest warunkiem do osiągnięcia pozostałych celów Programu.</w:t>
      </w:r>
      <w:r w:rsidR="003B42AD" w:rsidRPr="001268E7">
        <w:rPr>
          <w:rFonts w:cstheme="minorHAnsi"/>
          <w:sz w:val="24"/>
          <w:szCs w:val="24"/>
        </w:rPr>
        <w:t xml:space="preserve"> </w:t>
      </w:r>
      <w:r w:rsidRPr="001268E7">
        <w:rPr>
          <w:rFonts w:cs="Calibri"/>
          <w:sz w:val="24"/>
          <w:szCs w:val="24"/>
          <w:lang w:eastAsia="pl-PL"/>
        </w:rPr>
        <w:t>Usunięcie przeszkód administracyjnych, instytucjonalnych i infrastrukturalnych w przepływie towarów, usług i osób przez granice jest warunkiem pełnego wykorzystania i poszerzenia potencjału obszaru Programu.</w:t>
      </w:r>
      <w:r w:rsidR="003B42AD" w:rsidRPr="001268E7">
        <w:rPr>
          <w:rFonts w:cstheme="minorHAnsi"/>
          <w:sz w:val="24"/>
          <w:szCs w:val="24"/>
        </w:rPr>
        <w:t xml:space="preserve"> </w:t>
      </w:r>
      <w:r w:rsidRPr="001268E7">
        <w:rPr>
          <w:rFonts w:cs="Calibri"/>
          <w:sz w:val="24"/>
          <w:szCs w:val="24"/>
          <w:lang w:eastAsia="pl-PL"/>
        </w:rPr>
        <w:t>W ramach CT</w:t>
      </w:r>
      <w:r w:rsidR="006C595F" w:rsidRPr="001268E7">
        <w:rPr>
          <w:rFonts w:cs="Calibri"/>
          <w:sz w:val="24"/>
          <w:szCs w:val="24"/>
          <w:lang w:eastAsia="pl-PL"/>
        </w:rPr>
        <w:t xml:space="preserve"> </w:t>
      </w:r>
      <w:r w:rsidRPr="001268E7">
        <w:rPr>
          <w:rFonts w:cs="Calibri"/>
          <w:sz w:val="24"/>
          <w:szCs w:val="24"/>
          <w:lang w:eastAsia="pl-PL"/>
        </w:rPr>
        <w:t>10 będą wspierane działania dążące do przejrzystości i efektywności procedur celnych i odprawy granicznej.</w:t>
      </w:r>
      <w:r w:rsidR="003B42AD" w:rsidRPr="001268E7">
        <w:rPr>
          <w:rFonts w:cstheme="minorHAnsi"/>
          <w:sz w:val="24"/>
          <w:szCs w:val="24"/>
        </w:rPr>
        <w:t xml:space="preserve"> </w:t>
      </w:r>
      <w:r w:rsidR="006D3A34" w:rsidRPr="001268E7">
        <w:rPr>
          <w:rFonts w:cs="Calibri"/>
          <w:sz w:val="24"/>
          <w:szCs w:val="24"/>
          <w:lang w:eastAsia="pl-PL"/>
        </w:rPr>
        <w:t>Celem tych działań będzie</w:t>
      </w:r>
      <w:r w:rsidRPr="001268E7">
        <w:rPr>
          <w:rFonts w:cs="Calibri"/>
          <w:sz w:val="24"/>
          <w:szCs w:val="24"/>
          <w:lang w:eastAsia="pl-PL"/>
        </w:rPr>
        <w:t xml:space="preserve"> przyspieszenie procedur a ich spodziewanym efektem – szybsze i bezpieczniejsze przekraczanie przejść granicznych.</w:t>
      </w:r>
    </w:p>
    <w:p w:rsidR="003B42AD" w:rsidRPr="001268E7" w:rsidRDefault="0054356D" w:rsidP="007B7A12">
      <w:pPr>
        <w:autoSpaceDE w:val="0"/>
        <w:autoSpaceDN w:val="0"/>
        <w:adjustRightInd w:val="0"/>
        <w:spacing w:after="0" w:line="240" w:lineRule="auto"/>
        <w:jc w:val="both"/>
        <w:rPr>
          <w:rFonts w:cstheme="minorHAnsi"/>
          <w:sz w:val="24"/>
          <w:szCs w:val="24"/>
        </w:rPr>
      </w:pPr>
      <w:r w:rsidRPr="001268E7">
        <w:rPr>
          <w:rFonts w:cstheme="minorHAnsi"/>
          <w:sz w:val="24"/>
          <w:szCs w:val="24"/>
        </w:rPr>
        <w:t>W ramach CT</w:t>
      </w:r>
      <w:r w:rsidR="006C595F" w:rsidRPr="001268E7">
        <w:rPr>
          <w:rFonts w:cstheme="minorHAnsi"/>
          <w:sz w:val="24"/>
          <w:szCs w:val="24"/>
        </w:rPr>
        <w:t xml:space="preserve"> </w:t>
      </w:r>
      <w:r w:rsidRPr="001268E7">
        <w:rPr>
          <w:rFonts w:cstheme="minorHAnsi"/>
          <w:sz w:val="24"/>
          <w:szCs w:val="24"/>
        </w:rPr>
        <w:t>10 możliwe jest również współfinansowanie projektów dotyczących modernizacji infrastruktury przejść granicznych.</w:t>
      </w:r>
      <w:r w:rsidR="003B42AD" w:rsidRPr="001268E7">
        <w:rPr>
          <w:rFonts w:cstheme="minorHAnsi"/>
          <w:sz w:val="24"/>
          <w:szCs w:val="24"/>
        </w:rPr>
        <w:t xml:space="preserve"> </w:t>
      </w:r>
      <w:r w:rsidRPr="001268E7">
        <w:rPr>
          <w:rFonts w:cs="Calibri"/>
          <w:sz w:val="24"/>
          <w:szCs w:val="24"/>
          <w:lang w:eastAsia="pl-PL"/>
        </w:rPr>
        <w:t xml:space="preserve">Działania </w:t>
      </w:r>
      <w:r w:rsidR="006D3A34" w:rsidRPr="001268E7">
        <w:rPr>
          <w:rFonts w:cs="Calibri"/>
          <w:sz w:val="24"/>
          <w:szCs w:val="24"/>
          <w:lang w:eastAsia="pl-PL"/>
        </w:rPr>
        <w:t>mające na celu zwiększenie bezpieczeństwa na granicach, w tym zapobieganie i zwalczanie</w:t>
      </w:r>
      <w:r w:rsidRPr="001268E7">
        <w:rPr>
          <w:rFonts w:cs="Calibri"/>
          <w:sz w:val="24"/>
          <w:szCs w:val="24"/>
          <w:lang w:eastAsia="pl-PL"/>
        </w:rPr>
        <w:t xml:space="preserve"> nieleg</w:t>
      </w:r>
      <w:r w:rsidR="006D3A34" w:rsidRPr="001268E7">
        <w:rPr>
          <w:rFonts w:cs="Calibri"/>
          <w:sz w:val="24"/>
          <w:szCs w:val="24"/>
          <w:lang w:eastAsia="pl-PL"/>
        </w:rPr>
        <w:t>alnej migracji i przemytu, walka</w:t>
      </w:r>
      <w:r w:rsidRPr="001268E7">
        <w:rPr>
          <w:rFonts w:cs="Calibri"/>
          <w:sz w:val="24"/>
          <w:szCs w:val="24"/>
          <w:lang w:eastAsia="pl-PL"/>
        </w:rPr>
        <w:t xml:space="preserve"> z przestępczością zorganizowaną, zapobieganie rozprzestrzenianiu się chorób ludzi, zwierząt i roślin przez granice, a także przeciwdziałanie i eliminacja nielegalnego handlu rzadkimi i zagrożonymi gatunkami</w:t>
      </w:r>
      <w:r w:rsidR="007B7A12">
        <w:rPr>
          <w:rFonts w:cs="Calibri"/>
          <w:sz w:val="24"/>
          <w:szCs w:val="24"/>
          <w:lang w:eastAsia="pl-PL"/>
        </w:rPr>
        <w:t>.</w:t>
      </w:r>
    </w:p>
    <w:p w:rsidR="003B42AD" w:rsidRPr="001268E7" w:rsidRDefault="003B42AD" w:rsidP="003B42AD">
      <w:pPr>
        <w:autoSpaceDE w:val="0"/>
        <w:autoSpaceDN w:val="0"/>
        <w:adjustRightInd w:val="0"/>
        <w:spacing w:after="0" w:line="240" w:lineRule="auto"/>
        <w:ind w:left="60"/>
        <w:jc w:val="both"/>
        <w:rPr>
          <w:rFonts w:cstheme="minorHAnsi"/>
          <w:b/>
          <w:sz w:val="24"/>
          <w:szCs w:val="24"/>
        </w:rPr>
      </w:pPr>
    </w:p>
    <w:p w:rsidR="003B42AD" w:rsidRPr="001268E7" w:rsidRDefault="0054356D" w:rsidP="0054356D">
      <w:pPr>
        <w:autoSpaceDE w:val="0"/>
        <w:autoSpaceDN w:val="0"/>
        <w:adjustRightInd w:val="0"/>
        <w:spacing w:after="0" w:line="240" w:lineRule="auto"/>
        <w:ind w:left="60"/>
        <w:jc w:val="both"/>
        <w:rPr>
          <w:rFonts w:cstheme="minorHAnsi"/>
          <w:sz w:val="24"/>
          <w:szCs w:val="24"/>
        </w:rPr>
      </w:pPr>
      <w:r w:rsidRPr="001268E7">
        <w:rPr>
          <w:rFonts w:cstheme="minorHAnsi"/>
          <w:b/>
          <w:sz w:val="24"/>
          <w:szCs w:val="24"/>
        </w:rPr>
        <w:t xml:space="preserve">Priorytet 4. </w:t>
      </w:r>
      <w:r w:rsidRPr="001268E7">
        <w:rPr>
          <w:rFonts w:cstheme="minorHAnsi"/>
          <w:sz w:val="24"/>
          <w:szCs w:val="24"/>
        </w:rPr>
        <w:t>Wspólne działania na rzecz efektywności i bezpieczeństwa na granicach</w:t>
      </w:r>
      <w:r w:rsidR="003B42AD" w:rsidRPr="001268E7">
        <w:rPr>
          <w:rFonts w:cstheme="minorHAnsi"/>
          <w:sz w:val="24"/>
          <w:szCs w:val="24"/>
        </w:rPr>
        <w:t xml:space="preserve"> </w:t>
      </w:r>
    </w:p>
    <w:p w:rsidR="003B42AD" w:rsidRPr="001268E7" w:rsidRDefault="0054356D" w:rsidP="0054356D">
      <w:pPr>
        <w:spacing w:before="100" w:beforeAutospacing="1" w:after="100" w:afterAutospacing="1" w:line="240" w:lineRule="auto"/>
        <w:jc w:val="both"/>
        <w:rPr>
          <w:rFonts w:cstheme="minorHAnsi"/>
          <w:sz w:val="24"/>
          <w:szCs w:val="24"/>
        </w:rPr>
      </w:pPr>
      <w:r w:rsidRPr="001268E7">
        <w:rPr>
          <w:rFonts w:cstheme="minorHAnsi"/>
          <w:sz w:val="24"/>
          <w:szCs w:val="24"/>
        </w:rPr>
        <w:t>Proponowane indykatywne przedsięwzięcia w ramach priorytetu:</w:t>
      </w:r>
    </w:p>
    <w:p w:rsidR="0054356D" w:rsidRPr="001268E7" w:rsidRDefault="0054356D" w:rsidP="00C62170">
      <w:pPr>
        <w:pStyle w:val="Akapitzlist"/>
        <w:numPr>
          <w:ilvl w:val="0"/>
          <w:numId w:val="30"/>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inicjatywy w zakresie poprawy infrastruktury przejść granicznych;</w:t>
      </w:r>
    </w:p>
    <w:p w:rsidR="0054356D" w:rsidRPr="001268E7" w:rsidRDefault="0054356D" w:rsidP="00C62170">
      <w:pPr>
        <w:pStyle w:val="Akapitzlist"/>
        <w:numPr>
          <w:ilvl w:val="0"/>
          <w:numId w:val="30"/>
        </w:numPr>
        <w:spacing w:before="100" w:beforeAutospacing="1" w:after="100" w:afterAutospacing="1" w:line="240" w:lineRule="auto"/>
        <w:jc w:val="both"/>
        <w:rPr>
          <w:rFonts w:cstheme="minorHAnsi"/>
          <w:sz w:val="24"/>
          <w:szCs w:val="24"/>
        </w:rPr>
      </w:pPr>
      <w:r w:rsidRPr="001268E7">
        <w:rPr>
          <w:rFonts w:cs="Calibri"/>
          <w:sz w:val="24"/>
          <w:szCs w:val="24"/>
          <w:lang w:eastAsia="pl-PL"/>
        </w:rPr>
        <w:lastRenderedPageBreak/>
        <w:t>Wspólne inicjatywy służące adaptacji i rozbudowie istniejących przejść granicznych dla ruchu pieszego i rowerowego;</w:t>
      </w:r>
      <w:r w:rsidRPr="001268E7">
        <w:rPr>
          <w:rFonts w:cstheme="minorHAnsi"/>
          <w:sz w:val="24"/>
          <w:szCs w:val="24"/>
        </w:rPr>
        <w:t xml:space="preserve"> </w:t>
      </w:r>
    </w:p>
    <w:p w:rsidR="0054356D" w:rsidRPr="001268E7" w:rsidRDefault="0054356D" w:rsidP="00C62170">
      <w:pPr>
        <w:pStyle w:val="Akapitzlist"/>
        <w:numPr>
          <w:ilvl w:val="0"/>
          <w:numId w:val="30"/>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tworzenie spójnego systemu znaków i identyfikacji wizualnej przejść granicznych;</w:t>
      </w:r>
    </w:p>
    <w:p w:rsidR="0054356D" w:rsidRPr="001268E7" w:rsidRDefault="0054356D" w:rsidP="00C62170">
      <w:pPr>
        <w:pStyle w:val="Akapitzlist"/>
        <w:numPr>
          <w:ilvl w:val="0"/>
          <w:numId w:val="30"/>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Wspólne projekty dotyczące wyposażenia istniejących prz</w:t>
      </w:r>
      <w:r w:rsidR="00EF37C1" w:rsidRPr="001268E7">
        <w:rPr>
          <w:rFonts w:cs="Calibri"/>
          <w:sz w:val="24"/>
          <w:szCs w:val="24"/>
          <w:lang w:eastAsia="pl-PL"/>
        </w:rPr>
        <w:t>ejść granicznych umożliwiającego</w:t>
      </w:r>
      <w:r w:rsidRPr="001268E7">
        <w:rPr>
          <w:rFonts w:cs="Calibri"/>
          <w:sz w:val="24"/>
          <w:szCs w:val="24"/>
          <w:lang w:eastAsia="pl-PL"/>
        </w:rPr>
        <w:t xml:space="preserve"> usprawnienie ich funkcjonowania;</w:t>
      </w:r>
    </w:p>
    <w:p w:rsidR="0054356D" w:rsidRPr="001268E7" w:rsidRDefault="0054356D" w:rsidP="00C62170">
      <w:pPr>
        <w:pStyle w:val="Akapitzlist"/>
        <w:numPr>
          <w:ilvl w:val="0"/>
          <w:numId w:val="30"/>
        </w:numPr>
        <w:spacing w:before="100" w:beforeAutospacing="1" w:after="100" w:afterAutospacing="1" w:line="240" w:lineRule="auto"/>
        <w:jc w:val="both"/>
        <w:rPr>
          <w:rFonts w:cstheme="minorHAnsi"/>
          <w:sz w:val="24"/>
          <w:szCs w:val="24"/>
        </w:rPr>
      </w:pPr>
      <w:r w:rsidRPr="001268E7">
        <w:rPr>
          <w:rFonts w:cs="Calibri"/>
          <w:sz w:val="24"/>
          <w:szCs w:val="24"/>
          <w:lang w:eastAsia="pl-PL"/>
        </w:rPr>
        <w:t>Wspólny rozwój i modernizacja infrastruktury wspierającej przejścia graniczne;</w:t>
      </w:r>
    </w:p>
    <w:p w:rsidR="0054356D" w:rsidRPr="001268E7" w:rsidRDefault="0054356D" w:rsidP="00C62170">
      <w:pPr>
        <w:pStyle w:val="Akapitzlist"/>
        <w:numPr>
          <w:ilvl w:val="0"/>
          <w:numId w:val="30"/>
        </w:numPr>
        <w:spacing w:before="100" w:beforeAutospacing="1" w:after="100" w:afterAutospacing="1" w:line="240" w:lineRule="auto"/>
        <w:jc w:val="both"/>
        <w:rPr>
          <w:rFonts w:cstheme="minorHAnsi"/>
          <w:sz w:val="24"/>
          <w:szCs w:val="24"/>
        </w:rPr>
      </w:pPr>
      <w:r w:rsidRPr="001268E7">
        <w:rPr>
          <w:rFonts w:cs="Calibri"/>
          <w:sz w:val="24"/>
          <w:szCs w:val="24"/>
          <w:lang w:eastAsia="pl-PL"/>
        </w:rPr>
        <w:t xml:space="preserve">Wspólne inicjatywy dla ułatwienia procedur przekraczania granicy oraz szkolenia personelu służb </w:t>
      </w:r>
      <w:r w:rsidR="00EF37C1" w:rsidRPr="001268E7">
        <w:rPr>
          <w:rFonts w:cs="Calibri"/>
          <w:sz w:val="24"/>
          <w:szCs w:val="24"/>
          <w:lang w:eastAsia="pl-PL"/>
        </w:rPr>
        <w:t xml:space="preserve">celnych i </w:t>
      </w:r>
      <w:r w:rsidRPr="001268E7">
        <w:rPr>
          <w:rFonts w:cs="Calibri"/>
          <w:sz w:val="24"/>
          <w:szCs w:val="24"/>
          <w:lang w:eastAsia="pl-PL"/>
        </w:rPr>
        <w:t>granicznyc</w:t>
      </w:r>
      <w:r w:rsidR="00EF37C1" w:rsidRPr="001268E7">
        <w:rPr>
          <w:rFonts w:cs="Calibri"/>
          <w:sz w:val="24"/>
          <w:szCs w:val="24"/>
          <w:lang w:eastAsia="pl-PL"/>
        </w:rPr>
        <w:t>h</w:t>
      </w:r>
      <w:r w:rsidRPr="001268E7">
        <w:rPr>
          <w:rFonts w:cs="Calibri"/>
          <w:sz w:val="24"/>
          <w:szCs w:val="24"/>
          <w:lang w:eastAsia="pl-PL"/>
        </w:rPr>
        <w:t>;</w:t>
      </w:r>
    </w:p>
    <w:p w:rsidR="003B42AD" w:rsidRPr="001268E7" w:rsidRDefault="0054356D" w:rsidP="007B7A12">
      <w:pPr>
        <w:pStyle w:val="Akapitzlist"/>
        <w:spacing w:before="100" w:beforeAutospacing="1" w:after="100" w:afterAutospacing="1" w:line="240" w:lineRule="auto"/>
        <w:jc w:val="both"/>
      </w:pPr>
      <w:r w:rsidRPr="001268E7">
        <w:rPr>
          <w:rFonts w:cs="Calibri"/>
          <w:sz w:val="24"/>
          <w:szCs w:val="24"/>
          <w:lang w:eastAsia="pl-PL"/>
        </w:rPr>
        <w:t>Wspólne inicjatywy w celu wsparcia zarządzania granicami w zakresie zapobiegania i zwalczania nielegalnej migracji i handlu oraz walki z przestępczością zorganizowaną</w:t>
      </w:r>
      <w:r w:rsidR="00CD2031">
        <w:rPr>
          <w:rFonts w:cs="Calibri"/>
          <w:sz w:val="24"/>
          <w:szCs w:val="24"/>
          <w:lang w:eastAsia="pl-PL"/>
        </w:rPr>
        <w:t xml:space="preserve"> oraz poważnymi zdarzeniami natury kryminalnej</w:t>
      </w:r>
      <w:r w:rsidRPr="001268E7">
        <w:rPr>
          <w:rFonts w:cs="Calibri"/>
          <w:sz w:val="24"/>
          <w:szCs w:val="24"/>
          <w:lang w:eastAsia="pl-PL"/>
        </w:rPr>
        <w:t>.</w:t>
      </w:r>
    </w:p>
    <w:p w:rsidR="003B42AD" w:rsidRPr="007B7A12" w:rsidRDefault="00EF37C1" w:rsidP="007B7A12">
      <w:pPr>
        <w:pStyle w:val="Nagwek2"/>
      </w:pPr>
      <w:bookmarkStart w:id="14" w:name="_Toc530737566"/>
      <w:r w:rsidRPr="007B7A12">
        <w:t xml:space="preserve">2.2 </w:t>
      </w:r>
      <w:r w:rsidR="00585D1A" w:rsidRPr="007B7A12">
        <w:t>Uzasadnienie s</w:t>
      </w:r>
      <w:r w:rsidR="0054356D" w:rsidRPr="007B7A12">
        <w:t>trategii Programu</w:t>
      </w:r>
      <w:bookmarkEnd w:id="14"/>
    </w:p>
    <w:p w:rsidR="003B42AD" w:rsidRPr="007B7A12" w:rsidRDefault="00EF37C1" w:rsidP="007B7A12">
      <w:pPr>
        <w:pStyle w:val="Nagwek3"/>
      </w:pPr>
      <w:bookmarkStart w:id="15" w:name="_Toc422145353"/>
      <w:bookmarkStart w:id="16" w:name="_Toc530737567"/>
      <w:r w:rsidRPr="007B7A12">
        <w:t xml:space="preserve">2.2.1 </w:t>
      </w:r>
      <w:r w:rsidR="0054356D" w:rsidRPr="007B7A12">
        <w:t>Analiza społeczno-gospodarcza i środowiskowa</w:t>
      </w:r>
      <w:r w:rsidR="003B42AD" w:rsidRPr="007B7A12">
        <w:rPr>
          <w:rStyle w:val="Odwoanieprzypisudolnego"/>
          <w:vertAlign w:val="baseline"/>
        </w:rPr>
        <w:footnoteReference w:id="1"/>
      </w:r>
      <w:bookmarkEnd w:id="15"/>
      <w:bookmarkEnd w:id="16"/>
    </w:p>
    <w:p w:rsidR="003B42AD" w:rsidRPr="001268E7" w:rsidRDefault="0054356D" w:rsidP="0054356D">
      <w:pPr>
        <w:rPr>
          <w:rStyle w:val="Wyrnieniedelikatne"/>
        </w:rPr>
      </w:pPr>
      <w:r w:rsidRPr="001268E7">
        <w:rPr>
          <w:rStyle w:val="Wyrnieniedelikatne"/>
        </w:rPr>
        <w:t>Informacje ogólne i sytuacja demograficzna</w:t>
      </w:r>
    </w:p>
    <w:p w:rsidR="003B42AD" w:rsidRPr="001268E7" w:rsidRDefault="0054356D" w:rsidP="0054356D">
      <w:pPr>
        <w:spacing w:before="100" w:beforeAutospacing="1" w:after="100" w:afterAutospacing="1" w:line="240" w:lineRule="auto"/>
        <w:jc w:val="both"/>
        <w:rPr>
          <w:rFonts w:cstheme="minorHAnsi"/>
          <w:sz w:val="24"/>
          <w:szCs w:val="24"/>
        </w:rPr>
      </w:pPr>
      <w:r w:rsidRPr="001268E7">
        <w:rPr>
          <w:rFonts w:cstheme="minorHAnsi"/>
          <w:sz w:val="24"/>
          <w:szCs w:val="24"/>
        </w:rPr>
        <w:t>Całkowity obszar Programu Współpracy Transgranicznej Polska-Rosja 2014-2020 obejmuje 68 952 km</w:t>
      </w:r>
      <w:r w:rsidRPr="001268E7">
        <w:rPr>
          <w:rFonts w:cstheme="minorHAnsi"/>
          <w:sz w:val="24"/>
          <w:szCs w:val="24"/>
          <w:vertAlign w:val="superscript"/>
        </w:rPr>
        <w:t>2</w:t>
      </w:r>
      <w:r w:rsidRPr="001268E7">
        <w:rPr>
          <w:rFonts w:cstheme="minorHAnsi"/>
          <w:sz w:val="24"/>
          <w:szCs w:val="24"/>
        </w:rPr>
        <w:t>, tj.</w:t>
      </w:r>
      <w:r w:rsidR="00EF37C1" w:rsidRPr="001268E7">
        <w:rPr>
          <w:rFonts w:cstheme="minorHAnsi"/>
          <w:sz w:val="24"/>
          <w:szCs w:val="24"/>
        </w:rPr>
        <w:t>:</w:t>
      </w:r>
    </w:p>
    <w:p w:rsidR="0054356D" w:rsidRPr="001268E7" w:rsidRDefault="0054356D" w:rsidP="00C62170">
      <w:pPr>
        <w:pStyle w:val="Akapitzlist"/>
        <w:numPr>
          <w:ilvl w:val="0"/>
          <w:numId w:val="31"/>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 stronie polskiej 53 852 km</w:t>
      </w:r>
      <w:r w:rsidRPr="001268E7">
        <w:rPr>
          <w:rFonts w:cstheme="minorHAnsi"/>
          <w:sz w:val="24"/>
          <w:szCs w:val="24"/>
          <w:vertAlign w:val="superscript"/>
        </w:rPr>
        <w:t>2</w:t>
      </w:r>
      <w:r w:rsidRPr="001268E7">
        <w:rPr>
          <w:rFonts w:cstheme="minorHAnsi"/>
          <w:sz w:val="24"/>
          <w:szCs w:val="24"/>
        </w:rPr>
        <w:t xml:space="preserve"> (w tym 13 316 km</w:t>
      </w:r>
      <w:r w:rsidRPr="001268E7">
        <w:rPr>
          <w:rFonts w:cstheme="minorHAnsi"/>
          <w:sz w:val="24"/>
          <w:szCs w:val="24"/>
          <w:vertAlign w:val="superscript"/>
        </w:rPr>
        <w:t>2</w:t>
      </w:r>
      <w:r w:rsidRPr="001268E7">
        <w:rPr>
          <w:rFonts w:cstheme="minorHAnsi"/>
          <w:sz w:val="24"/>
          <w:szCs w:val="24"/>
        </w:rPr>
        <w:t xml:space="preserve"> przyległych regionów) oraz </w:t>
      </w:r>
    </w:p>
    <w:p w:rsidR="0054356D" w:rsidRPr="001268E7" w:rsidRDefault="0054356D" w:rsidP="00C62170">
      <w:pPr>
        <w:pStyle w:val="Akapitzlist"/>
        <w:numPr>
          <w:ilvl w:val="0"/>
          <w:numId w:val="31"/>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po stronie rosyjskiej 15 100 km</w:t>
      </w:r>
      <w:r w:rsidRPr="001268E7">
        <w:rPr>
          <w:rFonts w:cstheme="minorHAnsi"/>
          <w:sz w:val="24"/>
          <w:szCs w:val="24"/>
          <w:vertAlign w:val="superscript"/>
        </w:rPr>
        <w:t>2</w:t>
      </w:r>
      <w:r w:rsidRPr="001268E7">
        <w:rPr>
          <w:rFonts w:cstheme="minorHAnsi"/>
          <w:sz w:val="24"/>
          <w:szCs w:val="24"/>
        </w:rPr>
        <w:t>.</w:t>
      </w:r>
    </w:p>
    <w:p w:rsidR="00B71030" w:rsidRPr="001268E7" w:rsidRDefault="0054356D" w:rsidP="0054356D">
      <w:pPr>
        <w:spacing w:before="100" w:beforeAutospacing="1" w:after="100" w:afterAutospacing="1" w:line="240" w:lineRule="auto"/>
        <w:jc w:val="both"/>
        <w:rPr>
          <w:rFonts w:cstheme="minorHAnsi"/>
          <w:sz w:val="24"/>
          <w:szCs w:val="24"/>
        </w:rPr>
      </w:pPr>
      <w:r w:rsidRPr="001268E7">
        <w:rPr>
          <w:rFonts w:cstheme="minorHAnsi"/>
          <w:sz w:val="24"/>
          <w:szCs w:val="24"/>
        </w:rPr>
        <w:t>Szczegółowe informacje dotyczące regionów Programu w zakresie ich powierzchni, populacji i liczby mieszkańców znajdują się w poniższej tabeli.</w:t>
      </w:r>
    </w:p>
    <w:tbl>
      <w:tblPr>
        <w:tblW w:w="9224" w:type="dxa"/>
        <w:tblInd w:w="60" w:type="dxa"/>
        <w:tblCellMar>
          <w:left w:w="70" w:type="dxa"/>
          <w:right w:w="70" w:type="dxa"/>
        </w:tblCellMar>
        <w:tblLook w:val="04A0" w:firstRow="1" w:lastRow="0" w:firstColumn="1" w:lastColumn="0" w:noHBand="0" w:noVBand="1"/>
      </w:tblPr>
      <w:tblGrid>
        <w:gridCol w:w="2580"/>
        <w:gridCol w:w="1825"/>
        <w:gridCol w:w="1842"/>
        <w:gridCol w:w="1560"/>
        <w:gridCol w:w="1417"/>
      </w:tblGrid>
      <w:tr w:rsidR="00146233" w:rsidRPr="001268E7" w:rsidTr="0054356D">
        <w:trPr>
          <w:trHeight w:val="600"/>
        </w:trPr>
        <w:tc>
          <w:tcPr>
            <w:tcW w:w="2580"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146233" w:rsidRPr="001268E7" w:rsidRDefault="0054356D" w:rsidP="001D5BF3">
            <w:pPr>
              <w:spacing w:after="0" w:line="240" w:lineRule="auto"/>
              <w:jc w:val="center"/>
              <w:rPr>
                <w:rFonts w:eastAsia="Times New Roman"/>
                <w:color w:val="000000"/>
                <w:lang w:eastAsia="pl-PL"/>
              </w:rPr>
            </w:pPr>
            <w:r w:rsidRPr="001268E7">
              <w:rPr>
                <w:rFonts w:eastAsia="Times New Roman"/>
                <w:color w:val="000000"/>
                <w:lang w:eastAsia="pl-PL"/>
              </w:rPr>
              <w:t>Region</w:t>
            </w:r>
            <w:r w:rsidR="00146233" w:rsidRPr="001268E7">
              <w:rPr>
                <w:rFonts w:eastAsia="Times New Roman"/>
                <w:color w:val="000000"/>
                <w:lang w:eastAsia="pl-PL"/>
              </w:rPr>
              <w:t xml:space="preserve"> </w:t>
            </w:r>
          </w:p>
        </w:tc>
        <w:tc>
          <w:tcPr>
            <w:tcW w:w="1825" w:type="dxa"/>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46233" w:rsidRPr="001268E7" w:rsidRDefault="00EF37C1" w:rsidP="001D5BF3">
            <w:pPr>
              <w:spacing w:after="0" w:line="240" w:lineRule="auto"/>
              <w:jc w:val="center"/>
              <w:rPr>
                <w:rFonts w:eastAsia="Times New Roman"/>
                <w:color w:val="000000"/>
                <w:lang w:eastAsia="pl-PL"/>
              </w:rPr>
            </w:pPr>
            <w:r w:rsidRPr="001268E7">
              <w:rPr>
                <w:rFonts w:eastAsia="Times New Roman"/>
                <w:color w:val="000000"/>
                <w:lang w:eastAsia="pl-PL"/>
              </w:rPr>
              <w:t xml:space="preserve">Powierzchnia </w:t>
            </w:r>
            <w:r w:rsidR="0054356D" w:rsidRPr="001268E7">
              <w:rPr>
                <w:rFonts w:eastAsia="Times New Roman"/>
                <w:color w:val="000000"/>
                <w:lang w:eastAsia="pl-PL"/>
              </w:rPr>
              <w:t>(km</w:t>
            </w:r>
            <w:r w:rsidR="0054356D" w:rsidRPr="001268E7">
              <w:rPr>
                <w:rFonts w:cstheme="minorHAnsi"/>
                <w:sz w:val="24"/>
                <w:szCs w:val="24"/>
                <w:vertAlign w:val="superscript"/>
              </w:rPr>
              <w:t>2</w:t>
            </w:r>
            <w:r w:rsidR="0054356D" w:rsidRPr="001268E7">
              <w:rPr>
                <w:rFonts w:eastAsia="Times New Roman"/>
                <w:color w:val="000000"/>
                <w:lang w:eastAsia="pl-PL"/>
              </w:rPr>
              <w:t>)</w:t>
            </w:r>
            <w:r w:rsidR="00146233" w:rsidRPr="001268E7">
              <w:rPr>
                <w:rFonts w:eastAsia="Times New Roman"/>
                <w:color w:val="000000"/>
                <w:lang w:eastAsia="pl-PL"/>
              </w:rPr>
              <w:t xml:space="preserve"> </w:t>
            </w:r>
          </w:p>
        </w:tc>
        <w:tc>
          <w:tcPr>
            <w:tcW w:w="1842" w:type="dxa"/>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46233" w:rsidRPr="001268E7" w:rsidRDefault="0054356D" w:rsidP="001D5BF3">
            <w:pPr>
              <w:spacing w:after="0" w:line="240" w:lineRule="auto"/>
              <w:jc w:val="center"/>
              <w:rPr>
                <w:rFonts w:eastAsia="Times New Roman"/>
                <w:color w:val="000000"/>
                <w:lang w:eastAsia="pl-PL"/>
              </w:rPr>
            </w:pPr>
            <w:r w:rsidRPr="001268E7">
              <w:rPr>
                <w:rFonts w:eastAsia="Times New Roman"/>
                <w:color w:val="000000"/>
                <w:lang w:eastAsia="pl-PL"/>
              </w:rPr>
              <w:t>Populacja na km</w:t>
            </w:r>
            <w:r w:rsidRPr="001268E7">
              <w:rPr>
                <w:rFonts w:cstheme="minorHAnsi"/>
                <w:sz w:val="24"/>
                <w:szCs w:val="24"/>
                <w:vertAlign w:val="superscript"/>
              </w:rPr>
              <w:t>2</w:t>
            </w:r>
          </w:p>
        </w:tc>
        <w:tc>
          <w:tcPr>
            <w:tcW w:w="2977" w:type="dxa"/>
            <w:gridSpan w:val="2"/>
            <w:tcBorders>
              <w:top w:val="single" w:sz="8" w:space="0" w:color="auto"/>
              <w:left w:val="nil"/>
              <w:bottom w:val="single" w:sz="4" w:space="0" w:color="auto"/>
              <w:right w:val="single" w:sz="4" w:space="0" w:color="000000"/>
            </w:tcBorders>
            <w:shd w:val="clear" w:color="auto" w:fill="BFBFBF" w:themeFill="background1" w:themeFillShade="BF"/>
            <w:vAlign w:val="center"/>
            <w:hideMark/>
          </w:tcPr>
          <w:p w:rsidR="00146233" w:rsidRPr="001268E7" w:rsidRDefault="0054356D" w:rsidP="001D5BF3">
            <w:pPr>
              <w:spacing w:after="0" w:line="240" w:lineRule="auto"/>
              <w:jc w:val="center"/>
              <w:rPr>
                <w:rFonts w:eastAsia="Times New Roman"/>
                <w:color w:val="000000"/>
                <w:lang w:eastAsia="pl-PL"/>
              </w:rPr>
            </w:pPr>
            <w:r w:rsidRPr="001268E7">
              <w:rPr>
                <w:rFonts w:eastAsia="Times New Roman"/>
                <w:color w:val="000000"/>
                <w:lang w:eastAsia="pl-PL"/>
              </w:rPr>
              <w:t>Liczba mieszkańców</w:t>
            </w:r>
            <w:r w:rsidR="00146233" w:rsidRPr="001268E7">
              <w:rPr>
                <w:rFonts w:eastAsia="Times New Roman"/>
                <w:color w:val="000000"/>
                <w:lang w:eastAsia="pl-PL"/>
              </w:rPr>
              <w:t xml:space="preserve"> </w:t>
            </w:r>
          </w:p>
        </w:tc>
      </w:tr>
      <w:tr w:rsidR="00146233" w:rsidRPr="001268E7" w:rsidTr="0054356D">
        <w:trPr>
          <w:trHeight w:val="300"/>
        </w:trPr>
        <w:tc>
          <w:tcPr>
            <w:tcW w:w="2580" w:type="dxa"/>
            <w:vMerge/>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146233" w:rsidRPr="001268E7" w:rsidRDefault="00146233" w:rsidP="00146233">
            <w:pPr>
              <w:spacing w:after="0" w:line="240" w:lineRule="auto"/>
              <w:rPr>
                <w:rFonts w:eastAsia="Times New Roman"/>
                <w:color w:val="000000"/>
                <w:lang w:eastAsia="pl-PL"/>
              </w:rPr>
            </w:pPr>
          </w:p>
        </w:tc>
        <w:tc>
          <w:tcPr>
            <w:tcW w:w="1825" w:type="dxa"/>
            <w:vMerge/>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46233" w:rsidRPr="001268E7" w:rsidRDefault="00146233" w:rsidP="00146233">
            <w:pPr>
              <w:spacing w:after="0" w:line="240" w:lineRule="auto"/>
              <w:rPr>
                <w:rFonts w:eastAsia="Times New Roman"/>
                <w:color w:val="000000"/>
                <w:lang w:eastAsia="pl-PL"/>
              </w:rPr>
            </w:pPr>
          </w:p>
        </w:tc>
        <w:tc>
          <w:tcPr>
            <w:tcW w:w="1842" w:type="dxa"/>
            <w:vMerge/>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46233" w:rsidRPr="001268E7" w:rsidRDefault="00146233" w:rsidP="00146233">
            <w:pPr>
              <w:spacing w:after="0" w:line="240" w:lineRule="auto"/>
              <w:rPr>
                <w:rFonts w:eastAsia="Times New Roman"/>
                <w:color w:val="000000"/>
                <w:lang w:eastAsia="pl-PL"/>
              </w:rPr>
            </w:pPr>
          </w:p>
        </w:tc>
        <w:tc>
          <w:tcPr>
            <w:tcW w:w="1560" w:type="dxa"/>
            <w:tcBorders>
              <w:top w:val="nil"/>
              <w:left w:val="nil"/>
              <w:bottom w:val="single" w:sz="4" w:space="0" w:color="auto"/>
              <w:right w:val="single" w:sz="4" w:space="0" w:color="auto"/>
            </w:tcBorders>
            <w:shd w:val="clear" w:color="auto" w:fill="BFBFBF" w:themeFill="background1" w:themeFillShade="BF"/>
            <w:noWrap/>
            <w:vAlign w:val="center"/>
            <w:hideMark/>
          </w:tcPr>
          <w:p w:rsidR="00146233" w:rsidRPr="001268E7" w:rsidRDefault="00146233" w:rsidP="00146233">
            <w:pPr>
              <w:spacing w:after="0" w:line="240" w:lineRule="auto"/>
              <w:jc w:val="center"/>
              <w:rPr>
                <w:rFonts w:eastAsia="Times New Roman"/>
                <w:color w:val="000000"/>
                <w:lang w:eastAsia="pl-PL"/>
              </w:rPr>
            </w:pPr>
            <w:r w:rsidRPr="001268E7">
              <w:rPr>
                <w:rFonts w:eastAsia="Times New Roman"/>
                <w:color w:val="000000"/>
                <w:lang w:eastAsia="pl-PL"/>
              </w:rPr>
              <w:t>2009</w:t>
            </w:r>
          </w:p>
        </w:tc>
        <w:tc>
          <w:tcPr>
            <w:tcW w:w="1417" w:type="dxa"/>
            <w:tcBorders>
              <w:top w:val="nil"/>
              <w:left w:val="nil"/>
              <w:bottom w:val="single" w:sz="4" w:space="0" w:color="auto"/>
              <w:right w:val="single" w:sz="4" w:space="0" w:color="auto"/>
            </w:tcBorders>
            <w:shd w:val="clear" w:color="auto" w:fill="BFBFBF" w:themeFill="background1" w:themeFillShade="BF"/>
            <w:noWrap/>
            <w:vAlign w:val="center"/>
            <w:hideMark/>
          </w:tcPr>
          <w:p w:rsidR="00146233" w:rsidRPr="001268E7" w:rsidRDefault="00146233" w:rsidP="00146233">
            <w:pPr>
              <w:spacing w:after="0" w:line="240" w:lineRule="auto"/>
              <w:jc w:val="center"/>
              <w:rPr>
                <w:rFonts w:eastAsia="Times New Roman"/>
                <w:color w:val="000000"/>
                <w:lang w:eastAsia="pl-PL"/>
              </w:rPr>
            </w:pPr>
            <w:r w:rsidRPr="001268E7">
              <w:rPr>
                <w:rFonts w:eastAsia="Times New Roman"/>
                <w:color w:val="000000"/>
                <w:lang w:eastAsia="pl-PL"/>
              </w:rPr>
              <w:t>2013</w:t>
            </w:r>
          </w:p>
        </w:tc>
      </w:tr>
      <w:tr w:rsidR="00146233" w:rsidRPr="001268E7" w:rsidTr="0054356D">
        <w:trPr>
          <w:trHeight w:val="300"/>
        </w:trPr>
        <w:tc>
          <w:tcPr>
            <w:tcW w:w="9224" w:type="dxa"/>
            <w:gridSpan w:val="5"/>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146233" w:rsidRPr="001268E7" w:rsidRDefault="0054356D" w:rsidP="001D5BF3">
            <w:pPr>
              <w:spacing w:after="0" w:line="240" w:lineRule="auto"/>
              <w:jc w:val="center"/>
              <w:rPr>
                <w:rFonts w:eastAsia="Times New Roman"/>
                <w:color w:val="000000"/>
                <w:lang w:eastAsia="pl-PL"/>
              </w:rPr>
            </w:pPr>
            <w:r w:rsidRPr="001268E7">
              <w:rPr>
                <w:rFonts w:eastAsia="Times New Roman"/>
                <w:color w:val="000000"/>
                <w:lang w:eastAsia="pl-PL"/>
              </w:rPr>
              <w:t>główny obszar</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gdański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4 444</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125</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514 420</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554 144</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trójmiejski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414</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1 804</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742 910</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747 476</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starogardzki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337494" w:rsidP="00146233">
            <w:pPr>
              <w:spacing w:after="0" w:line="240" w:lineRule="auto"/>
              <w:jc w:val="right"/>
              <w:rPr>
                <w:rFonts w:eastAsia="Times New Roman"/>
                <w:color w:val="000000"/>
                <w:lang w:eastAsia="pl-PL"/>
              </w:rPr>
            </w:pPr>
            <w:r w:rsidRPr="001268E7">
              <w:rPr>
                <w:rFonts w:eastAsia="Times New Roman"/>
                <w:color w:val="000000"/>
                <w:lang w:eastAsia="pl-PL"/>
              </w:rPr>
              <w:t xml:space="preserve">5 </w:t>
            </w:r>
            <w:r w:rsidR="00146233" w:rsidRPr="001268E7">
              <w:rPr>
                <w:rFonts w:eastAsia="Times New Roman"/>
                <w:color w:val="000000"/>
                <w:lang w:eastAsia="pl-PL"/>
              </w:rPr>
              <w:t>268</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96</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492 321</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504 975</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elbląski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337494" w:rsidP="00146233">
            <w:pPr>
              <w:spacing w:after="0" w:line="240" w:lineRule="auto"/>
              <w:jc w:val="right"/>
              <w:rPr>
                <w:rFonts w:eastAsia="Times New Roman"/>
                <w:color w:val="000000"/>
                <w:lang w:eastAsia="pl-PL"/>
              </w:rPr>
            </w:pPr>
            <w:r w:rsidRPr="001268E7">
              <w:rPr>
                <w:rFonts w:eastAsia="Times New Roman"/>
                <w:color w:val="000000"/>
                <w:lang w:eastAsia="pl-PL"/>
              </w:rPr>
              <w:t xml:space="preserve">7 </w:t>
            </w:r>
            <w:r w:rsidR="00146233" w:rsidRPr="001268E7">
              <w:rPr>
                <w:rFonts w:eastAsia="Times New Roman"/>
                <w:color w:val="000000"/>
                <w:lang w:eastAsia="pl-PL"/>
              </w:rPr>
              <w:t>497</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71</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529 620</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534 510</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olsztyński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337494" w:rsidP="00146233">
            <w:pPr>
              <w:spacing w:after="0" w:line="240" w:lineRule="auto"/>
              <w:jc w:val="right"/>
              <w:rPr>
                <w:rFonts w:eastAsia="Times New Roman"/>
                <w:color w:val="000000"/>
                <w:lang w:eastAsia="pl-PL"/>
              </w:rPr>
            </w:pPr>
            <w:r w:rsidRPr="001268E7">
              <w:rPr>
                <w:rFonts w:eastAsia="Times New Roman"/>
                <w:color w:val="000000"/>
                <w:lang w:eastAsia="pl-PL"/>
              </w:rPr>
              <w:t xml:space="preserve">10 </w:t>
            </w:r>
            <w:r w:rsidR="00146233" w:rsidRPr="001268E7">
              <w:rPr>
                <w:rFonts w:eastAsia="Times New Roman"/>
                <w:color w:val="000000"/>
                <w:lang w:eastAsia="pl-PL"/>
              </w:rPr>
              <w:t>329</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60</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613 565</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621 453</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ełcki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337494" w:rsidP="00146233">
            <w:pPr>
              <w:spacing w:after="0" w:line="240" w:lineRule="auto"/>
              <w:jc w:val="right"/>
              <w:rPr>
                <w:rFonts w:eastAsia="Times New Roman"/>
                <w:color w:val="000000"/>
                <w:lang w:eastAsia="pl-PL"/>
              </w:rPr>
            </w:pPr>
            <w:r w:rsidRPr="001268E7">
              <w:rPr>
                <w:rFonts w:eastAsia="Times New Roman"/>
                <w:color w:val="000000"/>
                <w:lang w:eastAsia="pl-PL"/>
              </w:rPr>
              <w:t xml:space="preserve">6 </w:t>
            </w:r>
            <w:r w:rsidR="00146233" w:rsidRPr="001268E7">
              <w:rPr>
                <w:rFonts w:eastAsia="Times New Roman"/>
                <w:color w:val="000000"/>
                <w:lang w:eastAsia="pl-PL"/>
              </w:rPr>
              <w:t>347</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46</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283 933</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290 952</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suwalski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337494" w:rsidP="00146233">
            <w:pPr>
              <w:spacing w:after="0" w:line="240" w:lineRule="auto"/>
              <w:jc w:val="right"/>
              <w:rPr>
                <w:rFonts w:eastAsia="Times New Roman"/>
                <w:color w:val="000000"/>
                <w:lang w:eastAsia="pl-PL"/>
              </w:rPr>
            </w:pPr>
            <w:r w:rsidRPr="001268E7">
              <w:rPr>
                <w:rFonts w:eastAsia="Times New Roman"/>
                <w:color w:val="000000"/>
                <w:lang w:eastAsia="pl-PL"/>
              </w:rPr>
              <w:t xml:space="preserve">6 </w:t>
            </w:r>
            <w:r w:rsidR="00146233" w:rsidRPr="001268E7">
              <w:rPr>
                <w:rFonts w:eastAsia="Times New Roman"/>
                <w:color w:val="000000"/>
                <w:lang w:eastAsia="pl-PL"/>
              </w:rPr>
              <w:t>237</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44</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276 028</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276 683</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obwód kaliningradzki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337494" w:rsidP="00146233">
            <w:pPr>
              <w:spacing w:after="0" w:line="240" w:lineRule="auto"/>
              <w:jc w:val="right"/>
              <w:rPr>
                <w:rFonts w:eastAsia="Times New Roman"/>
                <w:color w:val="000000"/>
                <w:lang w:eastAsia="pl-PL"/>
              </w:rPr>
            </w:pPr>
            <w:r w:rsidRPr="001268E7">
              <w:rPr>
                <w:rFonts w:eastAsia="Times New Roman"/>
                <w:color w:val="000000"/>
                <w:lang w:eastAsia="pl-PL"/>
              </w:rPr>
              <w:t>1</w:t>
            </w:r>
            <w:r w:rsidR="00146233" w:rsidRPr="001268E7">
              <w:rPr>
                <w:rFonts w:eastAsia="Times New Roman"/>
                <w:color w:val="000000"/>
                <w:lang w:eastAsia="pl-PL"/>
              </w:rPr>
              <w:t>5</w:t>
            </w:r>
            <w:r w:rsidRPr="001268E7">
              <w:rPr>
                <w:rFonts w:eastAsia="Times New Roman"/>
                <w:color w:val="000000"/>
                <w:lang w:eastAsia="pl-PL"/>
              </w:rPr>
              <w:t xml:space="preserve"> </w:t>
            </w:r>
            <w:r w:rsidR="00146233" w:rsidRPr="001268E7">
              <w:rPr>
                <w:rFonts w:eastAsia="Times New Roman"/>
                <w:color w:val="000000"/>
                <w:lang w:eastAsia="pl-PL"/>
              </w:rPr>
              <w:t>1</w:t>
            </w:r>
            <w:r w:rsidRPr="001268E7">
              <w:rPr>
                <w:rFonts w:eastAsia="Times New Roman"/>
                <w:color w:val="000000"/>
                <w:lang w:eastAsia="pl-PL"/>
              </w:rPr>
              <w:t>00</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5D3C00">
            <w:pPr>
              <w:spacing w:after="0" w:line="240" w:lineRule="auto"/>
              <w:jc w:val="right"/>
              <w:rPr>
                <w:rFonts w:eastAsia="Times New Roman"/>
                <w:color w:val="000000"/>
                <w:lang w:eastAsia="pl-PL"/>
              </w:rPr>
            </w:pPr>
            <w:r w:rsidRPr="001268E7">
              <w:rPr>
                <w:rFonts w:eastAsia="Times New Roman"/>
                <w:color w:val="000000"/>
                <w:lang w:eastAsia="pl-PL"/>
              </w:rPr>
              <w:t>6</w:t>
            </w:r>
            <w:r w:rsidR="005D3C00" w:rsidRPr="001268E7">
              <w:rPr>
                <w:rFonts w:eastAsia="Times New Roman"/>
                <w:color w:val="000000"/>
                <w:lang w:eastAsia="pl-PL"/>
              </w:rPr>
              <w:t>3</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937 914</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963 128</w:t>
            </w:r>
          </w:p>
        </w:tc>
      </w:tr>
      <w:tr w:rsidR="00146233" w:rsidRPr="001268E7" w:rsidTr="0054356D">
        <w:trPr>
          <w:trHeight w:val="300"/>
        </w:trPr>
        <w:tc>
          <w:tcPr>
            <w:tcW w:w="9224" w:type="dxa"/>
            <w:gridSpan w:val="5"/>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146233" w:rsidRPr="001268E7" w:rsidRDefault="0054356D" w:rsidP="001D5BF3">
            <w:pPr>
              <w:spacing w:after="0" w:line="240" w:lineRule="auto"/>
              <w:jc w:val="center"/>
              <w:rPr>
                <w:rFonts w:eastAsia="Times New Roman"/>
                <w:color w:val="000000"/>
                <w:lang w:eastAsia="pl-PL"/>
              </w:rPr>
            </w:pPr>
            <w:r w:rsidRPr="001268E7">
              <w:rPr>
                <w:rFonts w:eastAsia="Times New Roman"/>
                <w:color w:val="000000"/>
                <w:lang w:eastAsia="pl-PL"/>
              </w:rPr>
              <w:t>przyległy obszar</w:t>
            </w:r>
          </w:p>
        </w:tc>
      </w:tr>
      <w:tr w:rsidR="00146233" w:rsidRPr="001268E7" w:rsidTr="0054356D">
        <w:trPr>
          <w:trHeight w:val="30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słupski</w:t>
            </w:r>
            <w:r w:rsidR="00146233" w:rsidRPr="001268E7">
              <w:rPr>
                <w:rFonts w:eastAsia="Times New Roman"/>
                <w:color w:val="000000"/>
                <w:lang w:eastAsia="pl-PL"/>
              </w:rPr>
              <w:t xml:space="preserve"> </w:t>
            </w:r>
          </w:p>
        </w:tc>
        <w:tc>
          <w:tcPr>
            <w:tcW w:w="1825"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8 184</w:t>
            </w:r>
          </w:p>
        </w:tc>
        <w:tc>
          <w:tcPr>
            <w:tcW w:w="1842"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60</w:t>
            </w:r>
          </w:p>
        </w:tc>
        <w:tc>
          <w:tcPr>
            <w:tcW w:w="1560"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480 448</w:t>
            </w:r>
          </w:p>
        </w:tc>
        <w:tc>
          <w:tcPr>
            <w:tcW w:w="1417" w:type="dxa"/>
            <w:tcBorders>
              <w:top w:val="nil"/>
              <w:left w:val="nil"/>
              <w:bottom w:val="single" w:sz="4"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489 216</w:t>
            </w:r>
          </w:p>
        </w:tc>
      </w:tr>
      <w:tr w:rsidR="00146233" w:rsidRPr="001268E7" w:rsidTr="0054356D">
        <w:trPr>
          <w:trHeight w:val="315"/>
        </w:trPr>
        <w:tc>
          <w:tcPr>
            <w:tcW w:w="2580" w:type="dxa"/>
            <w:tcBorders>
              <w:top w:val="nil"/>
              <w:left w:val="single" w:sz="8" w:space="0" w:color="auto"/>
              <w:bottom w:val="single" w:sz="8" w:space="0" w:color="auto"/>
              <w:right w:val="single" w:sz="4" w:space="0" w:color="auto"/>
            </w:tcBorders>
            <w:shd w:val="clear" w:color="auto" w:fill="auto"/>
            <w:noWrap/>
            <w:vAlign w:val="bottom"/>
            <w:hideMark/>
          </w:tcPr>
          <w:p w:rsidR="00146233" w:rsidRPr="001268E7" w:rsidRDefault="0054356D" w:rsidP="001D5BF3">
            <w:pPr>
              <w:spacing w:after="0" w:line="240" w:lineRule="auto"/>
              <w:rPr>
                <w:rFonts w:eastAsia="Times New Roman"/>
                <w:color w:val="000000"/>
                <w:lang w:eastAsia="pl-PL"/>
              </w:rPr>
            </w:pPr>
            <w:r w:rsidRPr="001268E7">
              <w:rPr>
                <w:rFonts w:eastAsia="Times New Roman"/>
                <w:color w:val="000000"/>
                <w:lang w:eastAsia="pl-PL"/>
              </w:rPr>
              <w:t>podregion białostocki</w:t>
            </w:r>
            <w:r w:rsidR="00146233" w:rsidRPr="001268E7">
              <w:rPr>
                <w:rFonts w:eastAsia="Times New Roman"/>
                <w:color w:val="000000"/>
                <w:lang w:eastAsia="pl-PL"/>
              </w:rPr>
              <w:t xml:space="preserve"> </w:t>
            </w:r>
          </w:p>
        </w:tc>
        <w:tc>
          <w:tcPr>
            <w:tcW w:w="1825" w:type="dxa"/>
            <w:tcBorders>
              <w:top w:val="nil"/>
              <w:left w:val="nil"/>
              <w:bottom w:val="single" w:sz="8"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5 132</w:t>
            </w:r>
          </w:p>
        </w:tc>
        <w:tc>
          <w:tcPr>
            <w:tcW w:w="1842" w:type="dxa"/>
            <w:tcBorders>
              <w:top w:val="nil"/>
              <w:left w:val="nil"/>
              <w:bottom w:val="single" w:sz="8"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100</w:t>
            </w:r>
          </w:p>
        </w:tc>
        <w:tc>
          <w:tcPr>
            <w:tcW w:w="1560" w:type="dxa"/>
            <w:tcBorders>
              <w:top w:val="nil"/>
              <w:left w:val="nil"/>
              <w:bottom w:val="single" w:sz="8"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504 845</w:t>
            </w:r>
          </w:p>
        </w:tc>
        <w:tc>
          <w:tcPr>
            <w:tcW w:w="1417" w:type="dxa"/>
            <w:tcBorders>
              <w:top w:val="nil"/>
              <w:left w:val="nil"/>
              <w:bottom w:val="single" w:sz="8" w:space="0" w:color="auto"/>
              <w:right w:val="single" w:sz="4" w:space="0" w:color="auto"/>
            </w:tcBorders>
            <w:shd w:val="clear" w:color="auto" w:fill="auto"/>
            <w:noWrap/>
            <w:vAlign w:val="bottom"/>
            <w:hideMark/>
          </w:tcPr>
          <w:p w:rsidR="00146233" w:rsidRPr="001268E7" w:rsidRDefault="00146233" w:rsidP="00146233">
            <w:pPr>
              <w:spacing w:after="0" w:line="240" w:lineRule="auto"/>
              <w:jc w:val="right"/>
              <w:rPr>
                <w:rFonts w:eastAsia="Times New Roman"/>
                <w:color w:val="000000"/>
                <w:lang w:eastAsia="pl-PL"/>
              </w:rPr>
            </w:pPr>
            <w:r w:rsidRPr="001268E7">
              <w:rPr>
                <w:rFonts w:eastAsia="Times New Roman"/>
                <w:color w:val="000000"/>
                <w:lang w:eastAsia="pl-PL"/>
              </w:rPr>
              <w:t>510 785</w:t>
            </w:r>
          </w:p>
        </w:tc>
      </w:tr>
    </w:tbl>
    <w:p w:rsidR="00AC3C4A" w:rsidRPr="00594F4D" w:rsidRDefault="00AC3C4A" w:rsidP="00AC3C4A">
      <w:pPr>
        <w:spacing w:after="0" w:line="240" w:lineRule="auto"/>
        <w:contextualSpacing/>
        <w:jc w:val="both"/>
        <w:rPr>
          <w:b/>
          <w:i/>
          <w:sz w:val="20"/>
        </w:rPr>
      </w:pPr>
      <w:r w:rsidRPr="00594F4D">
        <w:rPr>
          <w:b/>
          <w:i/>
          <w:sz w:val="20"/>
        </w:rPr>
        <w:t>Tabela 2. Powierzchnia, populacja oraz liczba mieszkańców regionów Programu</w:t>
      </w:r>
    </w:p>
    <w:p w:rsidR="00B71030" w:rsidRPr="001268E7" w:rsidRDefault="0054356D" w:rsidP="0054356D">
      <w:pPr>
        <w:spacing w:before="100" w:beforeAutospacing="1" w:after="100" w:afterAutospacing="1" w:line="240" w:lineRule="auto"/>
        <w:jc w:val="both"/>
        <w:rPr>
          <w:rFonts w:cstheme="minorHAnsi"/>
          <w:sz w:val="20"/>
          <w:szCs w:val="20"/>
        </w:rPr>
      </w:pPr>
      <w:r w:rsidRPr="001268E7">
        <w:rPr>
          <w:rFonts w:cstheme="minorHAnsi"/>
          <w:sz w:val="20"/>
          <w:szCs w:val="20"/>
        </w:rPr>
        <w:lastRenderedPageBreak/>
        <w:t>Źródło:</w:t>
      </w:r>
      <w:r w:rsidR="00337494" w:rsidRPr="001268E7">
        <w:rPr>
          <w:rFonts w:cstheme="minorHAnsi"/>
          <w:sz w:val="20"/>
          <w:szCs w:val="20"/>
        </w:rPr>
        <w:t xml:space="preserve"> </w:t>
      </w:r>
      <w:r w:rsidRPr="001268E7">
        <w:rPr>
          <w:rFonts w:cstheme="minorHAnsi"/>
          <w:i/>
          <w:sz w:val="20"/>
          <w:szCs w:val="20"/>
        </w:rPr>
        <w:t xml:space="preserve">GUS, obszar i populacja w profilu terytorialnym w 2014 r. i </w:t>
      </w:r>
      <w:hyperlink r:id="rId11" w:history="1">
        <w:r w:rsidRPr="001268E7">
          <w:rPr>
            <w:rFonts w:cstheme="minorHAnsi"/>
            <w:sz w:val="20"/>
            <w:szCs w:val="20"/>
          </w:rPr>
          <w:t>http://kaliningrad.gks.ru</w:t>
        </w:r>
      </w:hyperlink>
      <w:r w:rsidRPr="001268E7">
        <w:rPr>
          <w:rFonts w:cstheme="minorHAnsi"/>
          <w:sz w:val="20"/>
          <w:szCs w:val="20"/>
        </w:rPr>
        <w:t>.</w:t>
      </w:r>
    </w:p>
    <w:p w:rsidR="003B42AD" w:rsidRPr="001268E7" w:rsidRDefault="0054356D" w:rsidP="0054356D">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Kwalifikowalny obszar j</w:t>
      </w:r>
      <w:r w:rsidR="002E4F70" w:rsidRPr="001268E7">
        <w:rPr>
          <w:rFonts w:cstheme="minorHAnsi"/>
          <w:sz w:val="24"/>
          <w:szCs w:val="24"/>
        </w:rPr>
        <w:t>est zamieszkany przez 5 mln</w:t>
      </w:r>
      <w:r w:rsidRPr="001268E7">
        <w:rPr>
          <w:rFonts w:cstheme="minorHAnsi"/>
          <w:sz w:val="24"/>
          <w:szCs w:val="24"/>
        </w:rPr>
        <w:t xml:space="preserve"> 493 tys. osób, a większość z tych osób, tj.</w:t>
      </w:r>
      <w:r w:rsidR="003B42AD" w:rsidRPr="001268E7">
        <w:rPr>
          <w:rFonts w:cstheme="minorHAnsi"/>
          <w:sz w:val="24"/>
          <w:szCs w:val="24"/>
        </w:rPr>
        <w:t xml:space="preserve"> </w:t>
      </w:r>
      <w:r w:rsidR="002E4F70" w:rsidRPr="001268E7">
        <w:rPr>
          <w:rFonts w:cstheme="minorHAnsi"/>
          <w:sz w:val="24"/>
          <w:szCs w:val="24"/>
        </w:rPr>
        <w:t>4 mln</w:t>
      </w:r>
      <w:r w:rsidR="00EF37C1" w:rsidRPr="001268E7">
        <w:rPr>
          <w:rFonts w:cstheme="minorHAnsi"/>
          <w:sz w:val="24"/>
          <w:szCs w:val="24"/>
        </w:rPr>
        <w:t xml:space="preserve"> 530 tys.,</w:t>
      </w:r>
      <w:r w:rsidRPr="001268E7">
        <w:rPr>
          <w:rFonts w:cstheme="minorHAnsi"/>
          <w:sz w:val="24"/>
          <w:szCs w:val="24"/>
        </w:rPr>
        <w:t xml:space="preserve"> mieszka po stronie polskiej granicy (82,47%)</w:t>
      </w:r>
      <w:r w:rsidR="00EF37C1" w:rsidRPr="001268E7">
        <w:rPr>
          <w:rFonts w:cstheme="minorHAnsi"/>
          <w:sz w:val="24"/>
          <w:szCs w:val="24"/>
        </w:rPr>
        <w:t>,</w:t>
      </w:r>
      <w:r w:rsidR="001369A1" w:rsidRPr="001268E7">
        <w:rPr>
          <w:rFonts w:cstheme="minorHAnsi"/>
          <w:sz w:val="24"/>
          <w:szCs w:val="24"/>
        </w:rPr>
        <w:t xml:space="preserve"> natomiast</w:t>
      </w:r>
      <w:r w:rsidR="00650AC0" w:rsidRPr="001268E7">
        <w:rPr>
          <w:rFonts w:cstheme="minorHAnsi"/>
          <w:sz w:val="24"/>
          <w:szCs w:val="24"/>
        </w:rPr>
        <w:t xml:space="preserve"> </w:t>
      </w:r>
      <w:r w:rsidR="001369A1" w:rsidRPr="001268E7">
        <w:rPr>
          <w:rFonts w:cstheme="minorHAnsi"/>
          <w:sz w:val="24"/>
          <w:szCs w:val="24"/>
        </w:rPr>
        <w:t>po rosyjskiej s</w:t>
      </w:r>
      <w:r w:rsidR="004C44EE" w:rsidRPr="001268E7">
        <w:rPr>
          <w:rFonts w:cstheme="minorHAnsi"/>
          <w:sz w:val="24"/>
          <w:szCs w:val="24"/>
        </w:rPr>
        <w:t>tronie granicy liczba mieszkańców</w:t>
      </w:r>
      <w:r w:rsidR="001369A1" w:rsidRPr="001268E7">
        <w:rPr>
          <w:rFonts w:cstheme="minorHAnsi"/>
          <w:sz w:val="24"/>
          <w:szCs w:val="24"/>
        </w:rPr>
        <w:t xml:space="preserve"> wynosi </w:t>
      </w:r>
      <w:r w:rsidRPr="001268E7">
        <w:rPr>
          <w:rFonts w:cstheme="minorHAnsi"/>
          <w:sz w:val="24"/>
          <w:szCs w:val="24"/>
        </w:rPr>
        <w:t>963 128</w:t>
      </w:r>
      <w:r w:rsidR="001369A1" w:rsidRPr="001268E7">
        <w:rPr>
          <w:rFonts w:cstheme="minorHAnsi"/>
          <w:sz w:val="24"/>
          <w:szCs w:val="24"/>
        </w:rPr>
        <w:t xml:space="preserve"> osób</w:t>
      </w:r>
      <w:r w:rsidRPr="001268E7">
        <w:rPr>
          <w:rFonts w:cstheme="minorHAnsi"/>
          <w:sz w:val="24"/>
          <w:szCs w:val="24"/>
        </w:rPr>
        <w:t xml:space="preserve"> (17,53%).</w:t>
      </w:r>
      <w:r w:rsidR="003B42AD" w:rsidRPr="001268E7">
        <w:rPr>
          <w:rFonts w:cstheme="minorHAnsi"/>
          <w:sz w:val="24"/>
          <w:szCs w:val="24"/>
        </w:rPr>
        <w:t xml:space="preserve"> </w:t>
      </w:r>
      <w:r w:rsidRPr="001268E7">
        <w:rPr>
          <w:rFonts w:cstheme="minorHAnsi"/>
          <w:sz w:val="24"/>
          <w:szCs w:val="24"/>
        </w:rPr>
        <w:t>Gęstość zaludnienia (84,1 osób/km</w:t>
      </w:r>
      <w:r w:rsidRPr="001268E7">
        <w:rPr>
          <w:rFonts w:cstheme="minorHAnsi"/>
          <w:sz w:val="24"/>
          <w:szCs w:val="24"/>
          <w:vertAlign w:val="superscript"/>
        </w:rPr>
        <w:t xml:space="preserve">2 </w:t>
      </w:r>
      <w:r w:rsidRPr="001268E7">
        <w:rPr>
          <w:rFonts w:cstheme="minorHAnsi"/>
          <w:sz w:val="24"/>
          <w:szCs w:val="24"/>
        </w:rPr>
        <w:t>w polskiej części i 63 osób/km</w:t>
      </w:r>
      <w:r w:rsidRPr="001268E7">
        <w:rPr>
          <w:rFonts w:cstheme="minorHAnsi"/>
          <w:sz w:val="24"/>
          <w:szCs w:val="24"/>
          <w:vertAlign w:val="superscript"/>
        </w:rPr>
        <w:t xml:space="preserve">2 </w:t>
      </w:r>
      <w:r w:rsidRPr="001268E7">
        <w:rPr>
          <w:rFonts w:cstheme="minorHAnsi"/>
          <w:sz w:val="24"/>
          <w:szCs w:val="24"/>
        </w:rPr>
        <w:t xml:space="preserve">w rosyjskiej części) może być uważana za umiarkowaną w porównaniu do przeciętnej gęstości </w:t>
      </w:r>
      <w:r w:rsidR="004C44EE" w:rsidRPr="001268E7">
        <w:rPr>
          <w:rFonts w:cstheme="minorHAnsi"/>
          <w:sz w:val="24"/>
          <w:szCs w:val="24"/>
        </w:rPr>
        <w:t>w Polsce, oraz relatywnie wysoką</w:t>
      </w:r>
      <w:r w:rsidRPr="001268E7">
        <w:rPr>
          <w:rFonts w:cstheme="minorHAnsi"/>
          <w:sz w:val="24"/>
          <w:szCs w:val="24"/>
        </w:rPr>
        <w:t xml:space="preserve"> w porównaniu do europejskiej części Federacji Rosyjskiej.</w:t>
      </w:r>
      <w:r w:rsidR="003B42AD" w:rsidRPr="001268E7">
        <w:rPr>
          <w:rFonts w:cstheme="minorHAnsi"/>
          <w:sz w:val="24"/>
          <w:szCs w:val="24"/>
        </w:rPr>
        <w:t xml:space="preserve"> </w:t>
      </w:r>
      <w:r w:rsidRPr="001268E7">
        <w:rPr>
          <w:rFonts w:cstheme="minorHAnsi"/>
          <w:sz w:val="24"/>
          <w:szCs w:val="24"/>
        </w:rPr>
        <w:t>Populacja jest dość mocno skoncentrowana pod względem przestrzennym, zwłaszcza w obwodzie kaliningradzkim, gdzie w stolicy regionu mieszka 431 000 osób (45%).</w:t>
      </w:r>
      <w:r w:rsidR="003B42AD" w:rsidRPr="001268E7">
        <w:rPr>
          <w:rFonts w:cstheme="minorHAnsi"/>
          <w:sz w:val="24"/>
          <w:szCs w:val="24"/>
        </w:rPr>
        <w:t xml:space="preserve"> </w:t>
      </w:r>
      <w:r w:rsidRPr="001268E7">
        <w:rPr>
          <w:rFonts w:cstheme="minorHAnsi"/>
          <w:sz w:val="24"/>
          <w:szCs w:val="24"/>
        </w:rPr>
        <w:t>Obszar metropolitarny złożony z trzech miast (Gd</w:t>
      </w:r>
      <w:r w:rsidR="00EF37C1" w:rsidRPr="001268E7">
        <w:rPr>
          <w:rFonts w:cstheme="minorHAnsi"/>
          <w:sz w:val="24"/>
          <w:szCs w:val="24"/>
        </w:rPr>
        <w:t xml:space="preserve">ańsk-Gdynia-Sopot) i zamieszkany w granicach administracyjnych </w:t>
      </w:r>
      <w:r w:rsidR="004C44EE" w:rsidRPr="001268E7">
        <w:rPr>
          <w:rFonts w:cstheme="minorHAnsi"/>
          <w:sz w:val="24"/>
          <w:szCs w:val="24"/>
        </w:rPr>
        <w:t xml:space="preserve">przez 747 000 osób </w:t>
      </w:r>
      <w:r w:rsidRPr="001268E7">
        <w:rPr>
          <w:rFonts w:cstheme="minorHAnsi"/>
          <w:sz w:val="24"/>
          <w:szCs w:val="24"/>
        </w:rPr>
        <w:t>jest największym kompleksem urbanistycznym w polskiej części kwalifikowalnego obszaru.</w:t>
      </w:r>
      <w:r w:rsidR="003B42AD" w:rsidRPr="001268E7">
        <w:rPr>
          <w:rFonts w:cstheme="minorHAnsi"/>
          <w:sz w:val="24"/>
          <w:szCs w:val="24"/>
        </w:rPr>
        <w:t xml:space="preserve"> </w:t>
      </w:r>
      <w:r w:rsidRPr="001268E7">
        <w:rPr>
          <w:rFonts w:cstheme="minorHAnsi"/>
          <w:sz w:val="24"/>
          <w:szCs w:val="24"/>
        </w:rPr>
        <w:t>Inne duże miasta o znaczeniu regionalnym to:</w:t>
      </w:r>
      <w:r w:rsidR="003B42AD" w:rsidRPr="001268E7">
        <w:rPr>
          <w:rFonts w:cstheme="minorHAnsi"/>
          <w:sz w:val="24"/>
          <w:szCs w:val="24"/>
        </w:rPr>
        <w:t xml:space="preserve"> </w:t>
      </w:r>
      <w:r w:rsidRPr="001268E7">
        <w:rPr>
          <w:rFonts w:cstheme="minorHAnsi"/>
          <w:sz w:val="24"/>
          <w:szCs w:val="24"/>
        </w:rPr>
        <w:t>Białystok (300 000), Olsztyn (175 000) i Elbląg (124 000), gdzie</w:t>
      </w:r>
      <w:r w:rsidR="006F2E4B">
        <w:rPr>
          <w:rFonts w:cstheme="minorHAnsi"/>
          <w:sz w:val="24"/>
          <w:szCs w:val="24"/>
        </w:rPr>
        <w:t xml:space="preserve"> Suwałki,</w:t>
      </w:r>
      <w:r w:rsidRPr="001268E7">
        <w:rPr>
          <w:rFonts w:cstheme="minorHAnsi"/>
          <w:sz w:val="24"/>
          <w:szCs w:val="24"/>
        </w:rPr>
        <w:t xml:space="preserve"> Ełk, Tczew i Malbork pełnią </w:t>
      </w:r>
      <w:r w:rsidR="000E5DC9" w:rsidRPr="001268E7">
        <w:rPr>
          <w:rFonts w:cstheme="minorHAnsi"/>
          <w:sz w:val="24"/>
          <w:szCs w:val="24"/>
        </w:rPr>
        <w:t>funkcje ponadlokalne</w:t>
      </w:r>
      <w:r w:rsidRPr="001268E7">
        <w:rPr>
          <w:rFonts w:cstheme="minorHAnsi"/>
          <w:sz w:val="24"/>
          <w:szCs w:val="24"/>
        </w:rPr>
        <w:t>.</w:t>
      </w:r>
    </w:p>
    <w:p w:rsidR="003B42AD" w:rsidRPr="001268E7" w:rsidRDefault="000E5DC9" w:rsidP="0054356D">
      <w:pPr>
        <w:pStyle w:val="Default"/>
        <w:spacing w:before="100" w:beforeAutospacing="1" w:after="100" w:afterAutospacing="1"/>
        <w:jc w:val="both"/>
        <w:rPr>
          <w:rFonts w:asciiTheme="minorHAnsi" w:hAnsiTheme="minorHAnsi"/>
          <w:color w:val="auto"/>
        </w:rPr>
      </w:pPr>
      <w:r w:rsidRPr="001268E7">
        <w:rPr>
          <w:rFonts w:asciiTheme="minorHAnsi" w:hAnsiTheme="minorHAnsi"/>
          <w:color w:val="auto"/>
        </w:rPr>
        <w:t>W latach 2010-2014</w:t>
      </w:r>
      <w:r w:rsidR="0054356D" w:rsidRPr="001268E7">
        <w:rPr>
          <w:rFonts w:asciiTheme="minorHAnsi" w:hAnsiTheme="minorHAnsi"/>
          <w:color w:val="auto"/>
        </w:rPr>
        <w:t xml:space="preserve"> liczba populacji w obwodzie kaliningra</w:t>
      </w:r>
      <w:r w:rsidRPr="001268E7">
        <w:rPr>
          <w:rFonts w:asciiTheme="minorHAnsi" w:hAnsiTheme="minorHAnsi"/>
          <w:color w:val="auto"/>
        </w:rPr>
        <w:t>dzkim powoli wzrosła i wyniosła</w:t>
      </w:r>
      <w:r w:rsidR="009C6820" w:rsidRPr="001268E7">
        <w:rPr>
          <w:rFonts w:asciiTheme="minorHAnsi" w:hAnsiTheme="minorHAnsi"/>
          <w:color w:val="auto"/>
        </w:rPr>
        <w:t xml:space="preserve"> 963 tys.</w:t>
      </w:r>
      <w:r w:rsidR="0054356D" w:rsidRPr="001268E7">
        <w:rPr>
          <w:rFonts w:asciiTheme="minorHAnsi" w:hAnsiTheme="minorHAnsi"/>
          <w:color w:val="auto"/>
        </w:rPr>
        <w:t xml:space="preserve"> osób w 2014 roku. </w:t>
      </w:r>
      <w:r w:rsidRPr="001268E7">
        <w:rPr>
          <w:rFonts w:asciiTheme="minorHAnsi" w:hAnsiTheme="minorHAnsi"/>
          <w:color w:val="auto"/>
        </w:rPr>
        <w:t>W latach 2004-2012 liczba populacji trzech polskich regionów</w:t>
      </w:r>
      <w:r w:rsidR="0054356D" w:rsidRPr="001268E7">
        <w:rPr>
          <w:rFonts w:asciiTheme="minorHAnsi" w:hAnsiTheme="minorHAnsi"/>
          <w:color w:val="auto"/>
        </w:rPr>
        <w:t xml:space="preserve"> objętych Programem wzrosła o nieco ponad 2%.</w:t>
      </w:r>
      <w:r w:rsidR="003B42AD" w:rsidRPr="001268E7">
        <w:rPr>
          <w:rFonts w:asciiTheme="minorHAnsi" w:hAnsiTheme="minorHAnsi"/>
          <w:color w:val="auto"/>
        </w:rPr>
        <w:t xml:space="preserve"> </w:t>
      </w:r>
      <w:r w:rsidR="0054356D" w:rsidRPr="001268E7">
        <w:rPr>
          <w:rFonts w:asciiTheme="minorHAnsi" w:hAnsiTheme="minorHAnsi"/>
          <w:color w:val="auto"/>
        </w:rPr>
        <w:t>Wynikało to z naturalnego przyrostu, który zrównoważył odpływ migracyjny.</w:t>
      </w:r>
      <w:r w:rsidR="003B42AD" w:rsidRPr="001268E7">
        <w:rPr>
          <w:rFonts w:asciiTheme="minorHAnsi" w:hAnsiTheme="minorHAnsi"/>
          <w:color w:val="auto"/>
        </w:rPr>
        <w:t xml:space="preserve"> </w:t>
      </w:r>
    </w:p>
    <w:p w:rsidR="003B42AD" w:rsidRPr="001268E7" w:rsidRDefault="0011750C" w:rsidP="0011750C">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 xml:space="preserve">Ujemny bilans migracyjny na </w:t>
      </w:r>
      <w:r w:rsidR="000E5DC9" w:rsidRPr="001268E7">
        <w:rPr>
          <w:rFonts w:cstheme="minorHAnsi"/>
          <w:sz w:val="24"/>
          <w:szCs w:val="24"/>
        </w:rPr>
        <w:t>obszarach wiejskich i w niewielkich ośrodkach miejskich jest głównie spowodowany odpływem</w:t>
      </w:r>
      <w:r w:rsidRPr="001268E7">
        <w:rPr>
          <w:rFonts w:cstheme="minorHAnsi"/>
          <w:sz w:val="24"/>
          <w:szCs w:val="24"/>
        </w:rPr>
        <w:t xml:space="preserve"> młodych ludzi poszukujących lepszej edukacji i miejsc pracy w dużych ośrodkach urbanistycznych lub za granicą.</w:t>
      </w:r>
      <w:r w:rsidR="003B42AD" w:rsidRPr="001268E7">
        <w:rPr>
          <w:rFonts w:cstheme="minorHAnsi"/>
          <w:sz w:val="24"/>
          <w:szCs w:val="24"/>
        </w:rPr>
        <w:t xml:space="preserve"> </w:t>
      </w:r>
      <w:r w:rsidRPr="001268E7">
        <w:rPr>
          <w:rFonts w:cstheme="minorHAnsi"/>
          <w:sz w:val="24"/>
          <w:szCs w:val="24"/>
        </w:rPr>
        <w:t>Z tego względu Program powinien przyczynić się do stworzenia warunków sprzyjających utrzymaniu i tworzeniu miejsc pracy na kwalifikowalnym obszarze Programu.</w:t>
      </w:r>
    </w:p>
    <w:p w:rsidR="00634745" w:rsidRPr="001268E7" w:rsidRDefault="0011750C" w:rsidP="0064592B">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 xml:space="preserve">W </w:t>
      </w:r>
      <w:r w:rsidR="000E5DC9" w:rsidRPr="001268E7">
        <w:rPr>
          <w:rFonts w:cstheme="minorHAnsi"/>
          <w:sz w:val="24"/>
          <w:szCs w:val="24"/>
        </w:rPr>
        <w:t>roku 2013 znaczna część populacji</w:t>
      </w:r>
      <w:r w:rsidRPr="001268E7">
        <w:rPr>
          <w:rFonts w:cstheme="minorHAnsi"/>
          <w:sz w:val="24"/>
          <w:szCs w:val="24"/>
        </w:rPr>
        <w:t xml:space="preserve"> obszaru Programu (ponad 60%) była w wieku produkcyjnym, około 20% w wieku przedprodukcyjnym i około 16% w wieku poprodukcyjnym.</w:t>
      </w:r>
      <w:r w:rsidR="003B42AD" w:rsidRPr="001268E7">
        <w:rPr>
          <w:rFonts w:cstheme="minorHAnsi"/>
          <w:sz w:val="24"/>
          <w:szCs w:val="24"/>
        </w:rPr>
        <w:t xml:space="preserve"> </w:t>
      </w:r>
      <w:r w:rsidRPr="001268E7">
        <w:rPr>
          <w:rFonts w:cstheme="minorHAnsi"/>
          <w:sz w:val="24"/>
          <w:szCs w:val="24"/>
        </w:rPr>
        <w:t>Struktura wiekowa jest dość podobna na całym obszarze Programu.</w:t>
      </w:r>
      <w:r w:rsidR="003B42AD" w:rsidRPr="001268E7">
        <w:rPr>
          <w:rFonts w:cstheme="minorHAnsi"/>
          <w:sz w:val="24"/>
          <w:szCs w:val="24"/>
        </w:rPr>
        <w:t xml:space="preserve"> </w:t>
      </w:r>
      <w:r w:rsidRPr="001268E7">
        <w:rPr>
          <w:rFonts w:cstheme="minorHAnsi"/>
          <w:sz w:val="24"/>
          <w:szCs w:val="24"/>
        </w:rPr>
        <w:t>W perspektywie długoterminowej można oczekiwać pewnej poprawy w zakresie liczby urodzeń w wyniku zwiększenia gospodarczo-społecznego bezpieczeństwa na obszarze Programu, pod warunkiem, że podjęte zostaną działania wspierające (przedszkola, elastyczne warunki pracy itp.).</w:t>
      </w:r>
      <w:r w:rsidR="003B42AD" w:rsidRPr="001268E7">
        <w:rPr>
          <w:rFonts w:cstheme="minorHAnsi"/>
          <w:sz w:val="24"/>
          <w:szCs w:val="24"/>
        </w:rPr>
        <w:t xml:space="preserve"> </w:t>
      </w:r>
      <w:r w:rsidRPr="001268E7">
        <w:rPr>
          <w:rFonts w:cstheme="minorHAnsi"/>
          <w:sz w:val="24"/>
          <w:szCs w:val="24"/>
        </w:rPr>
        <w:t>Procesy starzenia się populacji postępują dynamicznie po obydwu stronach granicy, co może stworzyć niekorzystne warunki dla przyszłego rozwoju gospodarczego.</w:t>
      </w:r>
    </w:p>
    <w:p w:rsidR="003B42AD" w:rsidRPr="001268E7" w:rsidRDefault="00CE7588" w:rsidP="00CE7588">
      <w:pPr>
        <w:pStyle w:val="Akapitzlist"/>
        <w:spacing w:before="100" w:beforeAutospacing="1" w:after="100" w:afterAutospacing="1" w:line="240" w:lineRule="auto"/>
        <w:ind w:left="0"/>
        <w:contextualSpacing w:val="0"/>
        <w:jc w:val="both"/>
        <w:rPr>
          <w:rStyle w:val="Wyrnieniedelikatne2"/>
        </w:rPr>
      </w:pPr>
      <w:r w:rsidRPr="001268E7">
        <w:rPr>
          <w:rStyle w:val="Wyrnieniedelikatne"/>
        </w:rPr>
        <w:t>Kapitał gospodarczy</w:t>
      </w:r>
      <w:r w:rsidR="003B42AD" w:rsidRPr="001268E7">
        <w:rPr>
          <w:rStyle w:val="Wyrnieniedelikatne"/>
        </w:rPr>
        <w:t xml:space="preserve"> </w:t>
      </w:r>
    </w:p>
    <w:p w:rsidR="003B42AD" w:rsidRPr="001268E7" w:rsidRDefault="00CE7588" w:rsidP="00CE7588">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Struktura gospodarcza kwalifikowalnego obszaru po obu stronach granicy była dość podobna i jednocześnie porównywalna do odpowiednich średnich wartości krajowych.</w:t>
      </w:r>
      <w:r w:rsidR="003B42AD" w:rsidRPr="001268E7">
        <w:rPr>
          <w:rFonts w:cstheme="minorHAnsi"/>
          <w:color w:val="000000"/>
          <w:sz w:val="24"/>
          <w:szCs w:val="24"/>
        </w:rPr>
        <w:t xml:space="preserve"> </w:t>
      </w:r>
      <w:r w:rsidRPr="001268E7">
        <w:rPr>
          <w:rFonts w:cstheme="minorHAnsi"/>
          <w:color w:val="000000"/>
          <w:sz w:val="24"/>
          <w:szCs w:val="24"/>
        </w:rPr>
        <w:t>Podstawowe sektory (rolnictwo, leśnictwo i rybołówstwo) odgrywały bardziej znaczą</w:t>
      </w:r>
      <w:r w:rsidR="008774BC" w:rsidRPr="001268E7">
        <w:rPr>
          <w:rFonts w:cstheme="minorHAnsi"/>
          <w:color w:val="000000"/>
          <w:sz w:val="24"/>
          <w:szCs w:val="24"/>
        </w:rPr>
        <w:t xml:space="preserve">cą rolę w gospodarce po stronie </w:t>
      </w:r>
      <w:r w:rsidRPr="001268E7">
        <w:rPr>
          <w:rFonts w:cstheme="minorHAnsi"/>
          <w:color w:val="000000"/>
          <w:sz w:val="24"/>
          <w:szCs w:val="24"/>
        </w:rPr>
        <w:t>polskiej.</w:t>
      </w:r>
      <w:r w:rsidR="003B42AD" w:rsidRPr="001268E7">
        <w:rPr>
          <w:rFonts w:cstheme="minorHAnsi"/>
          <w:color w:val="000000"/>
          <w:sz w:val="24"/>
          <w:szCs w:val="24"/>
        </w:rPr>
        <w:t xml:space="preserve"> </w:t>
      </w:r>
      <w:r w:rsidRPr="001268E7">
        <w:rPr>
          <w:rFonts w:cstheme="minorHAnsi"/>
          <w:color w:val="000000"/>
          <w:sz w:val="24"/>
          <w:szCs w:val="24"/>
        </w:rPr>
        <w:t>Z drugiej strony, obwód kaliningradzki charakteryzował się wyższym udziałem produkcji w gospodarce regionalnej.</w:t>
      </w:r>
      <w:r w:rsidR="003B42AD" w:rsidRPr="001268E7">
        <w:rPr>
          <w:rFonts w:cstheme="minorHAnsi"/>
          <w:color w:val="000000"/>
          <w:sz w:val="24"/>
          <w:szCs w:val="24"/>
        </w:rPr>
        <w:t xml:space="preserve"> </w:t>
      </w:r>
    </w:p>
    <w:p w:rsidR="003B42AD" w:rsidRPr="001268E7" w:rsidRDefault="00CE7588" w:rsidP="00CE7588">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Niższy poziom rozwoju na obszarze kwalifikowalnym w porównaniu do odpowiednich średnich wartości krajowych w</w:t>
      </w:r>
      <w:r w:rsidR="008774BC" w:rsidRPr="001268E7">
        <w:rPr>
          <w:rFonts w:cstheme="minorHAnsi"/>
          <w:color w:val="000000"/>
          <w:sz w:val="24"/>
          <w:szCs w:val="24"/>
        </w:rPr>
        <w:t xml:space="preserve">ynikał w dużym stopniu </w:t>
      </w:r>
      <w:r w:rsidRPr="001268E7">
        <w:rPr>
          <w:rFonts w:cstheme="minorHAnsi"/>
          <w:color w:val="000000"/>
          <w:sz w:val="24"/>
          <w:szCs w:val="24"/>
        </w:rPr>
        <w:t>z mniej efektywnego wykorzystania lokalnej siły roboczej niż z czynnika strukturalnego.</w:t>
      </w:r>
      <w:r w:rsidR="003B42AD" w:rsidRPr="001268E7">
        <w:rPr>
          <w:rFonts w:cstheme="minorHAnsi"/>
          <w:color w:val="000000"/>
          <w:sz w:val="24"/>
          <w:szCs w:val="24"/>
        </w:rPr>
        <w:t xml:space="preserve"> </w:t>
      </w:r>
      <w:r w:rsidR="008774BC" w:rsidRPr="001268E7">
        <w:rPr>
          <w:rFonts w:cstheme="minorHAnsi"/>
          <w:color w:val="000000"/>
          <w:sz w:val="24"/>
          <w:szCs w:val="24"/>
        </w:rPr>
        <w:t>W 2013 r.</w:t>
      </w:r>
      <w:r w:rsidRPr="001268E7">
        <w:rPr>
          <w:rFonts w:cstheme="minorHAnsi"/>
          <w:color w:val="000000"/>
          <w:sz w:val="24"/>
          <w:szCs w:val="24"/>
        </w:rPr>
        <w:t xml:space="preserve"> stopa zarejestrowanego bezrobocia w polskiej części obszaru kwalifikowalnego wyniosła ok.</w:t>
      </w:r>
      <w:r w:rsidR="003B42AD" w:rsidRPr="001268E7">
        <w:rPr>
          <w:rFonts w:cstheme="minorHAnsi"/>
          <w:color w:val="000000"/>
          <w:sz w:val="24"/>
          <w:szCs w:val="24"/>
        </w:rPr>
        <w:t xml:space="preserve"> </w:t>
      </w:r>
      <w:r w:rsidRPr="001268E7">
        <w:rPr>
          <w:rFonts w:cstheme="minorHAnsi"/>
          <w:color w:val="000000"/>
          <w:sz w:val="24"/>
          <w:szCs w:val="24"/>
        </w:rPr>
        <w:t>17,94% i była wyższa niż średnia w całym kraju.</w:t>
      </w:r>
      <w:r w:rsidR="003B42AD" w:rsidRPr="001268E7">
        <w:rPr>
          <w:rFonts w:cstheme="minorHAnsi"/>
          <w:color w:val="000000"/>
          <w:sz w:val="24"/>
          <w:szCs w:val="24"/>
        </w:rPr>
        <w:t xml:space="preserve"> </w:t>
      </w:r>
      <w:r w:rsidRPr="001268E7">
        <w:rPr>
          <w:rFonts w:cstheme="minorHAnsi"/>
          <w:color w:val="000000"/>
          <w:sz w:val="24"/>
          <w:szCs w:val="24"/>
        </w:rPr>
        <w:t>W ostatnich latach sytuacja w tym względzie pogorszyła się.</w:t>
      </w:r>
      <w:r w:rsidR="003B42AD" w:rsidRPr="001268E7">
        <w:rPr>
          <w:rFonts w:cstheme="minorHAnsi"/>
          <w:color w:val="000000"/>
          <w:sz w:val="24"/>
          <w:szCs w:val="24"/>
        </w:rPr>
        <w:t xml:space="preserve"> </w:t>
      </w:r>
      <w:r w:rsidRPr="001268E7">
        <w:rPr>
          <w:rFonts w:cstheme="minorHAnsi"/>
          <w:color w:val="000000"/>
          <w:sz w:val="24"/>
          <w:szCs w:val="24"/>
        </w:rPr>
        <w:t xml:space="preserve">W 2014 r. </w:t>
      </w:r>
      <w:r w:rsidRPr="001268E7">
        <w:rPr>
          <w:rFonts w:cstheme="minorHAnsi"/>
          <w:color w:val="000000"/>
          <w:sz w:val="24"/>
          <w:szCs w:val="24"/>
        </w:rPr>
        <w:lastRenderedPageBreak/>
        <w:t>syt</w:t>
      </w:r>
      <w:r w:rsidR="008774BC" w:rsidRPr="001268E7">
        <w:rPr>
          <w:rFonts w:cstheme="minorHAnsi"/>
          <w:color w:val="000000"/>
          <w:sz w:val="24"/>
          <w:szCs w:val="24"/>
        </w:rPr>
        <w:t>uacja nieznacznie zmieniła się i</w:t>
      </w:r>
      <w:r w:rsidRPr="001268E7">
        <w:rPr>
          <w:rFonts w:cstheme="minorHAnsi"/>
          <w:color w:val="000000"/>
          <w:sz w:val="24"/>
          <w:szCs w:val="24"/>
        </w:rPr>
        <w:t xml:space="preserve"> stopa zarejestrowanego bezrobocia w polskiej części obszaru kwalifikowa</w:t>
      </w:r>
      <w:r w:rsidR="008774BC" w:rsidRPr="001268E7">
        <w:rPr>
          <w:rFonts w:cstheme="minorHAnsi"/>
          <w:color w:val="000000"/>
          <w:sz w:val="24"/>
          <w:szCs w:val="24"/>
        </w:rPr>
        <w:t>lnego zmniejszyła się do poziomu</w:t>
      </w:r>
      <w:r w:rsidRPr="001268E7">
        <w:rPr>
          <w:rFonts w:cstheme="minorHAnsi"/>
          <w:color w:val="000000"/>
          <w:sz w:val="24"/>
          <w:szCs w:val="24"/>
        </w:rPr>
        <w:t xml:space="preserve"> 14,75%, ale wciąż była wyższa niż średnia w całym kraju.</w:t>
      </w:r>
      <w:r w:rsidR="003B42AD" w:rsidRPr="001268E7">
        <w:rPr>
          <w:rFonts w:cstheme="minorHAnsi"/>
          <w:color w:val="000000"/>
          <w:sz w:val="24"/>
          <w:szCs w:val="24"/>
        </w:rPr>
        <w:t xml:space="preserve"> </w:t>
      </w:r>
      <w:r w:rsidRPr="001268E7">
        <w:rPr>
          <w:rFonts w:cstheme="minorHAnsi"/>
          <w:color w:val="000000"/>
          <w:sz w:val="24"/>
          <w:szCs w:val="24"/>
        </w:rPr>
        <w:t xml:space="preserve">W odróżnieniu do powyższego, w 2014 r. stopa bezrobocia w obwodzie </w:t>
      </w:r>
      <w:r w:rsidR="009C6820" w:rsidRPr="001268E7">
        <w:rPr>
          <w:rFonts w:cstheme="minorHAnsi"/>
          <w:color w:val="000000"/>
          <w:sz w:val="24"/>
          <w:szCs w:val="24"/>
        </w:rPr>
        <w:t>kaliningradzkim wyniosła 5,1% i w ciągu ostatnich kilku lat zaobserwowano</w:t>
      </w:r>
      <w:r w:rsidRPr="001268E7">
        <w:rPr>
          <w:rFonts w:cstheme="minorHAnsi"/>
          <w:color w:val="000000"/>
          <w:sz w:val="24"/>
          <w:szCs w:val="24"/>
        </w:rPr>
        <w:t xml:space="preserve"> stopniowy s</w:t>
      </w:r>
      <w:r w:rsidR="009C6820" w:rsidRPr="001268E7">
        <w:rPr>
          <w:rFonts w:cstheme="minorHAnsi"/>
          <w:color w:val="000000"/>
          <w:sz w:val="24"/>
          <w:szCs w:val="24"/>
        </w:rPr>
        <w:t>padek zatrudnienia</w:t>
      </w:r>
      <w:r w:rsidRPr="001268E7">
        <w:rPr>
          <w:rFonts w:cstheme="minorHAnsi"/>
          <w:color w:val="000000"/>
          <w:sz w:val="24"/>
          <w:szCs w:val="24"/>
        </w:rPr>
        <w:t xml:space="preserve"> w rosyjskiej części obszaru kwalifikowal</w:t>
      </w:r>
      <w:r w:rsidR="009C6820" w:rsidRPr="001268E7">
        <w:rPr>
          <w:rFonts w:cstheme="minorHAnsi"/>
          <w:color w:val="000000"/>
          <w:sz w:val="24"/>
          <w:szCs w:val="24"/>
        </w:rPr>
        <w:t>nego</w:t>
      </w:r>
      <w:r w:rsidRPr="001268E7">
        <w:rPr>
          <w:rFonts w:cstheme="minorHAnsi"/>
          <w:color w:val="000000"/>
          <w:sz w:val="24"/>
          <w:szCs w:val="24"/>
        </w:rPr>
        <w:t>.</w:t>
      </w:r>
    </w:p>
    <w:p w:rsidR="003B42AD" w:rsidRPr="001268E7" w:rsidRDefault="00CE7588" w:rsidP="003946A9">
      <w:pPr>
        <w:autoSpaceDE w:val="0"/>
        <w:autoSpaceDN w:val="0"/>
        <w:adjustRightInd w:val="0"/>
        <w:spacing w:before="100" w:beforeAutospacing="1" w:after="100" w:afterAutospacing="1" w:line="240" w:lineRule="auto"/>
        <w:jc w:val="both"/>
        <w:rPr>
          <w:rFonts w:cstheme="minorHAnsi"/>
          <w:color w:val="000000"/>
          <w:sz w:val="24"/>
          <w:szCs w:val="24"/>
          <w:highlight w:val="yellow"/>
        </w:rPr>
      </w:pPr>
      <w:r w:rsidRPr="001268E7">
        <w:rPr>
          <w:rFonts w:cstheme="minorHAnsi"/>
          <w:color w:val="000000"/>
          <w:sz w:val="24"/>
          <w:szCs w:val="24"/>
        </w:rPr>
        <w:t xml:space="preserve">Region graniczny jest </w:t>
      </w:r>
      <w:r w:rsidR="009C6820" w:rsidRPr="001268E7">
        <w:rPr>
          <w:rFonts w:cstheme="minorHAnsi"/>
          <w:color w:val="000000"/>
          <w:sz w:val="24"/>
          <w:szCs w:val="24"/>
        </w:rPr>
        <w:t>mocno zróżnicowany pod względem</w:t>
      </w:r>
      <w:r w:rsidR="00D34392" w:rsidRPr="001268E7">
        <w:rPr>
          <w:rFonts w:cstheme="minorHAnsi"/>
          <w:color w:val="000000"/>
          <w:sz w:val="24"/>
          <w:szCs w:val="24"/>
        </w:rPr>
        <w:t xml:space="preserve"> </w:t>
      </w:r>
      <w:r w:rsidRPr="001268E7">
        <w:rPr>
          <w:rFonts w:cstheme="minorHAnsi"/>
          <w:color w:val="000000"/>
          <w:sz w:val="24"/>
          <w:szCs w:val="24"/>
        </w:rPr>
        <w:t>atrakcyjności dla wewnętrznego kapitału.</w:t>
      </w:r>
      <w:r w:rsidR="003B42AD" w:rsidRPr="001268E7">
        <w:rPr>
          <w:rFonts w:cstheme="minorHAnsi"/>
          <w:color w:val="000000"/>
          <w:sz w:val="24"/>
          <w:szCs w:val="24"/>
        </w:rPr>
        <w:t xml:space="preserve"> </w:t>
      </w:r>
      <w:r w:rsidRPr="001268E7">
        <w:rPr>
          <w:rFonts w:cstheme="minorHAnsi"/>
          <w:color w:val="000000"/>
          <w:sz w:val="24"/>
          <w:szCs w:val="24"/>
        </w:rPr>
        <w:t>Zarówno po polskiej, jak i rosyjskiej stronie gra</w:t>
      </w:r>
      <w:r w:rsidR="008774BC" w:rsidRPr="001268E7">
        <w:rPr>
          <w:rFonts w:cstheme="minorHAnsi"/>
          <w:color w:val="000000"/>
          <w:sz w:val="24"/>
          <w:szCs w:val="24"/>
        </w:rPr>
        <w:t>nicy zagraniczni inwestorzy byli</w:t>
      </w:r>
      <w:r w:rsidRPr="001268E7">
        <w:rPr>
          <w:rFonts w:cstheme="minorHAnsi"/>
          <w:color w:val="000000"/>
          <w:sz w:val="24"/>
          <w:szCs w:val="24"/>
        </w:rPr>
        <w:t xml:space="preserve"> zachęcani do inwestowania w </w:t>
      </w:r>
      <w:r w:rsidR="00D34392" w:rsidRPr="001268E7">
        <w:rPr>
          <w:rFonts w:cstheme="minorHAnsi"/>
          <w:color w:val="000000"/>
          <w:sz w:val="24"/>
          <w:szCs w:val="24"/>
        </w:rPr>
        <w:t>specjalnych strefach ekonomicznych:</w:t>
      </w:r>
      <w:r w:rsidR="003B42AD" w:rsidRPr="001268E7">
        <w:rPr>
          <w:rFonts w:cstheme="minorHAnsi"/>
          <w:color w:val="000000"/>
          <w:sz w:val="24"/>
          <w:szCs w:val="24"/>
        </w:rPr>
        <w:t xml:space="preserve"> </w:t>
      </w:r>
      <w:r w:rsidR="00D34392" w:rsidRPr="001268E7">
        <w:rPr>
          <w:rFonts w:cstheme="minorHAnsi"/>
          <w:color w:val="000000"/>
          <w:sz w:val="24"/>
          <w:szCs w:val="24"/>
        </w:rPr>
        <w:t xml:space="preserve">tj. w pomorskiej, warmińsko-mazurskiej, słupskiej i suwalskiej strefie w </w:t>
      </w:r>
      <w:r w:rsidR="0037053A">
        <w:rPr>
          <w:rFonts w:cstheme="minorHAnsi"/>
          <w:color w:val="000000"/>
          <w:sz w:val="24"/>
          <w:szCs w:val="24"/>
        </w:rPr>
        <w:t>Polsce</w:t>
      </w:r>
      <w:r w:rsidR="00D34392" w:rsidRPr="001268E7">
        <w:rPr>
          <w:rFonts w:cstheme="minorHAnsi"/>
          <w:color w:val="000000"/>
          <w:sz w:val="24"/>
          <w:szCs w:val="24"/>
        </w:rPr>
        <w:t xml:space="preserve"> oraz w specjalnej strefie ekonomicznej w obwodzie kaliningradzkim, której status został przypisany do całego terytorium obwodu kaliningradzkiego w 1996 r. Ogółem, do końca 2012 r., w polskich strefach gospodarczych na kwalifikowalnym obszarze zainwestowano 1</w:t>
      </w:r>
      <w:r w:rsidR="00B86083" w:rsidRPr="001268E7">
        <w:rPr>
          <w:rFonts w:cstheme="minorHAnsi"/>
          <w:color w:val="000000"/>
          <w:sz w:val="24"/>
          <w:szCs w:val="24"/>
        </w:rPr>
        <w:t>2 miliardów PLN (ok. 2,93 miliardy</w:t>
      </w:r>
      <w:r w:rsidR="00D34392" w:rsidRPr="001268E7">
        <w:rPr>
          <w:rFonts w:cstheme="minorHAnsi"/>
          <w:color w:val="000000"/>
          <w:sz w:val="24"/>
          <w:szCs w:val="24"/>
        </w:rPr>
        <w:t xml:space="preserve"> euro).</w:t>
      </w:r>
      <w:r w:rsidR="003B42AD" w:rsidRPr="001268E7">
        <w:rPr>
          <w:rFonts w:cstheme="minorHAnsi"/>
          <w:color w:val="000000"/>
          <w:sz w:val="24"/>
          <w:szCs w:val="24"/>
        </w:rPr>
        <w:t xml:space="preserve"> </w:t>
      </w:r>
      <w:r w:rsidR="00D34392" w:rsidRPr="001268E7">
        <w:rPr>
          <w:rFonts w:cstheme="minorHAnsi"/>
          <w:color w:val="000000"/>
          <w:sz w:val="24"/>
          <w:szCs w:val="24"/>
        </w:rPr>
        <w:t>Specjalna Strefa Ekonomiczna w obwodzie kaliningradzkim Federacji Rosyjskiej (zwana dalej SSE) obejmuje całe terytorium obwo</w:t>
      </w:r>
      <w:r w:rsidR="00B86083" w:rsidRPr="001268E7">
        <w:rPr>
          <w:rFonts w:cstheme="minorHAnsi"/>
          <w:color w:val="000000"/>
          <w:sz w:val="24"/>
          <w:szCs w:val="24"/>
        </w:rPr>
        <w:t>du kaliningradzkiego i przewiduje</w:t>
      </w:r>
      <w:r w:rsidR="00D34392" w:rsidRPr="001268E7">
        <w:rPr>
          <w:rFonts w:cstheme="minorHAnsi"/>
          <w:color w:val="000000"/>
          <w:sz w:val="24"/>
          <w:szCs w:val="24"/>
        </w:rPr>
        <w:t xml:space="preserve"> specjalny system prawny dla działań gospodarczych, inwestycji i innych przedsięwzięć.</w:t>
      </w:r>
      <w:r w:rsidR="003B42AD" w:rsidRPr="001268E7">
        <w:rPr>
          <w:rFonts w:cstheme="minorHAnsi"/>
          <w:color w:val="000000"/>
          <w:sz w:val="24"/>
          <w:szCs w:val="24"/>
        </w:rPr>
        <w:t xml:space="preserve"> </w:t>
      </w:r>
      <w:r w:rsidR="00D34392" w:rsidRPr="001268E7">
        <w:rPr>
          <w:rFonts w:cstheme="minorHAnsi"/>
          <w:color w:val="000000"/>
          <w:sz w:val="24"/>
          <w:szCs w:val="24"/>
        </w:rPr>
        <w:t>SSE została pierwotnie utworzona w obwodzie kaliningradzkim w 1996 r. Na dzień 1 stycznia 2015 r.</w:t>
      </w:r>
      <w:r w:rsidR="00B86083" w:rsidRPr="001268E7">
        <w:rPr>
          <w:rFonts w:cstheme="minorHAnsi"/>
          <w:color w:val="000000"/>
          <w:sz w:val="24"/>
          <w:szCs w:val="24"/>
        </w:rPr>
        <w:t>,</w:t>
      </w:r>
      <w:r w:rsidR="00D34392" w:rsidRPr="001268E7">
        <w:rPr>
          <w:rFonts w:cstheme="minorHAnsi"/>
          <w:color w:val="000000"/>
          <w:sz w:val="24"/>
          <w:szCs w:val="24"/>
        </w:rPr>
        <w:t xml:space="preserve"> ogólna liczba rezydentów zarejestrowanych w SS</w:t>
      </w:r>
      <w:r w:rsidR="003946A9" w:rsidRPr="001268E7">
        <w:rPr>
          <w:rFonts w:cstheme="minorHAnsi"/>
          <w:color w:val="000000"/>
          <w:sz w:val="24"/>
          <w:szCs w:val="24"/>
        </w:rPr>
        <w:t>E</w:t>
      </w:r>
      <w:r w:rsidR="00D34392" w:rsidRPr="001268E7">
        <w:rPr>
          <w:rFonts w:cstheme="minorHAnsi"/>
          <w:color w:val="000000"/>
          <w:sz w:val="24"/>
          <w:szCs w:val="24"/>
        </w:rPr>
        <w:t xml:space="preserve"> wyniosła 99 organizacji.</w:t>
      </w:r>
      <w:r w:rsidR="003B42AD" w:rsidRPr="001268E7">
        <w:rPr>
          <w:rFonts w:cstheme="minorHAnsi"/>
          <w:color w:val="000000"/>
          <w:sz w:val="24"/>
          <w:szCs w:val="24"/>
        </w:rPr>
        <w:t xml:space="preserve"> </w:t>
      </w:r>
      <w:r w:rsidR="00D34392" w:rsidRPr="001268E7">
        <w:rPr>
          <w:rFonts w:cstheme="minorHAnsi"/>
          <w:color w:val="000000"/>
          <w:sz w:val="24"/>
          <w:szCs w:val="24"/>
        </w:rPr>
        <w:t>Łączne inwestycje rezydentów SS</w:t>
      </w:r>
      <w:r w:rsidR="003946A9" w:rsidRPr="001268E7">
        <w:rPr>
          <w:rFonts w:cstheme="minorHAnsi"/>
          <w:color w:val="000000"/>
          <w:sz w:val="24"/>
          <w:szCs w:val="24"/>
        </w:rPr>
        <w:t>E</w:t>
      </w:r>
      <w:r w:rsidR="00D34392" w:rsidRPr="001268E7">
        <w:rPr>
          <w:rFonts w:cstheme="minorHAnsi"/>
          <w:color w:val="000000"/>
          <w:sz w:val="24"/>
          <w:szCs w:val="24"/>
        </w:rPr>
        <w:t xml:space="preserve"> w tym czas</w:t>
      </w:r>
      <w:r w:rsidR="00B86083" w:rsidRPr="001268E7">
        <w:rPr>
          <w:rFonts w:cstheme="minorHAnsi"/>
          <w:color w:val="000000"/>
          <w:sz w:val="24"/>
          <w:szCs w:val="24"/>
        </w:rPr>
        <w:t>ie opiewały na kwotę 89 miliardów</w:t>
      </w:r>
      <w:r w:rsidR="00D34392" w:rsidRPr="001268E7">
        <w:rPr>
          <w:rFonts w:cstheme="minorHAnsi"/>
          <w:color w:val="000000"/>
          <w:sz w:val="24"/>
          <w:szCs w:val="24"/>
        </w:rPr>
        <w:t xml:space="preserve"> rubli.</w:t>
      </w:r>
    </w:p>
    <w:p w:rsidR="003B42AD" w:rsidRPr="001268E7" w:rsidRDefault="003946A9" w:rsidP="003946A9">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 xml:space="preserve">Obszar programu ma znaczący potencjał turystyczny, głównie związany z wybrzeżem Morza Bałtyckiego i krajobrazem pojezierza, a oprócz tego </w:t>
      </w:r>
      <w:r w:rsidR="00B86083" w:rsidRPr="001268E7">
        <w:rPr>
          <w:rFonts w:cstheme="minorHAnsi"/>
          <w:color w:val="000000"/>
          <w:sz w:val="24"/>
          <w:szCs w:val="24"/>
        </w:rPr>
        <w:t xml:space="preserve">istotna jest również </w:t>
      </w:r>
      <w:r w:rsidRPr="001268E7">
        <w:rPr>
          <w:rFonts w:cstheme="minorHAnsi"/>
          <w:color w:val="000000"/>
          <w:sz w:val="24"/>
          <w:szCs w:val="24"/>
        </w:rPr>
        <w:t>obecność dużych miast z godnymi uwagi dobrami historycznymi i kulturowymi.</w:t>
      </w:r>
      <w:r w:rsidR="003B42AD" w:rsidRPr="001268E7">
        <w:rPr>
          <w:rFonts w:cstheme="minorHAnsi"/>
          <w:color w:val="000000"/>
          <w:sz w:val="24"/>
          <w:szCs w:val="24"/>
        </w:rPr>
        <w:t xml:space="preserve"> </w:t>
      </w:r>
      <w:r w:rsidRPr="001268E7">
        <w:rPr>
          <w:rFonts w:cstheme="minorHAnsi"/>
          <w:color w:val="000000"/>
          <w:sz w:val="24"/>
          <w:szCs w:val="24"/>
        </w:rPr>
        <w:t>W konsekwencji, turystyka odgrywa dość istotną rolę w rozwoju gospodarki, zarówno po polskiej, jak i rosyjskiej stronie granicy.</w:t>
      </w:r>
      <w:r w:rsidR="003B42AD" w:rsidRPr="001268E7">
        <w:rPr>
          <w:rFonts w:cstheme="minorHAnsi"/>
          <w:color w:val="000000"/>
          <w:sz w:val="24"/>
          <w:szCs w:val="24"/>
        </w:rPr>
        <w:t xml:space="preserve"> </w:t>
      </w:r>
      <w:r w:rsidRPr="001268E7">
        <w:rPr>
          <w:rFonts w:cstheme="minorHAnsi"/>
          <w:color w:val="000000"/>
          <w:sz w:val="24"/>
          <w:szCs w:val="24"/>
        </w:rPr>
        <w:t>W 2013</w:t>
      </w:r>
      <w:r w:rsidR="00B86083" w:rsidRPr="001268E7">
        <w:rPr>
          <w:rFonts w:cstheme="minorHAnsi"/>
          <w:color w:val="000000"/>
          <w:sz w:val="24"/>
          <w:szCs w:val="24"/>
        </w:rPr>
        <w:t xml:space="preserve"> r. liczba turystów odwiedzających</w:t>
      </w:r>
      <w:r w:rsidRPr="001268E7">
        <w:rPr>
          <w:rFonts w:cstheme="minorHAnsi"/>
          <w:color w:val="000000"/>
          <w:sz w:val="24"/>
          <w:szCs w:val="24"/>
        </w:rPr>
        <w:t xml:space="preserve"> polską część obszaru</w:t>
      </w:r>
      <w:r w:rsidR="00B86083" w:rsidRPr="001268E7">
        <w:rPr>
          <w:rFonts w:cstheme="minorHAnsi"/>
          <w:color w:val="000000"/>
          <w:sz w:val="24"/>
          <w:szCs w:val="24"/>
        </w:rPr>
        <w:t xml:space="preserve"> kwalifikowalnego i korzystających</w:t>
      </w:r>
      <w:r w:rsidRPr="001268E7">
        <w:rPr>
          <w:rFonts w:cstheme="minorHAnsi"/>
          <w:color w:val="000000"/>
          <w:sz w:val="24"/>
          <w:szCs w:val="24"/>
        </w:rPr>
        <w:t xml:space="preserve"> z obiektów noclego</w:t>
      </w:r>
      <w:r w:rsidR="002E4F70" w:rsidRPr="001268E7">
        <w:rPr>
          <w:rFonts w:cstheme="minorHAnsi"/>
          <w:color w:val="000000"/>
          <w:sz w:val="24"/>
          <w:szCs w:val="24"/>
        </w:rPr>
        <w:t>wych wyniosła prawie 8,5 mln</w:t>
      </w:r>
      <w:r w:rsidRPr="001268E7">
        <w:rPr>
          <w:rFonts w:cstheme="minorHAnsi"/>
          <w:color w:val="000000"/>
          <w:sz w:val="24"/>
          <w:szCs w:val="24"/>
        </w:rPr>
        <w:t>, z czego 698 000 to turyści z zagranicy.</w:t>
      </w:r>
      <w:r w:rsidR="003B42AD" w:rsidRPr="001268E7">
        <w:rPr>
          <w:rFonts w:cstheme="minorHAnsi"/>
          <w:color w:val="000000"/>
          <w:sz w:val="24"/>
          <w:szCs w:val="24"/>
        </w:rPr>
        <w:t xml:space="preserve"> </w:t>
      </w:r>
      <w:r w:rsidRPr="001268E7">
        <w:rPr>
          <w:rFonts w:cstheme="minorHAnsi"/>
          <w:color w:val="000000"/>
          <w:sz w:val="24"/>
          <w:szCs w:val="24"/>
        </w:rPr>
        <w:t xml:space="preserve">Łącznie, turyści mogą wybierać spośród 44 200 łóżek hotelowych i 100 800 </w:t>
      </w:r>
      <w:r w:rsidR="003E7A5C" w:rsidRPr="001268E7">
        <w:rPr>
          <w:rFonts w:cstheme="minorHAnsi"/>
          <w:color w:val="000000"/>
          <w:sz w:val="24"/>
          <w:szCs w:val="24"/>
        </w:rPr>
        <w:t xml:space="preserve">łóżek </w:t>
      </w:r>
      <w:r w:rsidRPr="001268E7">
        <w:rPr>
          <w:rFonts w:cstheme="minorHAnsi"/>
          <w:color w:val="000000"/>
          <w:sz w:val="24"/>
          <w:szCs w:val="24"/>
        </w:rPr>
        <w:t>w innym rodzaju zakwaterowania w polskiej części obszaru Programu.</w:t>
      </w:r>
      <w:r w:rsidR="003B42AD" w:rsidRPr="001268E7">
        <w:rPr>
          <w:rFonts w:cstheme="minorHAnsi"/>
          <w:color w:val="000000"/>
          <w:sz w:val="24"/>
          <w:szCs w:val="24"/>
        </w:rPr>
        <w:t xml:space="preserve"> </w:t>
      </w:r>
      <w:r w:rsidRPr="001268E7">
        <w:rPr>
          <w:rFonts w:cstheme="minorHAnsi"/>
          <w:color w:val="000000"/>
          <w:sz w:val="24"/>
          <w:szCs w:val="24"/>
        </w:rPr>
        <w:t>Również po stronie rosyjskiej to obiecujący sektor gospodarki regionalnej i jego rozwój jest podkreślany przez władze regionalne.</w:t>
      </w:r>
      <w:r w:rsidR="003B42AD" w:rsidRPr="001268E7">
        <w:rPr>
          <w:rFonts w:cstheme="minorHAnsi"/>
          <w:color w:val="000000"/>
          <w:sz w:val="24"/>
          <w:szCs w:val="24"/>
        </w:rPr>
        <w:t xml:space="preserve"> </w:t>
      </w:r>
      <w:r w:rsidRPr="001268E7">
        <w:rPr>
          <w:rFonts w:cstheme="minorHAnsi"/>
          <w:color w:val="000000"/>
          <w:sz w:val="24"/>
          <w:szCs w:val="24"/>
        </w:rPr>
        <w:t>W roku 2013, zgodnie z oficjalnymi statystykami, liczba turystów zakwaterowanych w obwodzie kalin</w:t>
      </w:r>
      <w:r w:rsidR="002502D8" w:rsidRPr="001268E7">
        <w:rPr>
          <w:rFonts w:cstheme="minorHAnsi"/>
          <w:color w:val="000000"/>
          <w:sz w:val="24"/>
          <w:szCs w:val="24"/>
        </w:rPr>
        <w:t>ingradzkim wyniosła 272 600</w:t>
      </w:r>
      <w:r w:rsidRPr="001268E7">
        <w:rPr>
          <w:rFonts w:cstheme="minorHAnsi"/>
          <w:color w:val="000000"/>
          <w:sz w:val="24"/>
          <w:szCs w:val="24"/>
        </w:rPr>
        <w:t>, w tym 48 671 turystów z zagranicy.</w:t>
      </w:r>
      <w:r w:rsidR="003B42AD" w:rsidRPr="001268E7">
        <w:rPr>
          <w:rFonts w:cstheme="minorHAnsi"/>
          <w:color w:val="000000"/>
          <w:sz w:val="24"/>
          <w:szCs w:val="24"/>
        </w:rPr>
        <w:t xml:space="preserve"> </w:t>
      </w:r>
      <w:r w:rsidRPr="001268E7">
        <w:rPr>
          <w:rFonts w:cstheme="minorHAnsi"/>
          <w:color w:val="000000"/>
          <w:sz w:val="24"/>
          <w:szCs w:val="24"/>
        </w:rPr>
        <w:t>W obwodzie kaliningradzkim oficjalnie zarejestrowano 85 hoteli (z wyłączeniem małych przedsiębiorstw), w tym 3 211 pokoi i 6 210 łóżek hotelowych.</w:t>
      </w:r>
    </w:p>
    <w:p w:rsidR="003B42AD" w:rsidRPr="001268E7" w:rsidRDefault="003946A9" w:rsidP="003946A9">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Turystyka koncentruje się na wybrzeżu Bałtyku, ale wewnętrzne ob</w:t>
      </w:r>
      <w:r w:rsidR="002502D8" w:rsidRPr="001268E7">
        <w:rPr>
          <w:rFonts w:cstheme="minorHAnsi"/>
          <w:color w:val="000000"/>
          <w:sz w:val="24"/>
          <w:szCs w:val="24"/>
        </w:rPr>
        <w:t>szary również oferują wachlarz rozmaitych</w:t>
      </w:r>
      <w:r w:rsidRPr="001268E7">
        <w:rPr>
          <w:rFonts w:cstheme="minorHAnsi"/>
          <w:color w:val="000000"/>
          <w:sz w:val="24"/>
          <w:szCs w:val="24"/>
        </w:rPr>
        <w:t xml:space="preserve"> możliwości, w tym turystykę edukacyjną, kulturową, biznesową i kongresową.</w:t>
      </w:r>
      <w:r w:rsidR="003B42AD" w:rsidRPr="001268E7">
        <w:rPr>
          <w:rFonts w:cstheme="minorHAnsi"/>
          <w:color w:val="000000"/>
          <w:sz w:val="24"/>
          <w:szCs w:val="24"/>
        </w:rPr>
        <w:t xml:space="preserve"> </w:t>
      </w:r>
      <w:r w:rsidRPr="001268E7">
        <w:rPr>
          <w:rFonts w:cstheme="minorHAnsi"/>
          <w:color w:val="000000"/>
          <w:sz w:val="24"/>
          <w:szCs w:val="24"/>
        </w:rPr>
        <w:t xml:space="preserve">Ze względu na te czynniki, </w:t>
      </w:r>
      <w:r w:rsidR="002502D8" w:rsidRPr="001268E7">
        <w:rPr>
          <w:rFonts w:cstheme="minorHAnsi"/>
          <w:color w:val="000000"/>
          <w:sz w:val="24"/>
          <w:szCs w:val="24"/>
        </w:rPr>
        <w:t>w przemyśle turystycznym obwodu kaliningradzkiego</w:t>
      </w:r>
      <w:r w:rsidRPr="001268E7">
        <w:rPr>
          <w:rFonts w:cstheme="minorHAnsi"/>
          <w:color w:val="000000"/>
          <w:sz w:val="24"/>
          <w:szCs w:val="24"/>
        </w:rPr>
        <w:t xml:space="preserve"> zaobserwowano w ostatnich latach stałe roczne tempo wzrostu.</w:t>
      </w:r>
      <w:r w:rsidR="003B42AD" w:rsidRPr="001268E7">
        <w:rPr>
          <w:rFonts w:cstheme="minorHAnsi"/>
          <w:color w:val="000000"/>
          <w:sz w:val="24"/>
          <w:szCs w:val="24"/>
        </w:rPr>
        <w:t xml:space="preserve"> </w:t>
      </w:r>
      <w:r w:rsidRPr="001268E7">
        <w:rPr>
          <w:rFonts w:cstheme="minorHAnsi"/>
          <w:color w:val="000000"/>
          <w:sz w:val="24"/>
          <w:szCs w:val="24"/>
        </w:rPr>
        <w:t>Infrastruktura turystyczna jest szybko aktualizowana, a do użytku oddawane są nowe hotele, restauracje, obiekty kulturalne i historyczne.</w:t>
      </w:r>
      <w:r w:rsidR="003B42AD" w:rsidRPr="001268E7">
        <w:rPr>
          <w:rFonts w:cstheme="minorHAnsi"/>
          <w:color w:val="000000"/>
          <w:sz w:val="24"/>
          <w:szCs w:val="24"/>
        </w:rPr>
        <w:t xml:space="preserve"> </w:t>
      </w:r>
      <w:r w:rsidR="002502D8" w:rsidRPr="001268E7">
        <w:rPr>
          <w:rFonts w:cstheme="minorHAnsi"/>
          <w:color w:val="000000"/>
          <w:sz w:val="24"/>
          <w:szCs w:val="24"/>
        </w:rPr>
        <w:t>Obwód kaliningradzki jest jednym</w:t>
      </w:r>
      <w:r w:rsidRPr="001268E7">
        <w:rPr>
          <w:rFonts w:cstheme="minorHAnsi"/>
          <w:color w:val="000000"/>
          <w:sz w:val="24"/>
          <w:szCs w:val="24"/>
        </w:rPr>
        <w:t xml:space="preserve"> z najbardziej aktywnych rosyjskich regionów pod względem turystyki biznesowej i kongresowej.</w:t>
      </w:r>
      <w:r w:rsidR="003B42AD" w:rsidRPr="001268E7">
        <w:rPr>
          <w:rFonts w:cstheme="minorHAnsi"/>
          <w:color w:val="000000"/>
          <w:sz w:val="24"/>
          <w:szCs w:val="24"/>
        </w:rPr>
        <w:t xml:space="preserve"> </w:t>
      </w:r>
      <w:r w:rsidRPr="001268E7">
        <w:rPr>
          <w:rFonts w:cstheme="minorHAnsi"/>
          <w:color w:val="000000"/>
          <w:sz w:val="24"/>
          <w:szCs w:val="24"/>
        </w:rPr>
        <w:t>Ze względu na te czynniki, w ostatnich latach w przemyśle turystycznym obwodu kaliningradzkiego zaobserwowano stałe roczne tempo wzrostu wynoszące 10-12%.</w:t>
      </w:r>
    </w:p>
    <w:p w:rsidR="003B42AD" w:rsidRPr="001268E7" w:rsidRDefault="003946A9" w:rsidP="003946A9">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 xml:space="preserve">Potencjał </w:t>
      </w:r>
      <w:r w:rsidR="00EC6F2E" w:rsidRPr="001268E7">
        <w:rPr>
          <w:rFonts w:cstheme="minorHAnsi"/>
          <w:color w:val="000000"/>
          <w:sz w:val="24"/>
          <w:szCs w:val="24"/>
        </w:rPr>
        <w:t xml:space="preserve">do rozwoju </w:t>
      </w:r>
      <w:r w:rsidRPr="001268E7">
        <w:rPr>
          <w:rFonts w:cstheme="minorHAnsi"/>
          <w:color w:val="000000"/>
          <w:sz w:val="24"/>
          <w:szCs w:val="24"/>
        </w:rPr>
        <w:t>endogeniczne</w:t>
      </w:r>
      <w:r w:rsidR="002502D8" w:rsidRPr="001268E7">
        <w:rPr>
          <w:rFonts w:cstheme="minorHAnsi"/>
          <w:color w:val="000000"/>
          <w:sz w:val="24"/>
          <w:szCs w:val="24"/>
        </w:rPr>
        <w:t>go</w:t>
      </w:r>
      <w:r w:rsidRPr="001268E7">
        <w:rPr>
          <w:rFonts w:cstheme="minorHAnsi"/>
          <w:color w:val="000000"/>
          <w:sz w:val="24"/>
          <w:szCs w:val="24"/>
        </w:rPr>
        <w:t xml:space="preserve"> jest zróżnicowany w obydwu częściach obszaru kwalifikowalnego.</w:t>
      </w:r>
      <w:r w:rsidR="003B42AD" w:rsidRPr="001268E7">
        <w:rPr>
          <w:rFonts w:cstheme="minorHAnsi"/>
          <w:color w:val="000000"/>
          <w:sz w:val="24"/>
          <w:szCs w:val="24"/>
        </w:rPr>
        <w:t xml:space="preserve"> </w:t>
      </w:r>
      <w:r w:rsidR="002502D8" w:rsidRPr="001268E7">
        <w:rPr>
          <w:rFonts w:cstheme="minorHAnsi"/>
          <w:color w:val="000000"/>
          <w:sz w:val="24"/>
          <w:szCs w:val="24"/>
        </w:rPr>
        <w:t>Z jednej strony</w:t>
      </w:r>
      <w:r w:rsidRPr="001268E7">
        <w:rPr>
          <w:rFonts w:cstheme="minorHAnsi"/>
          <w:color w:val="000000"/>
          <w:sz w:val="24"/>
          <w:szCs w:val="24"/>
        </w:rPr>
        <w:t xml:space="preserve"> obserwuje się relatywnie dobrze rozwinięty sektor małych </w:t>
      </w:r>
      <w:r w:rsidRPr="001268E7">
        <w:rPr>
          <w:rFonts w:cstheme="minorHAnsi"/>
          <w:color w:val="000000"/>
          <w:sz w:val="24"/>
          <w:szCs w:val="24"/>
        </w:rPr>
        <w:lastRenderedPageBreak/>
        <w:t>i średnich przedsiębiorstw.</w:t>
      </w:r>
      <w:r w:rsidR="003B42AD" w:rsidRPr="001268E7">
        <w:rPr>
          <w:rFonts w:cstheme="minorHAnsi"/>
          <w:color w:val="000000"/>
          <w:sz w:val="24"/>
          <w:szCs w:val="24"/>
        </w:rPr>
        <w:t xml:space="preserve"> </w:t>
      </w:r>
      <w:r w:rsidRPr="001268E7">
        <w:rPr>
          <w:rFonts w:cstheme="minorHAnsi"/>
          <w:color w:val="000000"/>
          <w:sz w:val="24"/>
          <w:szCs w:val="24"/>
        </w:rPr>
        <w:t>W 2013 r. liczba zarejestrowanych podmiotów gospodarczych wyniosła 100 na 1000 mieszkańców w polskiej części. W ostatnich latach liczba podmiotów szybko wzrosła i prawie dorównała poziomowi średniej krajowej.</w:t>
      </w:r>
      <w:r w:rsidR="003B42AD" w:rsidRPr="001268E7">
        <w:rPr>
          <w:rFonts w:cstheme="minorHAnsi"/>
          <w:color w:val="000000"/>
          <w:sz w:val="24"/>
          <w:szCs w:val="24"/>
        </w:rPr>
        <w:t xml:space="preserve"> </w:t>
      </w:r>
      <w:r w:rsidRPr="001268E7">
        <w:rPr>
          <w:rFonts w:cstheme="minorHAnsi"/>
          <w:color w:val="000000"/>
          <w:sz w:val="24"/>
          <w:szCs w:val="24"/>
        </w:rPr>
        <w:t>W części rosyjskiej liczba podmiotów gospodarczych była niższa, a mianowicie 55 działalności na 1000 mieszkańców, tj. wartość, która była niemal dwa razy wyższa od średniej krajowej.</w:t>
      </w:r>
      <w:r w:rsidR="003B42AD" w:rsidRPr="001268E7">
        <w:rPr>
          <w:rFonts w:cstheme="minorHAnsi"/>
          <w:color w:val="000000"/>
          <w:sz w:val="24"/>
          <w:szCs w:val="24"/>
        </w:rPr>
        <w:t xml:space="preserve"> </w:t>
      </w:r>
    </w:p>
    <w:p w:rsidR="003B42AD" w:rsidRPr="001268E7" w:rsidRDefault="003946A9" w:rsidP="003946A9">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 xml:space="preserve">Region </w:t>
      </w:r>
      <w:r w:rsidR="002502D8" w:rsidRPr="001268E7">
        <w:rPr>
          <w:rFonts w:cstheme="minorHAnsi"/>
          <w:color w:val="000000"/>
          <w:sz w:val="24"/>
          <w:szCs w:val="24"/>
        </w:rPr>
        <w:t>przy</w:t>
      </w:r>
      <w:r w:rsidRPr="001268E7">
        <w:rPr>
          <w:rFonts w:cstheme="minorHAnsi"/>
          <w:color w:val="000000"/>
          <w:sz w:val="24"/>
          <w:szCs w:val="24"/>
        </w:rPr>
        <w:t>graniczny charakteryzuje się nieznacznym potencjałem tranzytowym, pomimo swej lokalizacji w trójkącie Ryga</w:t>
      </w:r>
      <w:r w:rsidR="00A24AE9" w:rsidRPr="001268E7">
        <w:rPr>
          <w:rFonts w:cstheme="minorHAnsi"/>
          <w:color w:val="000000"/>
          <w:sz w:val="24"/>
          <w:szCs w:val="24"/>
        </w:rPr>
        <w:t>-Kaliningrad-Gdańsk, w części</w:t>
      </w:r>
      <w:r w:rsidRPr="001268E7">
        <w:rPr>
          <w:rFonts w:cstheme="minorHAnsi"/>
          <w:color w:val="000000"/>
          <w:sz w:val="24"/>
          <w:szCs w:val="24"/>
        </w:rPr>
        <w:t xml:space="preserve"> pierwszego paneuropejskiego korytarza transportowego.</w:t>
      </w:r>
      <w:r w:rsidR="003B42AD" w:rsidRPr="001268E7">
        <w:rPr>
          <w:rFonts w:cstheme="minorHAnsi"/>
          <w:color w:val="000000"/>
          <w:sz w:val="24"/>
          <w:szCs w:val="24"/>
        </w:rPr>
        <w:t xml:space="preserve"> </w:t>
      </w:r>
      <w:r w:rsidRPr="001268E7">
        <w:rPr>
          <w:rFonts w:cstheme="minorHAnsi"/>
          <w:color w:val="000000"/>
          <w:sz w:val="24"/>
          <w:szCs w:val="24"/>
        </w:rPr>
        <w:t>Z drugiej strony, region jest znakomitym węzłem transportu morskiego, z kompleksem portów morskich w Gdyni, Gdańsku i Kaliningradzie.</w:t>
      </w:r>
      <w:r w:rsidR="003B42AD" w:rsidRPr="001268E7">
        <w:rPr>
          <w:rFonts w:cstheme="minorHAnsi"/>
          <w:color w:val="000000"/>
          <w:sz w:val="24"/>
          <w:szCs w:val="24"/>
        </w:rPr>
        <w:t xml:space="preserve"> </w:t>
      </w:r>
      <w:r w:rsidRPr="001268E7">
        <w:rPr>
          <w:color w:val="000000"/>
          <w:sz w:val="24"/>
        </w:rPr>
        <w:t>Aby w pełni korzystać z potencjału obszaru w zakresie portów morskich i transportu morskiego oraz aby osiągnąć równy dostęp do wszystkich portów morskich Zalewu Wiślanego</w:t>
      </w:r>
      <w:r w:rsidR="00A24AE9" w:rsidRPr="001268E7">
        <w:rPr>
          <w:color w:val="000000"/>
          <w:sz w:val="24"/>
        </w:rPr>
        <w:t>,</w:t>
      </w:r>
      <w:r w:rsidRPr="001268E7">
        <w:rPr>
          <w:color w:val="000000"/>
          <w:sz w:val="24"/>
        </w:rPr>
        <w:t xml:space="preserve"> konieczne są dalsze praktyczne usprawnienia.</w:t>
      </w:r>
      <w:r w:rsidR="00A27C78" w:rsidRPr="001268E7">
        <w:rPr>
          <w:color w:val="000000"/>
          <w:sz w:val="24"/>
        </w:rPr>
        <w:t xml:space="preserve"> </w:t>
      </w:r>
      <w:r w:rsidRPr="001268E7">
        <w:rPr>
          <w:rFonts w:cstheme="minorHAnsi"/>
          <w:color w:val="000000"/>
          <w:sz w:val="24"/>
          <w:szCs w:val="24"/>
        </w:rPr>
        <w:t>Drogi krajowe prowadzące do przejść granicznych, z wyjątkiem trasy Elbląg-Kaliningrad, która została odnowiona i zmodernizowana do standardu drogi ekspresowej S22, nie mają podwyższonego standardu (DK54, DK51, DK65). Poza tym, pomimo dobrze ustanowionych pasażerskich połączeń kolejowych, tylko jedno z nich jest nadal obsługiwane, tj.</w:t>
      </w:r>
      <w:r w:rsidR="003B42AD" w:rsidRPr="001268E7">
        <w:rPr>
          <w:rFonts w:cstheme="minorHAnsi"/>
          <w:color w:val="000000"/>
          <w:sz w:val="24"/>
          <w:szCs w:val="24"/>
        </w:rPr>
        <w:t xml:space="preserve"> </w:t>
      </w:r>
      <w:r w:rsidRPr="001268E7">
        <w:rPr>
          <w:rFonts w:cstheme="minorHAnsi"/>
          <w:color w:val="000000"/>
          <w:sz w:val="24"/>
          <w:szCs w:val="24"/>
        </w:rPr>
        <w:t>Gdańsk-Kaliningrad.</w:t>
      </w:r>
      <w:r w:rsidR="003B42AD" w:rsidRPr="001268E7">
        <w:rPr>
          <w:rFonts w:cstheme="minorHAnsi"/>
          <w:color w:val="000000"/>
          <w:sz w:val="24"/>
          <w:szCs w:val="24"/>
        </w:rPr>
        <w:t xml:space="preserve"> </w:t>
      </w:r>
    </w:p>
    <w:p w:rsidR="003B42AD" w:rsidRPr="001268E7" w:rsidRDefault="00EC6F2E" w:rsidP="00EC6F2E">
      <w:pPr>
        <w:shd w:val="clear" w:color="auto" w:fill="FFFFFF" w:themeFill="background1"/>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color w:val="000000"/>
          <w:sz w:val="24"/>
          <w:szCs w:val="24"/>
        </w:rPr>
        <w:t xml:space="preserve">Na granicy polsko-rosyjskiej istniało siedem przejść granicznych (4 drogowe przejścia graniczne i 3 kolejowe przejścia graniczne, </w:t>
      </w:r>
      <w:r w:rsidR="0084492E" w:rsidRPr="001268E7">
        <w:rPr>
          <w:rFonts w:cstheme="minorHAnsi"/>
          <w:color w:val="000000"/>
          <w:sz w:val="24"/>
          <w:szCs w:val="24"/>
        </w:rPr>
        <w:t>p</w:t>
      </w:r>
      <w:r w:rsidRPr="001268E7">
        <w:rPr>
          <w:rFonts w:cstheme="minorHAnsi"/>
          <w:color w:val="000000"/>
          <w:sz w:val="24"/>
          <w:szCs w:val="24"/>
        </w:rPr>
        <w:t>.5) obsługujących regularny ruch pasażerski.</w:t>
      </w:r>
      <w:r w:rsidR="003B42AD" w:rsidRPr="001268E7">
        <w:rPr>
          <w:rFonts w:cstheme="minorHAnsi"/>
          <w:color w:val="000000"/>
          <w:sz w:val="24"/>
          <w:szCs w:val="24"/>
        </w:rPr>
        <w:t xml:space="preserve"> </w:t>
      </w:r>
      <w:r w:rsidRPr="001268E7">
        <w:rPr>
          <w:rFonts w:cstheme="minorHAnsi"/>
          <w:color w:val="000000"/>
          <w:sz w:val="24"/>
          <w:szCs w:val="24"/>
        </w:rPr>
        <w:t>Ruch rozkładał się raczej równomiernie.</w:t>
      </w:r>
      <w:r w:rsidR="003B42AD" w:rsidRPr="001268E7">
        <w:rPr>
          <w:rFonts w:cstheme="minorHAnsi"/>
          <w:color w:val="000000"/>
          <w:sz w:val="24"/>
          <w:szCs w:val="24"/>
        </w:rPr>
        <w:t xml:space="preserve"> </w:t>
      </w:r>
      <w:r w:rsidRPr="001268E7">
        <w:rPr>
          <w:rFonts w:cstheme="minorHAnsi"/>
          <w:color w:val="000000"/>
          <w:sz w:val="24"/>
          <w:szCs w:val="24"/>
        </w:rPr>
        <w:t>Znaczenie kolejowego przejścia granicznego w Braniewie dla ruchu pasażerskiego jest marginalne.</w:t>
      </w:r>
      <w:r w:rsidR="003B42AD" w:rsidRPr="001268E7">
        <w:rPr>
          <w:rFonts w:cstheme="minorHAnsi"/>
          <w:color w:val="000000"/>
          <w:sz w:val="24"/>
          <w:szCs w:val="24"/>
        </w:rPr>
        <w:t xml:space="preserve"> </w:t>
      </w:r>
      <w:r w:rsidRPr="001268E7">
        <w:rPr>
          <w:rFonts w:cstheme="minorHAnsi"/>
          <w:color w:val="000000"/>
          <w:sz w:val="24"/>
          <w:szCs w:val="24"/>
        </w:rPr>
        <w:t>Najwięk</w:t>
      </w:r>
      <w:r w:rsidR="002E4F70" w:rsidRPr="001268E7">
        <w:rPr>
          <w:rFonts w:cstheme="minorHAnsi"/>
          <w:color w:val="000000"/>
          <w:sz w:val="24"/>
          <w:szCs w:val="24"/>
        </w:rPr>
        <w:t>szy ruch (na poziomie 5 mln</w:t>
      </w:r>
      <w:r w:rsidRPr="001268E7">
        <w:rPr>
          <w:rFonts w:cstheme="minorHAnsi"/>
          <w:color w:val="000000"/>
          <w:sz w:val="24"/>
          <w:szCs w:val="24"/>
        </w:rPr>
        <w:t xml:space="preserve"> przekroczeń rocznie) został odnotowany na granicy polsko-rosyjskiej w</w:t>
      </w:r>
      <w:r w:rsidR="00A24AE9" w:rsidRPr="001268E7">
        <w:rPr>
          <w:rFonts w:cstheme="minorHAnsi"/>
          <w:color w:val="000000"/>
          <w:sz w:val="24"/>
          <w:szCs w:val="24"/>
        </w:rPr>
        <w:t xml:space="preserve"> 1997 r. Od tego czasu liczba przekroczeń</w:t>
      </w:r>
      <w:r w:rsidR="002E4F70" w:rsidRPr="001268E7">
        <w:rPr>
          <w:rFonts w:cstheme="minorHAnsi"/>
          <w:color w:val="000000"/>
          <w:sz w:val="24"/>
          <w:szCs w:val="24"/>
        </w:rPr>
        <w:t xml:space="preserve"> spadła do 2,3 mln</w:t>
      </w:r>
      <w:r w:rsidRPr="001268E7">
        <w:rPr>
          <w:rFonts w:cstheme="minorHAnsi"/>
          <w:color w:val="000000"/>
          <w:sz w:val="24"/>
          <w:szCs w:val="24"/>
        </w:rPr>
        <w:t xml:space="preserve"> przekroczeń w 2011 r. Sytuacja zmieniła się wraz z wprowadzeniem </w:t>
      </w:r>
      <w:r w:rsidR="00AE62B4">
        <w:rPr>
          <w:rFonts w:cstheme="minorHAnsi"/>
          <w:color w:val="000000"/>
          <w:sz w:val="24"/>
          <w:szCs w:val="24"/>
        </w:rPr>
        <w:t>małego</w:t>
      </w:r>
      <w:r w:rsidR="00AE62B4" w:rsidRPr="001268E7">
        <w:rPr>
          <w:rFonts w:cstheme="minorHAnsi"/>
          <w:color w:val="000000"/>
          <w:sz w:val="24"/>
          <w:szCs w:val="24"/>
        </w:rPr>
        <w:t xml:space="preserve"> </w:t>
      </w:r>
      <w:r w:rsidRPr="001268E7">
        <w:rPr>
          <w:rFonts w:cstheme="minorHAnsi"/>
          <w:color w:val="000000"/>
          <w:sz w:val="24"/>
          <w:szCs w:val="24"/>
        </w:rPr>
        <w:t>ruchu granicznego, co przyniosło wzrost w liczbie pr</w:t>
      </w:r>
      <w:r w:rsidR="002E4F70" w:rsidRPr="001268E7">
        <w:rPr>
          <w:rFonts w:cstheme="minorHAnsi"/>
          <w:color w:val="000000"/>
          <w:sz w:val="24"/>
          <w:szCs w:val="24"/>
        </w:rPr>
        <w:t>zekroczeń do poziomu 6,5 mln</w:t>
      </w:r>
      <w:r w:rsidRPr="001268E7">
        <w:rPr>
          <w:rFonts w:cstheme="minorHAnsi"/>
          <w:color w:val="000000"/>
          <w:sz w:val="24"/>
          <w:szCs w:val="24"/>
        </w:rPr>
        <w:t xml:space="preserve"> przekroczeń w 2014 r.</w:t>
      </w:r>
      <w:r w:rsidRPr="001268E7">
        <w:rPr>
          <w:rStyle w:val="Odwoanieprzypisudolnego"/>
          <w:rFonts w:cstheme="minorHAnsi"/>
          <w:color w:val="000000"/>
          <w:sz w:val="24"/>
          <w:szCs w:val="24"/>
        </w:rPr>
        <w:footnoteReference w:id="2"/>
      </w:r>
      <w:r w:rsidR="00AE62B4">
        <w:rPr>
          <w:rFonts w:cstheme="minorHAnsi"/>
          <w:color w:val="000000"/>
          <w:sz w:val="24"/>
          <w:szCs w:val="24"/>
        </w:rPr>
        <w:t xml:space="preserve"> i 6,1 mln przekroczeń w 2015 r</w:t>
      </w:r>
      <w:r w:rsidR="00AE62B4">
        <w:rPr>
          <w:rStyle w:val="Odwoanieprzypisudolnego"/>
          <w:rFonts w:cstheme="minorHAnsi"/>
          <w:color w:val="000000"/>
          <w:sz w:val="24"/>
          <w:szCs w:val="24"/>
        </w:rPr>
        <w:footnoteReference w:id="3"/>
      </w:r>
      <w:r w:rsidRPr="001268E7">
        <w:rPr>
          <w:rFonts w:cstheme="minorHAnsi"/>
          <w:color w:val="000000"/>
          <w:sz w:val="24"/>
          <w:szCs w:val="24"/>
        </w:rPr>
        <w:t>.</w:t>
      </w:r>
      <w:r w:rsidR="003B42AD" w:rsidRPr="001268E7">
        <w:rPr>
          <w:rFonts w:cstheme="minorHAnsi"/>
          <w:color w:val="000000"/>
          <w:sz w:val="24"/>
          <w:szCs w:val="24"/>
        </w:rPr>
        <w:t xml:space="preserve"> </w:t>
      </w:r>
      <w:r w:rsidRPr="001268E7">
        <w:rPr>
          <w:rFonts w:cstheme="minorHAnsi"/>
          <w:color w:val="000000"/>
          <w:sz w:val="24"/>
          <w:szCs w:val="24"/>
        </w:rPr>
        <w:t>W wyniku tego przepustowość przejść granicznych dla wszystkich rodzajów ruchu jest niewystarczająca, co prowadzi do zatorów powodujących wydłużenie czasu oczekiwania na przekroczenie granicy.</w:t>
      </w:r>
      <w:r w:rsidR="003B42AD" w:rsidRPr="001268E7">
        <w:rPr>
          <w:rFonts w:cstheme="minorHAnsi"/>
          <w:sz w:val="24"/>
          <w:szCs w:val="24"/>
        </w:rPr>
        <w:t xml:space="preserve"> </w:t>
      </w:r>
    </w:p>
    <w:p w:rsidR="003B42AD" w:rsidRPr="001268E7" w:rsidRDefault="00EC6F2E" w:rsidP="00EC0B80">
      <w:pPr>
        <w:shd w:val="clear" w:color="auto" w:fill="FFFFFF" w:themeFill="background1"/>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Obecność granicy państwowej jest jedną z głównych barier hamujących rozwój transgranicznej współpracy pomiędzy polskimi regionami a obwodem kaliningradzkim.</w:t>
      </w:r>
      <w:r w:rsidR="003B42AD" w:rsidRPr="001268E7">
        <w:rPr>
          <w:rFonts w:cstheme="minorHAnsi"/>
          <w:sz w:val="24"/>
          <w:szCs w:val="24"/>
        </w:rPr>
        <w:t xml:space="preserve"> </w:t>
      </w:r>
      <w:r w:rsidRPr="001268E7">
        <w:rPr>
          <w:rFonts w:cstheme="minorHAnsi"/>
          <w:sz w:val="24"/>
          <w:szCs w:val="24"/>
        </w:rPr>
        <w:t>W przypadku tej szczególnej granicy (zewnętrzna granica Unii Europejskiej) reżim graniczny może być opisany jako "twardy" - ze względu na prawne i proceduralne wymagania, które muszą być spełnione zarówno w zakresie przepływu towarów i usług, jak również rozwoju społeczno-kulturowej współpracy.</w:t>
      </w:r>
      <w:r w:rsidR="003B42AD" w:rsidRPr="001268E7">
        <w:rPr>
          <w:rFonts w:cstheme="minorHAnsi"/>
          <w:sz w:val="24"/>
          <w:szCs w:val="24"/>
        </w:rPr>
        <w:t xml:space="preserve"> </w:t>
      </w:r>
      <w:r w:rsidRPr="001268E7">
        <w:rPr>
          <w:rFonts w:cstheme="minorHAnsi"/>
          <w:sz w:val="24"/>
          <w:szCs w:val="24"/>
        </w:rPr>
        <w:t>Reżim wizowy oraz infrastruktura przejść granicznych (długi czas oczekiwania na przejście przez granicę) sp</w:t>
      </w:r>
      <w:r w:rsidR="00A24AE9" w:rsidRPr="001268E7">
        <w:rPr>
          <w:rFonts w:cstheme="minorHAnsi"/>
          <w:sz w:val="24"/>
          <w:szCs w:val="24"/>
        </w:rPr>
        <w:t>owalniają transgraniczne interakcje</w:t>
      </w:r>
      <w:r w:rsidRPr="001268E7">
        <w:rPr>
          <w:rFonts w:cstheme="minorHAnsi"/>
          <w:sz w:val="24"/>
          <w:szCs w:val="24"/>
        </w:rPr>
        <w:t>.</w:t>
      </w:r>
      <w:r w:rsidR="003B42AD" w:rsidRPr="001268E7">
        <w:rPr>
          <w:rFonts w:cstheme="minorHAnsi"/>
          <w:sz w:val="24"/>
          <w:szCs w:val="24"/>
        </w:rPr>
        <w:t xml:space="preserve"> </w:t>
      </w:r>
      <w:r w:rsidR="00EC0B80" w:rsidRPr="001268E7">
        <w:rPr>
          <w:rFonts w:cstheme="minorHAnsi"/>
          <w:sz w:val="24"/>
          <w:szCs w:val="24"/>
        </w:rPr>
        <w:t>Umowa o małym ruchu granicznym (bezwizowym) usprawnia kontrole graniczne jedynie w małym stopniu.</w:t>
      </w:r>
    </w:p>
    <w:p w:rsidR="003B42AD" w:rsidRPr="001268E7" w:rsidRDefault="00EC0B80" w:rsidP="00EC0B80">
      <w:pPr>
        <w:spacing w:before="100" w:beforeAutospacing="1" w:after="100" w:afterAutospacing="1" w:line="240" w:lineRule="auto"/>
        <w:rPr>
          <w:rStyle w:val="Wyrnieniedelikatne"/>
        </w:rPr>
      </w:pPr>
      <w:r w:rsidRPr="001268E7">
        <w:rPr>
          <w:rStyle w:val="Wyrnieniedelikatne"/>
        </w:rPr>
        <w:t>Kapitał ludzki i społeczny</w:t>
      </w:r>
      <w:r w:rsidR="003B42AD" w:rsidRPr="001268E7">
        <w:rPr>
          <w:rStyle w:val="Wyrnieniedelikatne"/>
        </w:rPr>
        <w:t xml:space="preserve"> </w:t>
      </w:r>
    </w:p>
    <w:p w:rsidR="003B42AD" w:rsidRPr="001268E7" w:rsidRDefault="00EC0B80" w:rsidP="00EC0B80">
      <w:pPr>
        <w:autoSpaceDE w:val="0"/>
        <w:autoSpaceDN w:val="0"/>
        <w:adjustRightInd w:val="0"/>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Populacja obszaru może być opisana jako raczej wykształcona (w porównaniu do średnich krajowych) i stosunkowo młoda.</w:t>
      </w:r>
      <w:r w:rsidR="003B42AD" w:rsidRPr="001268E7">
        <w:rPr>
          <w:rFonts w:cstheme="minorHAnsi"/>
          <w:spacing w:val="4"/>
          <w:sz w:val="24"/>
          <w:szCs w:val="24"/>
        </w:rPr>
        <w:t xml:space="preserve"> </w:t>
      </w:r>
      <w:r w:rsidRPr="001268E7">
        <w:rPr>
          <w:rFonts w:cstheme="minorHAnsi"/>
          <w:spacing w:val="4"/>
          <w:sz w:val="24"/>
          <w:szCs w:val="24"/>
        </w:rPr>
        <w:t>Siła robocza na obszarze Programu jest stosunkowo wykwalifikowana, wykształcona i posiada doświadczenie w różnych branżach, MŚP i działalności rolniczej.</w:t>
      </w:r>
      <w:r w:rsidR="003B42AD" w:rsidRPr="001268E7">
        <w:rPr>
          <w:rFonts w:cstheme="minorHAnsi"/>
          <w:spacing w:val="4"/>
          <w:sz w:val="24"/>
          <w:szCs w:val="24"/>
        </w:rPr>
        <w:t xml:space="preserve"> </w:t>
      </w:r>
      <w:r w:rsidRPr="001268E7">
        <w:rPr>
          <w:rFonts w:cstheme="minorHAnsi"/>
          <w:spacing w:val="4"/>
          <w:sz w:val="24"/>
          <w:szCs w:val="24"/>
        </w:rPr>
        <w:t>Sto</w:t>
      </w:r>
      <w:r w:rsidR="00A24AE9" w:rsidRPr="001268E7">
        <w:rPr>
          <w:rFonts w:cstheme="minorHAnsi"/>
          <w:spacing w:val="4"/>
          <w:sz w:val="24"/>
          <w:szCs w:val="24"/>
        </w:rPr>
        <w:t>py zatrudnienia</w:t>
      </w:r>
      <w:r w:rsidRPr="001268E7">
        <w:rPr>
          <w:rFonts w:cstheme="minorHAnsi"/>
          <w:spacing w:val="4"/>
          <w:sz w:val="24"/>
          <w:szCs w:val="24"/>
        </w:rPr>
        <w:t xml:space="preserve"> mężczyzn i kobiet </w:t>
      </w:r>
      <w:r w:rsidR="00A24AE9" w:rsidRPr="001268E7">
        <w:rPr>
          <w:rFonts w:cstheme="minorHAnsi"/>
          <w:spacing w:val="4"/>
          <w:sz w:val="24"/>
          <w:szCs w:val="24"/>
        </w:rPr>
        <w:t xml:space="preserve">aktywnych zawodowo </w:t>
      </w:r>
      <w:r w:rsidRPr="001268E7">
        <w:rPr>
          <w:rFonts w:cstheme="minorHAnsi"/>
          <w:spacing w:val="4"/>
          <w:sz w:val="24"/>
          <w:szCs w:val="24"/>
        </w:rPr>
        <w:t xml:space="preserve">są </w:t>
      </w:r>
      <w:r w:rsidRPr="001268E7">
        <w:rPr>
          <w:rFonts w:cstheme="minorHAnsi"/>
          <w:spacing w:val="4"/>
          <w:sz w:val="24"/>
          <w:szCs w:val="24"/>
        </w:rPr>
        <w:lastRenderedPageBreak/>
        <w:t>porównywalne.</w:t>
      </w:r>
      <w:r w:rsidR="003B42AD" w:rsidRPr="001268E7">
        <w:rPr>
          <w:rFonts w:cstheme="minorHAnsi"/>
          <w:spacing w:val="4"/>
          <w:sz w:val="24"/>
          <w:szCs w:val="24"/>
        </w:rPr>
        <w:t xml:space="preserve"> </w:t>
      </w:r>
      <w:r w:rsidR="000365A3" w:rsidRPr="001268E7">
        <w:rPr>
          <w:rFonts w:cstheme="minorHAnsi"/>
          <w:spacing w:val="4"/>
          <w:sz w:val="24"/>
          <w:szCs w:val="24"/>
        </w:rPr>
        <w:t>Na przedmiotowym obszarze znajduje się wiele uniwersytetów, uczelni</w:t>
      </w:r>
      <w:r w:rsidRPr="001268E7">
        <w:rPr>
          <w:rFonts w:cstheme="minorHAnsi"/>
          <w:spacing w:val="4"/>
          <w:sz w:val="24"/>
          <w:szCs w:val="24"/>
        </w:rPr>
        <w:t xml:space="preserve">, </w:t>
      </w:r>
      <w:r w:rsidR="000365A3" w:rsidRPr="001268E7">
        <w:rPr>
          <w:rFonts w:cstheme="minorHAnsi"/>
          <w:spacing w:val="4"/>
          <w:sz w:val="24"/>
          <w:szCs w:val="24"/>
        </w:rPr>
        <w:t>placówek prowadzących szkolenia zawodowe i innych instytucji edukacyjnych</w:t>
      </w:r>
      <w:r w:rsidRPr="001268E7">
        <w:rPr>
          <w:rFonts w:cstheme="minorHAnsi"/>
          <w:spacing w:val="4"/>
          <w:sz w:val="24"/>
          <w:szCs w:val="24"/>
        </w:rPr>
        <w:t>.</w:t>
      </w:r>
      <w:r w:rsidR="003B42AD" w:rsidRPr="001268E7">
        <w:rPr>
          <w:rFonts w:cstheme="minorHAnsi"/>
          <w:spacing w:val="4"/>
          <w:sz w:val="24"/>
          <w:szCs w:val="24"/>
        </w:rPr>
        <w:t xml:space="preserve"> </w:t>
      </w:r>
      <w:r w:rsidRPr="001268E7">
        <w:rPr>
          <w:rFonts w:cstheme="minorHAnsi"/>
          <w:spacing w:val="4"/>
          <w:sz w:val="24"/>
          <w:szCs w:val="24"/>
        </w:rPr>
        <w:t>Niemniej jednak, wciąż konieczna jest reorganizacja programów szkolnych, ponieważ brakuje szkoleń w zakresie specjalizacji, na które jest zapotrzebowanie.</w:t>
      </w:r>
      <w:r w:rsidR="003B42AD" w:rsidRPr="001268E7">
        <w:rPr>
          <w:rFonts w:cstheme="minorHAnsi"/>
          <w:spacing w:val="4"/>
          <w:sz w:val="24"/>
          <w:szCs w:val="24"/>
        </w:rPr>
        <w:t xml:space="preserve"> </w:t>
      </w:r>
      <w:r w:rsidR="000365A3" w:rsidRPr="001268E7">
        <w:rPr>
          <w:rFonts w:cstheme="minorHAnsi"/>
          <w:spacing w:val="4"/>
          <w:sz w:val="24"/>
          <w:szCs w:val="24"/>
        </w:rPr>
        <w:t>Systemy edukacji, podnoszenia kwalifikacji i przekwalifikowania osób dorosłych wymagają poprawy</w:t>
      </w:r>
      <w:r w:rsidRPr="001268E7">
        <w:rPr>
          <w:rFonts w:cstheme="minorHAnsi"/>
          <w:spacing w:val="4"/>
          <w:sz w:val="24"/>
          <w:szCs w:val="24"/>
        </w:rPr>
        <w:t>.</w:t>
      </w:r>
      <w:r w:rsidR="003B42AD" w:rsidRPr="001268E7">
        <w:rPr>
          <w:rFonts w:cstheme="minorHAnsi"/>
          <w:spacing w:val="4"/>
          <w:sz w:val="24"/>
          <w:szCs w:val="24"/>
        </w:rPr>
        <w:t xml:space="preserve"> </w:t>
      </w:r>
      <w:r w:rsidRPr="001268E7">
        <w:rPr>
          <w:spacing w:val="4"/>
          <w:sz w:val="24"/>
        </w:rPr>
        <w:t>Wskaźnik wyższego wykształcenia jest na podobnym poziomie po obydwu stronach granicy.</w:t>
      </w:r>
      <w:r w:rsidR="003B42AD" w:rsidRPr="001268E7">
        <w:rPr>
          <w:rFonts w:cstheme="minorHAnsi"/>
          <w:spacing w:val="4"/>
          <w:sz w:val="24"/>
          <w:szCs w:val="24"/>
        </w:rPr>
        <w:t xml:space="preserve"> </w:t>
      </w:r>
      <w:r w:rsidRPr="001268E7">
        <w:rPr>
          <w:rFonts w:cstheme="minorHAnsi"/>
          <w:spacing w:val="4"/>
          <w:sz w:val="24"/>
          <w:szCs w:val="24"/>
        </w:rPr>
        <w:t>W 2011 r. udział populacji z wyższym stopniem wykształcenia wyniósł około 16% zarówno w polskiej, jak i rosyjskiej części regionu transgranicznego.</w:t>
      </w:r>
    </w:p>
    <w:p w:rsidR="003B42AD" w:rsidRPr="001268E7" w:rsidRDefault="00EC0B80" w:rsidP="00ED6D37">
      <w:pPr>
        <w:pStyle w:val="Default"/>
        <w:spacing w:before="100" w:beforeAutospacing="1" w:after="100" w:afterAutospacing="1"/>
        <w:jc w:val="both"/>
        <w:rPr>
          <w:rFonts w:asciiTheme="minorHAnsi" w:hAnsiTheme="minorHAnsi"/>
          <w:color w:val="auto"/>
          <w:spacing w:val="4"/>
        </w:rPr>
      </w:pPr>
      <w:r w:rsidRPr="001268E7">
        <w:rPr>
          <w:rFonts w:asciiTheme="minorHAnsi" w:hAnsiTheme="minorHAnsi"/>
          <w:color w:val="auto"/>
          <w:spacing w:val="4"/>
        </w:rPr>
        <w:t>Dostęp do edukacji wyższej w całym regionie transgranicznym można uznać za dobry.</w:t>
      </w:r>
      <w:r w:rsidR="003B42AD" w:rsidRPr="001268E7">
        <w:rPr>
          <w:rFonts w:asciiTheme="minorHAnsi" w:hAnsiTheme="minorHAnsi"/>
          <w:color w:val="auto"/>
          <w:spacing w:val="4"/>
        </w:rPr>
        <w:t xml:space="preserve"> </w:t>
      </w:r>
      <w:r w:rsidRPr="001268E7">
        <w:rPr>
          <w:rFonts w:asciiTheme="minorHAnsi" w:hAnsiTheme="minorHAnsi"/>
          <w:color w:val="auto"/>
          <w:spacing w:val="4"/>
        </w:rPr>
        <w:t>W obwodzie kaliningradzkim działalność prowadzi Bałtycki Uniwersytet Federalny im. Immanuela Kanta, Uniwersytet Techniczny w Kaliningradzie oraz inne uniwersytety i ośrodki badawcze.</w:t>
      </w:r>
      <w:r w:rsidR="003B42AD" w:rsidRPr="001268E7">
        <w:rPr>
          <w:color w:val="auto"/>
          <w:spacing w:val="4"/>
        </w:rPr>
        <w:t xml:space="preserve"> </w:t>
      </w:r>
      <w:r w:rsidRPr="001268E7">
        <w:rPr>
          <w:color w:val="auto"/>
          <w:spacing w:val="4"/>
        </w:rPr>
        <w:t>W regionach polskich główne ośrodki akademickie znajdują się w Trójmieście, Białymstoku</w:t>
      </w:r>
      <w:r w:rsidR="00ED56FC">
        <w:rPr>
          <w:color w:val="auto"/>
          <w:spacing w:val="4"/>
        </w:rPr>
        <w:t>,</w:t>
      </w:r>
      <w:r w:rsidRPr="001268E7">
        <w:rPr>
          <w:color w:val="auto"/>
          <w:spacing w:val="4"/>
        </w:rPr>
        <w:t xml:space="preserve"> Olsztynie</w:t>
      </w:r>
      <w:r w:rsidR="00ED56FC">
        <w:rPr>
          <w:color w:val="auto"/>
          <w:spacing w:val="4"/>
        </w:rPr>
        <w:t xml:space="preserve"> i Suwałkach</w:t>
      </w:r>
      <w:r w:rsidRPr="001268E7">
        <w:rPr>
          <w:color w:val="auto"/>
          <w:spacing w:val="4"/>
        </w:rPr>
        <w:t xml:space="preserve">, gdzie działalność prowadzi Akademia Morska w Gdyni, </w:t>
      </w:r>
      <w:r w:rsidR="000365A3" w:rsidRPr="001268E7">
        <w:rPr>
          <w:color w:val="auto"/>
          <w:spacing w:val="4"/>
        </w:rPr>
        <w:t xml:space="preserve">Uniwersytet Gdański, </w:t>
      </w:r>
      <w:r w:rsidRPr="001268E7">
        <w:rPr>
          <w:color w:val="auto"/>
          <w:spacing w:val="4"/>
        </w:rPr>
        <w:t>Uniwersytet Medyczny w Białymstoku, Uniwersytet w Białymstoku</w:t>
      </w:r>
      <w:r w:rsidR="00205F1E">
        <w:rPr>
          <w:color w:val="auto"/>
          <w:spacing w:val="4"/>
        </w:rPr>
        <w:t>, Wyższa Szkoła Zawodowa w Suwałkach</w:t>
      </w:r>
      <w:r w:rsidRPr="001268E7">
        <w:rPr>
          <w:color w:val="auto"/>
          <w:spacing w:val="4"/>
        </w:rPr>
        <w:t xml:space="preserve"> oraz Uniwersytet Warmińsko-Mazurski w Olsztynie.</w:t>
      </w:r>
      <w:r w:rsidR="003B42AD" w:rsidRPr="001268E7">
        <w:rPr>
          <w:color w:val="auto"/>
          <w:spacing w:val="4"/>
        </w:rPr>
        <w:t xml:space="preserve"> </w:t>
      </w:r>
      <w:r w:rsidRPr="001268E7">
        <w:rPr>
          <w:color w:val="auto"/>
          <w:spacing w:val="4"/>
        </w:rPr>
        <w:t xml:space="preserve">W regionie warmińsko-mazurskim działalność prowadzi również </w:t>
      </w:r>
      <w:r w:rsidR="00ED6D37" w:rsidRPr="001268E7">
        <w:rPr>
          <w:color w:val="auto"/>
          <w:spacing w:val="4"/>
        </w:rPr>
        <w:t>Państwowa Wyższa Szkoła Zawodowa w Elblągu oraz Wyższa Szkoła Policji w Szczytnie.</w:t>
      </w:r>
      <w:r w:rsidR="003B42AD" w:rsidRPr="001268E7">
        <w:rPr>
          <w:rFonts w:asciiTheme="minorHAnsi" w:hAnsiTheme="minorHAnsi"/>
          <w:color w:val="auto"/>
          <w:spacing w:val="4"/>
        </w:rPr>
        <w:t xml:space="preserve"> </w:t>
      </w:r>
      <w:r w:rsidR="00ED6D37" w:rsidRPr="001268E7">
        <w:rPr>
          <w:rFonts w:asciiTheme="minorHAnsi" w:hAnsiTheme="minorHAnsi"/>
          <w:color w:val="auto"/>
          <w:spacing w:val="4"/>
        </w:rPr>
        <w:t>W wyniku powyższego, w roku 2012, w polskiej częś</w:t>
      </w:r>
      <w:r w:rsidR="000365A3" w:rsidRPr="001268E7">
        <w:rPr>
          <w:rFonts w:asciiTheme="minorHAnsi" w:hAnsiTheme="minorHAnsi"/>
          <w:color w:val="auto"/>
          <w:spacing w:val="4"/>
        </w:rPr>
        <w:t>ci obszaru kwalifikowalnego odnotowano</w:t>
      </w:r>
      <w:r w:rsidR="00ED6D37" w:rsidRPr="001268E7">
        <w:rPr>
          <w:rFonts w:asciiTheme="minorHAnsi" w:hAnsiTheme="minorHAnsi"/>
          <w:color w:val="auto"/>
          <w:spacing w:val="4"/>
        </w:rPr>
        <w:t xml:space="preserve"> niemal 40 studentów podyplomowych na 1000 mieszkańców.</w:t>
      </w:r>
      <w:r w:rsidR="003B42AD" w:rsidRPr="001268E7">
        <w:rPr>
          <w:rFonts w:asciiTheme="minorHAnsi" w:hAnsiTheme="minorHAnsi"/>
          <w:color w:val="auto"/>
          <w:spacing w:val="4"/>
        </w:rPr>
        <w:t xml:space="preserve"> </w:t>
      </w:r>
      <w:r w:rsidR="00ED6D37" w:rsidRPr="001268E7">
        <w:rPr>
          <w:rFonts w:asciiTheme="minorHAnsi" w:hAnsiTheme="minorHAnsi"/>
          <w:color w:val="auto"/>
          <w:spacing w:val="4"/>
        </w:rPr>
        <w:t>Podobne wartości zostały odnotowane w obwodzie kaliningradzkim, tj. niemal 35 studentów na 1000 mieszkańcó</w:t>
      </w:r>
      <w:r w:rsidR="000365A3" w:rsidRPr="001268E7">
        <w:rPr>
          <w:rFonts w:asciiTheme="minorHAnsi" w:hAnsiTheme="minorHAnsi"/>
          <w:color w:val="auto"/>
          <w:spacing w:val="4"/>
        </w:rPr>
        <w:t>w (w 2013 r.). Sytuacja dotycząca powyższego aspektu</w:t>
      </w:r>
      <w:r w:rsidR="00ED6D37" w:rsidRPr="001268E7">
        <w:rPr>
          <w:rFonts w:asciiTheme="minorHAnsi" w:hAnsiTheme="minorHAnsi"/>
          <w:color w:val="auto"/>
          <w:spacing w:val="4"/>
        </w:rPr>
        <w:t xml:space="preserve"> po obu stronach granicy nie różniła się znacząco od średniej krajowej obydwu państw.</w:t>
      </w:r>
    </w:p>
    <w:p w:rsidR="003B42AD" w:rsidRPr="001268E7" w:rsidRDefault="00ED6D37" w:rsidP="008F4759">
      <w:pPr>
        <w:autoSpaceDE w:val="0"/>
        <w:autoSpaceDN w:val="0"/>
        <w:adjustRightInd w:val="0"/>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Region wykazuje wysokie wskaźniki umieralności i przedwczesnej umieralności z powodu pewnych chorób cywilizacyjnych, w tym w wyniku powikłań cukrzycy, chorób układu krążenia i raka.</w:t>
      </w:r>
      <w:r w:rsidR="003B42AD" w:rsidRPr="001268E7">
        <w:rPr>
          <w:rFonts w:cstheme="minorHAnsi"/>
          <w:spacing w:val="4"/>
          <w:sz w:val="24"/>
          <w:szCs w:val="24"/>
        </w:rPr>
        <w:t xml:space="preserve"> </w:t>
      </w:r>
      <w:r w:rsidRPr="001268E7">
        <w:rPr>
          <w:rFonts w:cstheme="minorHAnsi"/>
          <w:spacing w:val="4"/>
          <w:sz w:val="24"/>
          <w:szCs w:val="24"/>
        </w:rPr>
        <w:t>Wzrost zachorowań na choroby psychiczne jest również alarmujący.</w:t>
      </w:r>
      <w:r w:rsidR="003B42AD" w:rsidRPr="001268E7">
        <w:rPr>
          <w:rFonts w:cstheme="minorHAnsi"/>
          <w:spacing w:val="4"/>
          <w:sz w:val="24"/>
          <w:szCs w:val="24"/>
        </w:rPr>
        <w:t xml:space="preserve"> </w:t>
      </w:r>
      <w:r w:rsidRPr="001268E7">
        <w:rPr>
          <w:rFonts w:cstheme="minorHAnsi"/>
          <w:spacing w:val="4"/>
          <w:sz w:val="24"/>
          <w:szCs w:val="24"/>
        </w:rPr>
        <w:t>Dostęp do opieki zdrowotnej stopniowo ulega poprawie, jednakże wciąż istnieją problemy ze świadczeniem wyspecjalizowanych usług zdrowotnych.</w:t>
      </w:r>
      <w:r w:rsidR="003B42AD" w:rsidRPr="001268E7">
        <w:rPr>
          <w:rFonts w:cstheme="minorHAnsi"/>
          <w:spacing w:val="4"/>
          <w:sz w:val="24"/>
          <w:szCs w:val="24"/>
        </w:rPr>
        <w:t xml:space="preserve"> </w:t>
      </w:r>
      <w:r w:rsidRPr="001268E7">
        <w:rPr>
          <w:rFonts w:cstheme="minorHAnsi"/>
          <w:spacing w:val="4"/>
          <w:sz w:val="24"/>
          <w:szCs w:val="24"/>
        </w:rPr>
        <w:t xml:space="preserve">Ogólnie rzecz ujmując, obszary, a w szczególności tereny wiejskie, wymagają poprawy w zakresie sieci szpitali/klinik, co pozwoliłoby </w:t>
      </w:r>
      <w:r w:rsidR="003E7A5C" w:rsidRPr="001268E7">
        <w:rPr>
          <w:rFonts w:cstheme="minorHAnsi"/>
          <w:spacing w:val="4"/>
          <w:sz w:val="24"/>
          <w:szCs w:val="24"/>
        </w:rPr>
        <w:t xml:space="preserve">na </w:t>
      </w:r>
      <w:r w:rsidRPr="001268E7">
        <w:rPr>
          <w:rFonts w:cstheme="minorHAnsi"/>
          <w:spacing w:val="4"/>
          <w:sz w:val="24"/>
          <w:szCs w:val="24"/>
        </w:rPr>
        <w:t>przybliżenie podstawowej opieki zdrowotnej do pacjenta.</w:t>
      </w:r>
      <w:r w:rsidR="003B42AD" w:rsidRPr="001268E7">
        <w:rPr>
          <w:rFonts w:cstheme="minorHAnsi"/>
          <w:spacing w:val="4"/>
          <w:sz w:val="24"/>
          <w:szCs w:val="24"/>
        </w:rPr>
        <w:t xml:space="preserve"> </w:t>
      </w:r>
      <w:r w:rsidRPr="001268E7">
        <w:rPr>
          <w:rFonts w:cstheme="minorHAnsi"/>
          <w:spacing w:val="4"/>
          <w:sz w:val="24"/>
          <w:szCs w:val="24"/>
        </w:rPr>
        <w:t>Należy spodziewać si</w:t>
      </w:r>
      <w:r w:rsidR="00E36C7F" w:rsidRPr="001268E7">
        <w:rPr>
          <w:rFonts w:cstheme="minorHAnsi"/>
          <w:spacing w:val="4"/>
          <w:sz w:val="24"/>
          <w:szCs w:val="24"/>
        </w:rPr>
        <w:t>ę, że zmiany w strukturze wiekowej</w:t>
      </w:r>
      <w:r w:rsidRPr="001268E7">
        <w:rPr>
          <w:rFonts w:cstheme="minorHAnsi"/>
          <w:spacing w:val="4"/>
          <w:sz w:val="24"/>
          <w:szCs w:val="24"/>
        </w:rPr>
        <w:t xml:space="preserve"> populacji (proces starzenia się) przyczynią się, między innymi, do wzrostu zapotrzebowania na usługi zdrowotne i pielęgniarskie.</w:t>
      </w:r>
      <w:r w:rsidR="003B42AD" w:rsidRPr="001268E7">
        <w:rPr>
          <w:rFonts w:cstheme="minorHAnsi"/>
          <w:spacing w:val="4"/>
          <w:sz w:val="24"/>
          <w:szCs w:val="24"/>
        </w:rPr>
        <w:t xml:space="preserve"> </w:t>
      </w:r>
      <w:r w:rsidRPr="001268E7">
        <w:rPr>
          <w:rFonts w:cstheme="minorHAnsi"/>
          <w:spacing w:val="4"/>
          <w:sz w:val="24"/>
          <w:szCs w:val="24"/>
        </w:rPr>
        <w:t xml:space="preserve">Ze względu na ponadprzeciętną atrakcyjność i rozwiniętą infrastrukturę turystyczną regionu, oczekuje się, że usługi na rzecz osób starszych, jak również usługi związane ze spędzaniem czasu wolnego, </w:t>
      </w:r>
      <w:r w:rsidR="00E36C7F" w:rsidRPr="001268E7">
        <w:rPr>
          <w:rFonts w:cstheme="minorHAnsi"/>
          <w:spacing w:val="4"/>
          <w:sz w:val="24"/>
          <w:szCs w:val="24"/>
        </w:rPr>
        <w:t>staną się</w:t>
      </w:r>
      <w:r w:rsidR="008F4759" w:rsidRPr="001268E7">
        <w:rPr>
          <w:rFonts w:cstheme="minorHAnsi"/>
          <w:spacing w:val="4"/>
          <w:sz w:val="24"/>
          <w:szCs w:val="24"/>
        </w:rPr>
        <w:t xml:space="preserve"> coraz ważniejszym segmentem dz</w:t>
      </w:r>
      <w:r w:rsidR="00E36C7F" w:rsidRPr="001268E7">
        <w:rPr>
          <w:rFonts w:cstheme="minorHAnsi"/>
          <w:spacing w:val="4"/>
          <w:sz w:val="24"/>
          <w:szCs w:val="24"/>
        </w:rPr>
        <w:t>iałalności gospodarczej,</w:t>
      </w:r>
      <w:r w:rsidR="008F4759" w:rsidRPr="001268E7">
        <w:rPr>
          <w:rFonts w:cstheme="minorHAnsi"/>
          <w:spacing w:val="4"/>
          <w:sz w:val="24"/>
          <w:szCs w:val="24"/>
        </w:rPr>
        <w:t xml:space="preserve"> wzmacniając </w:t>
      </w:r>
      <w:r w:rsidR="00E36C7F" w:rsidRPr="001268E7">
        <w:rPr>
          <w:rFonts w:cstheme="minorHAnsi"/>
          <w:spacing w:val="4"/>
          <w:sz w:val="24"/>
          <w:szCs w:val="24"/>
        </w:rPr>
        <w:t xml:space="preserve">przede wszystkim </w:t>
      </w:r>
      <w:r w:rsidR="008F4759" w:rsidRPr="001268E7">
        <w:rPr>
          <w:rFonts w:cstheme="minorHAnsi"/>
          <w:spacing w:val="4"/>
          <w:sz w:val="24"/>
          <w:szCs w:val="24"/>
        </w:rPr>
        <w:t>lokalną gospodarkę.</w:t>
      </w:r>
    </w:p>
    <w:p w:rsidR="003B42AD" w:rsidRPr="001268E7" w:rsidRDefault="008F4759" w:rsidP="008F4759">
      <w:pPr>
        <w:autoSpaceDE w:val="0"/>
        <w:autoSpaceDN w:val="0"/>
        <w:adjustRightInd w:val="0"/>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Region transgraniczny</w:t>
      </w:r>
      <w:r w:rsidR="00E36C7F" w:rsidRPr="001268E7">
        <w:rPr>
          <w:rFonts w:cstheme="minorHAnsi"/>
          <w:spacing w:val="4"/>
          <w:sz w:val="24"/>
          <w:szCs w:val="24"/>
        </w:rPr>
        <w:t xml:space="preserve"> charakteryzuje się unikalnymi wartościami przyrodniczymi</w:t>
      </w:r>
      <w:r w:rsidRPr="001268E7">
        <w:rPr>
          <w:rFonts w:cstheme="minorHAnsi"/>
          <w:spacing w:val="4"/>
          <w:sz w:val="24"/>
          <w:szCs w:val="24"/>
        </w:rPr>
        <w:t xml:space="preserve"> i krajobrazowymi oraz różnorodnością kulturową.</w:t>
      </w:r>
      <w:r w:rsidR="003B42AD" w:rsidRPr="001268E7">
        <w:rPr>
          <w:rFonts w:cstheme="minorHAnsi"/>
          <w:spacing w:val="4"/>
          <w:sz w:val="24"/>
          <w:szCs w:val="24"/>
        </w:rPr>
        <w:t xml:space="preserve"> </w:t>
      </w:r>
      <w:r w:rsidRPr="001268E7">
        <w:rPr>
          <w:rFonts w:cstheme="minorHAnsi"/>
          <w:spacing w:val="4"/>
          <w:sz w:val="24"/>
          <w:szCs w:val="24"/>
        </w:rPr>
        <w:t>Dziedzictwo kulturowe jest coraz częściej postrzegane jako istotny czynnik rozwoju lokalnego (sposób na aktywizację zawodową, tworzenie nowych miejsc pracy oraz tworzenie pozytywnego wizerunku danego obszaru).</w:t>
      </w:r>
      <w:r w:rsidR="003B42AD" w:rsidRPr="001268E7">
        <w:rPr>
          <w:rFonts w:cstheme="minorHAnsi"/>
          <w:spacing w:val="4"/>
          <w:sz w:val="24"/>
          <w:szCs w:val="24"/>
        </w:rPr>
        <w:t xml:space="preserve"> </w:t>
      </w:r>
      <w:r w:rsidRPr="001268E7">
        <w:rPr>
          <w:rFonts w:cstheme="minorHAnsi"/>
          <w:spacing w:val="4"/>
          <w:sz w:val="24"/>
          <w:szCs w:val="24"/>
        </w:rPr>
        <w:t>Poza tym, rośnie znaczenie regionalnych produktów kulinarnych i żywności wysokiej jakości.</w:t>
      </w:r>
      <w:r w:rsidR="003B42AD" w:rsidRPr="001268E7">
        <w:rPr>
          <w:rFonts w:cstheme="minorHAnsi"/>
          <w:spacing w:val="4"/>
          <w:sz w:val="24"/>
          <w:szCs w:val="24"/>
        </w:rPr>
        <w:t xml:space="preserve"> </w:t>
      </w:r>
      <w:r w:rsidRPr="001268E7">
        <w:rPr>
          <w:rFonts w:cstheme="minorHAnsi"/>
          <w:spacing w:val="4"/>
          <w:sz w:val="24"/>
          <w:szCs w:val="24"/>
        </w:rPr>
        <w:t>Region oferuje szeroki wachlarz możliwości udziału w kulturze.</w:t>
      </w:r>
      <w:r w:rsidR="003B42AD" w:rsidRPr="001268E7">
        <w:rPr>
          <w:rFonts w:cstheme="minorHAnsi"/>
          <w:spacing w:val="4"/>
          <w:sz w:val="24"/>
          <w:szCs w:val="24"/>
        </w:rPr>
        <w:t xml:space="preserve"> </w:t>
      </w:r>
      <w:r w:rsidRPr="001268E7">
        <w:rPr>
          <w:rFonts w:cstheme="minorHAnsi"/>
          <w:spacing w:val="4"/>
          <w:sz w:val="24"/>
          <w:szCs w:val="24"/>
        </w:rPr>
        <w:t xml:space="preserve">Liczne inwestycje w ośrodki kulturalne, jak również coraz bardziej ambitne wydarzenia </w:t>
      </w:r>
      <w:r w:rsidRPr="001268E7">
        <w:rPr>
          <w:rFonts w:cstheme="minorHAnsi"/>
          <w:spacing w:val="4"/>
          <w:sz w:val="24"/>
          <w:szCs w:val="24"/>
        </w:rPr>
        <w:lastRenderedPageBreak/>
        <w:t>kulturalne (wystawy, pokazy i festiwale) pozwoliły na utworzenie jakościowo nowej oferty artystycznej rozpoznawalnej na poziomie krajowym i międzynarodowym.</w:t>
      </w:r>
      <w:r w:rsidR="003B42AD" w:rsidRPr="001268E7">
        <w:rPr>
          <w:rFonts w:cstheme="minorHAnsi"/>
          <w:spacing w:val="4"/>
          <w:sz w:val="24"/>
          <w:szCs w:val="24"/>
        </w:rPr>
        <w:t xml:space="preserve"> </w:t>
      </w:r>
      <w:r w:rsidRPr="001268E7">
        <w:rPr>
          <w:rFonts w:cstheme="minorHAnsi"/>
          <w:spacing w:val="4"/>
          <w:sz w:val="24"/>
          <w:szCs w:val="24"/>
        </w:rPr>
        <w:t xml:space="preserve">Z drugiej strony, należy </w:t>
      </w:r>
      <w:r w:rsidR="00E36C7F" w:rsidRPr="001268E7">
        <w:rPr>
          <w:rFonts w:cstheme="minorHAnsi"/>
          <w:spacing w:val="4"/>
          <w:sz w:val="24"/>
          <w:szCs w:val="24"/>
        </w:rPr>
        <w:t xml:space="preserve">zauważyć, że </w:t>
      </w:r>
      <w:r w:rsidR="00594F4D">
        <w:rPr>
          <w:rFonts w:cstheme="minorHAnsi"/>
          <w:spacing w:val="4"/>
          <w:sz w:val="24"/>
          <w:szCs w:val="24"/>
        </w:rPr>
        <w:t xml:space="preserve">budowanie świadomości </w:t>
      </w:r>
      <w:r w:rsidR="00E36C7F" w:rsidRPr="001268E7">
        <w:rPr>
          <w:rFonts w:cstheme="minorHAnsi"/>
          <w:spacing w:val="4"/>
          <w:sz w:val="24"/>
          <w:szCs w:val="24"/>
        </w:rPr>
        <w:t>różnic kulturow</w:t>
      </w:r>
      <w:r w:rsidR="00594F4D">
        <w:rPr>
          <w:rFonts w:cstheme="minorHAnsi"/>
          <w:spacing w:val="4"/>
          <w:sz w:val="24"/>
          <w:szCs w:val="24"/>
        </w:rPr>
        <w:t>ych</w:t>
      </w:r>
      <w:r w:rsidR="003307C5">
        <w:rPr>
          <w:rFonts w:cstheme="minorHAnsi"/>
          <w:spacing w:val="4"/>
          <w:sz w:val="24"/>
          <w:szCs w:val="24"/>
        </w:rPr>
        <w:t xml:space="preserve"> jak również ich rozumienie i rozwiązywanie dla wspólnych korzyści</w:t>
      </w:r>
      <w:r w:rsidR="00E36C7F" w:rsidRPr="001268E7">
        <w:rPr>
          <w:rFonts w:cstheme="minorHAnsi"/>
          <w:spacing w:val="4"/>
          <w:sz w:val="24"/>
          <w:szCs w:val="24"/>
        </w:rPr>
        <w:t xml:space="preserve"> postrzegane są jako jed</w:t>
      </w:r>
      <w:r w:rsidR="003307C5">
        <w:rPr>
          <w:rFonts w:cstheme="minorHAnsi"/>
          <w:spacing w:val="4"/>
          <w:sz w:val="24"/>
          <w:szCs w:val="24"/>
        </w:rPr>
        <w:t>no</w:t>
      </w:r>
      <w:r w:rsidR="00E36C7F" w:rsidRPr="001268E7">
        <w:rPr>
          <w:rFonts w:cstheme="minorHAnsi"/>
          <w:spacing w:val="4"/>
          <w:sz w:val="24"/>
          <w:szCs w:val="24"/>
        </w:rPr>
        <w:t xml:space="preserve"> z </w:t>
      </w:r>
      <w:r w:rsidR="003307C5">
        <w:rPr>
          <w:rFonts w:cstheme="minorHAnsi"/>
          <w:spacing w:val="4"/>
          <w:sz w:val="24"/>
          <w:szCs w:val="24"/>
        </w:rPr>
        <w:t>głównych wyzwań</w:t>
      </w:r>
      <w:r w:rsidR="00E36C7F" w:rsidRPr="001268E7">
        <w:rPr>
          <w:rFonts w:cstheme="minorHAnsi"/>
          <w:spacing w:val="4"/>
          <w:sz w:val="24"/>
          <w:szCs w:val="24"/>
        </w:rPr>
        <w:t xml:space="preserve"> </w:t>
      </w:r>
      <w:r w:rsidRPr="001268E7">
        <w:rPr>
          <w:rFonts w:cstheme="minorHAnsi"/>
          <w:spacing w:val="4"/>
          <w:sz w:val="24"/>
          <w:szCs w:val="24"/>
        </w:rPr>
        <w:t>w transgranicznej współpracy.</w:t>
      </w:r>
      <w:r w:rsidR="003B42AD" w:rsidRPr="001268E7">
        <w:rPr>
          <w:rFonts w:cstheme="minorHAnsi"/>
          <w:spacing w:val="4"/>
          <w:sz w:val="24"/>
          <w:szCs w:val="24"/>
        </w:rPr>
        <w:t xml:space="preserve"> </w:t>
      </w:r>
    </w:p>
    <w:p w:rsidR="003B42AD" w:rsidRPr="001268E7" w:rsidRDefault="008F4759" w:rsidP="008F4759">
      <w:pPr>
        <w:pStyle w:val="Akapitzlist"/>
        <w:spacing w:before="100" w:beforeAutospacing="1" w:after="100" w:afterAutospacing="1" w:line="240" w:lineRule="auto"/>
        <w:ind w:left="0"/>
        <w:contextualSpacing w:val="0"/>
        <w:jc w:val="both"/>
        <w:rPr>
          <w:rStyle w:val="Wyrnieniedelikatne2"/>
        </w:rPr>
      </w:pPr>
      <w:r w:rsidRPr="001268E7">
        <w:rPr>
          <w:rStyle w:val="Wyrnieniedelikatne"/>
        </w:rPr>
        <w:t>Kapitał naturalny</w:t>
      </w:r>
    </w:p>
    <w:p w:rsidR="003B42AD" w:rsidRPr="001268E7" w:rsidRDefault="008F4759" w:rsidP="004C4BC0">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Obszar kwalifikowalny objęty Programem Współpracy Transgranicznej Polska-Rosja 2014-2020 charakteryzuje się zróżnicowanym i stosunkowo dobrze zachowanym środowiskiem naturalnym.</w:t>
      </w:r>
      <w:r w:rsidR="003B42AD" w:rsidRPr="001268E7">
        <w:rPr>
          <w:rFonts w:cstheme="minorHAnsi"/>
          <w:color w:val="000000"/>
          <w:sz w:val="24"/>
          <w:szCs w:val="24"/>
        </w:rPr>
        <w:t xml:space="preserve"> </w:t>
      </w:r>
      <w:r w:rsidR="004C4BC0" w:rsidRPr="001268E7">
        <w:rPr>
          <w:rFonts w:cstheme="minorHAnsi"/>
          <w:color w:val="000000"/>
          <w:sz w:val="24"/>
          <w:szCs w:val="24"/>
        </w:rPr>
        <w:t>Na przedmiotowym obszarze znajdują się trzy parki narodowe (dwa parki po stronie polskiej i jeden park po stronie rosyjskiej granicy), które razem zajmują odpowiednio 1,98% i 0,4% powierzchni obydwu obszarów.</w:t>
      </w:r>
      <w:r w:rsidR="003B42AD" w:rsidRPr="001268E7">
        <w:rPr>
          <w:rFonts w:cstheme="minorHAnsi"/>
          <w:color w:val="000000"/>
          <w:sz w:val="24"/>
          <w:szCs w:val="24"/>
        </w:rPr>
        <w:t xml:space="preserve"> </w:t>
      </w:r>
      <w:r w:rsidR="004C4BC0" w:rsidRPr="001268E7">
        <w:rPr>
          <w:rFonts w:cstheme="minorHAnsi"/>
          <w:color w:val="000000"/>
          <w:sz w:val="24"/>
          <w:szCs w:val="24"/>
        </w:rPr>
        <w:t xml:space="preserve">Ponadto, na obszarze Programu </w:t>
      </w:r>
      <w:r w:rsidR="00594FFF" w:rsidRPr="001268E7">
        <w:rPr>
          <w:rFonts w:cstheme="minorHAnsi"/>
          <w:color w:val="000000"/>
          <w:sz w:val="24"/>
          <w:szCs w:val="24"/>
        </w:rPr>
        <w:t xml:space="preserve">w Polsce </w:t>
      </w:r>
      <w:r w:rsidR="004C4BC0" w:rsidRPr="001268E7">
        <w:rPr>
          <w:rFonts w:cstheme="minorHAnsi"/>
          <w:color w:val="000000"/>
          <w:sz w:val="24"/>
          <w:szCs w:val="24"/>
        </w:rPr>
        <w:t>występują liczne pa</w:t>
      </w:r>
      <w:r w:rsidR="00594FFF" w:rsidRPr="001268E7">
        <w:rPr>
          <w:rFonts w:cstheme="minorHAnsi"/>
          <w:color w:val="000000"/>
          <w:sz w:val="24"/>
          <w:szCs w:val="24"/>
        </w:rPr>
        <w:t>rki krajobrazowe</w:t>
      </w:r>
      <w:r w:rsidR="004C4BC0" w:rsidRPr="001268E7">
        <w:rPr>
          <w:rFonts w:cstheme="minorHAnsi"/>
          <w:color w:val="000000"/>
          <w:sz w:val="24"/>
          <w:szCs w:val="24"/>
        </w:rPr>
        <w:t>, zajmując 8,83% obszaru kwalifikowalnego, oraz siedem teren</w:t>
      </w:r>
      <w:r w:rsidR="00BD46D2" w:rsidRPr="001268E7">
        <w:rPr>
          <w:rFonts w:cstheme="minorHAnsi"/>
          <w:color w:val="000000"/>
          <w:sz w:val="24"/>
          <w:szCs w:val="24"/>
        </w:rPr>
        <w:t>ów</w:t>
      </w:r>
      <w:r w:rsidR="004C4BC0" w:rsidRPr="001268E7">
        <w:rPr>
          <w:rFonts w:cstheme="minorHAnsi"/>
          <w:color w:val="000000"/>
          <w:sz w:val="24"/>
          <w:szCs w:val="24"/>
        </w:rPr>
        <w:t xml:space="preserve"> o podobnym statusie w części rosyjskiej.</w:t>
      </w:r>
      <w:r w:rsidR="003B42AD" w:rsidRPr="001268E7">
        <w:rPr>
          <w:rFonts w:cstheme="minorHAnsi"/>
          <w:color w:val="000000"/>
          <w:sz w:val="24"/>
          <w:szCs w:val="24"/>
        </w:rPr>
        <w:t xml:space="preserve"> </w:t>
      </w:r>
      <w:r w:rsidR="004C4BC0" w:rsidRPr="001268E7">
        <w:rPr>
          <w:rFonts w:cstheme="minorHAnsi"/>
          <w:color w:val="000000"/>
          <w:sz w:val="24"/>
          <w:szCs w:val="24"/>
        </w:rPr>
        <w:t xml:space="preserve">Dodatkowo, na opisywanym obszarze występują obszary Natura 2000. Obszary Specjalnej Ochrony </w:t>
      </w:r>
      <w:r w:rsidR="003F18AD" w:rsidRPr="001268E7">
        <w:rPr>
          <w:rFonts w:cstheme="minorHAnsi"/>
          <w:color w:val="000000"/>
          <w:sz w:val="24"/>
          <w:szCs w:val="24"/>
        </w:rPr>
        <w:t xml:space="preserve">(Special Protection Areas) </w:t>
      </w:r>
      <w:r w:rsidR="004C4BC0" w:rsidRPr="001268E7">
        <w:rPr>
          <w:rFonts w:cstheme="minorHAnsi"/>
          <w:color w:val="000000"/>
          <w:sz w:val="24"/>
          <w:szCs w:val="24"/>
        </w:rPr>
        <w:t xml:space="preserve">zajmują 28% obszaru Programu, a Specjalne Obszary Ochrony </w:t>
      </w:r>
      <w:r w:rsidR="003F18AD" w:rsidRPr="001268E7">
        <w:rPr>
          <w:rFonts w:cstheme="minorHAnsi"/>
          <w:color w:val="000000"/>
          <w:sz w:val="24"/>
          <w:szCs w:val="24"/>
        </w:rPr>
        <w:t xml:space="preserve">(Special Areas of Conservation) </w:t>
      </w:r>
      <w:r w:rsidR="004C4BC0" w:rsidRPr="001268E7">
        <w:rPr>
          <w:rFonts w:cstheme="minorHAnsi"/>
          <w:color w:val="000000"/>
          <w:sz w:val="24"/>
          <w:szCs w:val="24"/>
        </w:rPr>
        <w:t>18%.</w:t>
      </w:r>
      <w:r w:rsidR="003B42AD" w:rsidRPr="001268E7">
        <w:rPr>
          <w:rFonts w:cstheme="minorHAnsi"/>
          <w:color w:val="000000"/>
          <w:sz w:val="24"/>
          <w:szCs w:val="24"/>
        </w:rPr>
        <w:t xml:space="preserve"> </w:t>
      </w:r>
    </w:p>
    <w:p w:rsidR="003B42AD" w:rsidRPr="001268E7" w:rsidRDefault="004C4BC0" w:rsidP="008A1C06">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Morze Bałtyckie stanowi główny ekosystem o charakterze transgranicznym.</w:t>
      </w:r>
      <w:r w:rsidR="003B42AD" w:rsidRPr="001268E7">
        <w:rPr>
          <w:rFonts w:cstheme="minorHAnsi"/>
          <w:color w:val="000000"/>
          <w:sz w:val="24"/>
          <w:szCs w:val="24"/>
        </w:rPr>
        <w:t xml:space="preserve"> </w:t>
      </w:r>
      <w:r w:rsidRPr="001268E7">
        <w:rPr>
          <w:rFonts w:cstheme="minorHAnsi"/>
          <w:color w:val="000000"/>
          <w:sz w:val="24"/>
          <w:szCs w:val="24"/>
        </w:rPr>
        <w:t>Aby zapewnić kompleksową ochronę środowiska Morza Bałtyckiego, przyjęta została Konwencja Helsińska i podpisana przez wszystkie państwa Bałtyku, w tym Polskę i Rosję.</w:t>
      </w:r>
      <w:r w:rsidR="003B42AD" w:rsidRPr="001268E7">
        <w:rPr>
          <w:rFonts w:cstheme="minorHAnsi"/>
          <w:color w:val="000000"/>
          <w:sz w:val="24"/>
          <w:szCs w:val="24"/>
        </w:rPr>
        <w:t xml:space="preserve"> </w:t>
      </w:r>
      <w:r w:rsidRPr="001268E7">
        <w:rPr>
          <w:rFonts w:cstheme="minorHAnsi"/>
          <w:color w:val="000000"/>
          <w:sz w:val="24"/>
          <w:szCs w:val="24"/>
        </w:rPr>
        <w:t xml:space="preserve">Najpilniejsze problemy to eutrofizacja wody, zanieczyszczenie niebezpiecznymi substancjami i przełowienie. </w:t>
      </w:r>
      <w:r w:rsidR="008A1C06" w:rsidRPr="001268E7">
        <w:rPr>
          <w:rFonts w:cstheme="minorHAnsi"/>
          <w:color w:val="000000"/>
          <w:sz w:val="24"/>
          <w:szCs w:val="24"/>
        </w:rPr>
        <w:t>Ilość związków azotowych i fosforowych pochodzących z rzek stopniowo maleje, ale temu procesowi towarzyszy zwiększająca się ilość azotu z zanieczyszczeń powietrza.</w:t>
      </w:r>
      <w:r w:rsidR="003B42AD" w:rsidRPr="001268E7">
        <w:rPr>
          <w:rFonts w:cstheme="minorHAnsi"/>
          <w:color w:val="000000"/>
          <w:sz w:val="24"/>
          <w:szCs w:val="24"/>
        </w:rPr>
        <w:t xml:space="preserve"> </w:t>
      </w:r>
      <w:r w:rsidR="008A1C06" w:rsidRPr="001268E7">
        <w:rPr>
          <w:rFonts w:cstheme="minorHAnsi"/>
          <w:color w:val="000000"/>
          <w:sz w:val="24"/>
          <w:szCs w:val="24"/>
        </w:rPr>
        <w:t>Substancje niebezpieczne pochodzą nie tylko z rzek, ale również z wycieków paliwa i naruszonych morskich złogów dennych w wyniku prac budowlanych.</w:t>
      </w:r>
      <w:r w:rsidR="003B42AD" w:rsidRPr="001268E7">
        <w:rPr>
          <w:rFonts w:cstheme="minorHAnsi"/>
          <w:color w:val="000000"/>
          <w:sz w:val="24"/>
          <w:szCs w:val="24"/>
        </w:rPr>
        <w:t xml:space="preserve"> </w:t>
      </w:r>
    </w:p>
    <w:p w:rsidR="003B42AD" w:rsidRPr="001268E7" w:rsidRDefault="008A1C06" w:rsidP="00A66D22">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Głównym źródłami zanieczyszczeń o znac</w:t>
      </w:r>
      <w:r w:rsidR="00594FFF" w:rsidRPr="001268E7">
        <w:rPr>
          <w:rFonts w:cstheme="minorHAnsi"/>
          <w:color w:val="000000"/>
          <w:sz w:val="24"/>
          <w:szCs w:val="24"/>
        </w:rPr>
        <w:t xml:space="preserve">zeniu transgranicznym są </w:t>
      </w:r>
      <w:r w:rsidRPr="001268E7">
        <w:rPr>
          <w:rFonts w:cstheme="minorHAnsi"/>
          <w:color w:val="000000"/>
          <w:sz w:val="24"/>
          <w:szCs w:val="24"/>
        </w:rPr>
        <w:t xml:space="preserve">zanieczyszczenia </w:t>
      </w:r>
      <w:r w:rsidR="00594FFF" w:rsidRPr="001268E7">
        <w:rPr>
          <w:rFonts w:cstheme="minorHAnsi"/>
          <w:color w:val="000000"/>
          <w:sz w:val="24"/>
          <w:szCs w:val="24"/>
        </w:rPr>
        <w:t xml:space="preserve">wody i </w:t>
      </w:r>
      <w:r w:rsidRPr="001268E7">
        <w:rPr>
          <w:rFonts w:cstheme="minorHAnsi"/>
          <w:color w:val="000000"/>
          <w:sz w:val="24"/>
          <w:szCs w:val="24"/>
        </w:rPr>
        <w:t>powietrza.</w:t>
      </w:r>
      <w:r w:rsidR="003B42AD" w:rsidRPr="001268E7">
        <w:rPr>
          <w:rFonts w:cstheme="minorHAnsi"/>
          <w:color w:val="000000"/>
          <w:sz w:val="24"/>
          <w:szCs w:val="24"/>
        </w:rPr>
        <w:t xml:space="preserve"> </w:t>
      </w:r>
      <w:r w:rsidRPr="001268E7">
        <w:rPr>
          <w:rFonts w:cstheme="minorHAnsi"/>
          <w:color w:val="000000"/>
          <w:sz w:val="24"/>
          <w:szCs w:val="24"/>
        </w:rPr>
        <w:t>Emisja zanieczyszczeń powietrza w przeliczeniu na mieszkańca pozostaje na stosunkowo niskim poziomie, ale jakość wody stanowi poważniejsze zagrożenie.</w:t>
      </w:r>
      <w:r w:rsidR="003B42AD" w:rsidRPr="001268E7">
        <w:rPr>
          <w:rFonts w:cstheme="minorHAnsi"/>
          <w:color w:val="000000"/>
          <w:sz w:val="24"/>
          <w:szCs w:val="24"/>
        </w:rPr>
        <w:t xml:space="preserve"> </w:t>
      </w:r>
      <w:r w:rsidRPr="001268E7">
        <w:rPr>
          <w:rFonts w:cstheme="minorHAnsi"/>
          <w:color w:val="000000"/>
          <w:sz w:val="24"/>
          <w:szCs w:val="24"/>
        </w:rPr>
        <w:t>Zgodnie z danym</w:t>
      </w:r>
      <w:r w:rsidR="00594FFF" w:rsidRPr="001268E7">
        <w:rPr>
          <w:rFonts w:cstheme="minorHAnsi"/>
          <w:color w:val="000000"/>
          <w:sz w:val="24"/>
          <w:szCs w:val="24"/>
        </w:rPr>
        <w:t>i HELCOM z 2012 r.</w:t>
      </w:r>
      <w:r w:rsidRPr="001268E7">
        <w:rPr>
          <w:rFonts w:cstheme="minorHAnsi"/>
          <w:color w:val="000000"/>
          <w:sz w:val="24"/>
          <w:szCs w:val="24"/>
        </w:rPr>
        <w:t xml:space="preserve"> (i ich korektą w 2013 r.), główne problemy w obwodzie kaliningradzkim to:</w:t>
      </w:r>
      <w:r w:rsidR="00650AC0" w:rsidRPr="001268E7">
        <w:rPr>
          <w:rFonts w:cstheme="minorHAnsi"/>
          <w:color w:val="000000"/>
          <w:sz w:val="24"/>
          <w:szCs w:val="24"/>
        </w:rPr>
        <w:t xml:space="preserve"> </w:t>
      </w:r>
      <w:r w:rsidRPr="001268E7">
        <w:rPr>
          <w:rFonts w:cstheme="minorHAnsi"/>
          <w:color w:val="000000"/>
          <w:sz w:val="24"/>
          <w:szCs w:val="24"/>
        </w:rPr>
        <w:t>brak skutecznych programów w zakresie transgranicznej gospodarki dla Zalewu Wiślanego i Mierzei Kurońskiej oraz zanieczyszczenie miejskie i przemysłowe z Kaliningradu.</w:t>
      </w:r>
      <w:r w:rsidR="003B42AD" w:rsidRPr="001268E7">
        <w:rPr>
          <w:rFonts w:cstheme="minorHAnsi"/>
          <w:color w:val="000000"/>
          <w:sz w:val="24"/>
          <w:szCs w:val="24"/>
        </w:rPr>
        <w:t xml:space="preserve"> </w:t>
      </w:r>
      <w:r w:rsidR="00824F89" w:rsidRPr="001268E7">
        <w:rPr>
          <w:rFonts w:cstheme="minorHAnsi"/>
          <w:color w:val="000000"/>
          <w:sz w:val="24"/>
          <w:szCs w:val="24"/>
        </w:rPr>
        <w:t>Po stronie polskiej główne problemy stanowią dwie kwestie</w:t>
      </w:r>
      <w:r w:rsidRPr="001268E7">
        <w:rPr>
          <w:rFonts w:cstheme="minorHAnsi"/>
          <w:color w:val="000000"/>
          <w:sz w:val="24"/>
          <w:szCs w:val="24"/>
        </w:rPr>
        <w:t xml:space="preserve"> - wyżej wspomniany program w zakresie transgranicznej gospodarki dla Zalewu Wiślanego oraz </w:t>
      </w:r>
      <w:r w:rsidR="00A66D22" w:rsidRPr="001268E7">
        <w:rPr>
          <w:rFonts w:cstheme="minorHAnsi"/>
          <w:color w:val="000000"/>
          <w:sz w:val="24"/>
          <w:szCs w:val="24"/>
        </w:rPr>
        <w:t>spływ z terenów rolniczych w dorzeczu Wisły.</w:t>
      </w:r>
      <w:r w:rsidR="003B42AD" w:rsidRPr="001268E7">
        <w:rPr>
          <w:rFonts w:cstheme="minorHAnsi"/>
          <w:color w:val="000000"/>
          <w:sz w:val="24"/>
          <w:szCs w:val="24"/>
        </w:rPr>
        <w:t xml:space="preserve"> </w:t>
      </w:r>
    </w:p>
    <w:p w:rsidR="003B42AD" w:rsidRPr="001268E7" w:rsidRDefault="00A66D22" w:rsidP="00A66D22">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Ilość nieoc</w:t>
      </w:r>
      <w:r w:rsidR="00824F89" w:rsidRPr="001268E7">
        <w:rPr>
          <w:rFonts w:cstheme="minorHAnsi"/>
          <w:color w:val="000000"/>
          <w:sz w:val="24"/>
          <w:szCs w:val="24"/>
        </w:rPr>
        <w:t xml:space="preserve">zyszczonych ścieków wskazuje </w:t>
      </w:r>
      <w:r w:rsidRPr="001268E7">
        <w:rPr>
          <w:rFonts w:cstheme="minorHAnsi"/>
          <w:color w:val="000000"/>
          <w:sz w:val="24"/>
          <w:szCs w:val="24"/>
        </w:rPr>
        <w:t>tendencję spadkową, zarówno w polskiej, jak i rosyjskiej części obszaru kwalifikowalnego.</w:t>
      </w:r>
      <w:r w:rsidR="003B42AD" w:rsidRPr="001268E7">
        <w:rPr>
          <w:rFonts w:cstheme="minorHAnsi"/>
          <w:color w:val="000000"/>
          <w:sz w:val="24"/>
          <w:szCs w:val="24"/>
        </w:rPr>
        <w:t xml:space="preserve"> </w:t>
      </w:r>
      <w:r w:rsidRPr="001268E7">
        <w:rPr>
          <w:rFonts w:cstheme="minorHAnsi"/>
          <w:color w:val="000000"/>
          <w:sz w:val="24"/>
          <w:szCs w:val="24"/>
        </w:rPr>
        <w:t>93% mieszkańców polskiej części obszaru kwalifikowalnego oraz 91% mieszkańców części rosyjskiej ma dostęp do sieci kanalizacyjnej.</w:t>
      </w:r>
      <w:r w:rsidR="003B42AD" w:rsidRPr="001268E7">
        <w:rPr>
          <w:rFonts w:cstheme="minorHAnsi"/>
          <w:color w:val="000000"/>
          <w:sz w:val="24"/>
          <w:szCs w:val="24"/>
        </w:rPr>
        <w:t xml:space="preserve"> </w:t>
      </w:r>
      <w:r w:rsidRPr="001268E7">
        <w:rPr>
          <w:rFonts w:cstheme="minorHAnsi"/>
          <w:color w:val="000000"/>
          <w:sz w:val="24"/>
          <w:szCs w:val="24"/>
        </w:rPr>
        <w:t>Niemniej jednak, oczyszczanie ścieków pozostaje istotnym wyzwaniem środowiskowym, zwłaszcza dla Kaliningradu.</w:t>
      </w:r>
      <w:r w:rsidR="003B42AD" w:rsidRPr="001268E7">
        <w:rPr>
          <w:rFonts w:cstheme="minorHAnsi"/>
          <w:color w:val="000000"/>
          <w:sz w:val="24"/>
          <w:szCs w:val="24"/>
        </w:rPr>
        <w:t xml:space="preserve"> </w:t>
      </w:r>
      <w:r w:rsidRPr="001268E7">
        <w:rPr>
          <w:rFonts w:cstheme="minorHAnsi"/>
          <w:color w:val="000000"/>
          <w:sz w:val="24"/>
          <w:szCs w:val="24"/>
        </w:rPr>
        <w:t>Brak odpowiedniej infrastruktury w zakresie gospodarki odpadami powoduje zanieczyszczenie i dotkliwą eutrofizację Zalewu Wiślanego.</w:t>
      </w:r>
      <w:r w:rsidR="003B42AD" w:rsidRPr="001268E7">
        <w:rPr>
          <w:rFonts w:cstheme="minorHAnsi"/>
          <w:color w:val="000000"/>
          <w:sz w:val="24"/>
          <w:szCs w:val="24"/>
        </w:rPr>
        <w:t xml:space="preserve"> </w:t>
      </w:r>
    </w:p>
    <w:p w:rsidR="003B42AD" w:rsidRPr="001268E7" w:rsidRDefault="00A66D22" w:rsidP="00A66D22">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Inne zagrożenia środowiskowe</w:t>
      </w:r>
      <w:r w:rsidR="00824F89" w:rsidRPr="001268E7">
        <w:rPr>
          <w:rFonts w:cstheme="minorHAnsi"/>
          <w:color w:val="000000"/>
          <w:sz w:val="24"/>
          <w:szCs w:val="24"/>
        </w:rPr>
        <w:t xml:space="preserve"> na opisywanym obszarze dotyczą platformy wiertniczej</w:t>
      </w:r>
      <w:r w:rsidRPr="001268E7">
        <w:rPr>
          <w:rFonts w:cstheme="minorHAnsi"/>
          <w:color w:val="000000"/>
          <w:sz w:val="24"/>
          <w:szCs w:val="24"/>
        </w:rPr>
        <w:t xml:space="preserve"> w rosyjskiej części morza, która znajduje się w od</w:t>
      </w:r>
      <w:r w:rsidR="00824F89" w:rsidRPr="001268E7">
        <w:rPr>
          <w:rFonts w:cstheme="minorHAnsi"/>
          <w:color w:val="000000"/>
          <w:sz w:val="24"/>
          <w:szCs w:val="24"/>
        </w:rPr>
        <w:t>ległości zaledwie</w:t>
      </w:r>
      <w:r w:rsidRPr="001268E7">
        <w:rPr>
          <w:rFonts w:cstheme="minorHAnsi"/>
          <w:color w:val="000000"/>
          <w:sz w:val="24"/>
          <w:szCs w:val="24"/>
        </w:rPr>
        <w:t xml:space="preserve"> 22 kilometrów od parku narodowego chroniącego wrażliwy ekosystem Mierzei Kurońskiej.</w:t>
      </w:r>
      <w:r w:rsidR="003B42AD" w:rsidRPr="001268E7">
        <w:rPr>
          <w:rFonts w:cstheme="minorHAnsi"/>
          <w:color w:val="000000"/>
          <w:sz w:val="24"/>
          <w:szCs w:val="24"/>
        </w:rPr>
        <w:t xml:space="preserve"> </w:t>
      </w:r>
    </w:p>
    <w:p w:rsidR="003B42AD" w:rsidRPr="001268E7" w:rsidRDefault="00A66D22" w:rsidP="00A66D22">
      <w:pPr>
        <w:autoSpaceDE w:val="0"/>
        <w:autoSpaceDN w:val="0"/>
        <w:adjustRightInd w:val="0"/>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lastRenderedPageBreak/>
        <w:t>Wytwarzanie energii elektrycznej jest ważną działalnością pod względem wpływu na środowisko.</w:t>
      </w:r>
      <w:r w:rsidR="003B42AD" w:rsidRPr="001268E7">
        <w:rPr>
          <w:rFonts w:cstheme="minorHAnsi"/>
          <w:color w:val="000000"/>
          <w:sz w:val="24"/>
          <w:szCs w:val="24"/>
        </w:rPr>
        <w:t xml:space="preserve"> </w:t>
      </w:r>
      <w:r w:rsidRPr="001268E7">
        <w:rPr>
          <w:rFonts w:cstheme="minorHAnsi"/>
          <w:color w:val="000000"/>
          <w:sz w:val="24"/>
          <w:szCs w:val="24"/>
        </w:rPr>
        <w:t>W 2010 r. obwód kaliningradzki Federacji Rosyjskiej stał się w tym zakresie samowystarczalny dzięki uruchomieniu nowej elektrowni opalanej gazem ziemnym o mocy 500 MW.</w:t>
      </w:r>
      <w:r w:rsidR="003B42AD" w:rsidRPr="001268E7">
        <w:rPr>
          <w:rFonts w:cstheme="minorHAnsi"/>
          <w:color w:val="000000"/>
          <w:sz w:val="24"/>
          <w:szCs w:val="24"/>
        </w:rPr>
        <w:t xml:space="preserve"> </w:t>
      </w:r>
      <w:r w:rsidRPr="001268E7">
        <w:rPr>
          <w:rFonts w:cstheme="minorHAnsi"/>
          <w:color w:val="000000"/>
          <w:sz w:val="24"/>
          <w:szCs w:val="24"/>
        </w:rPr>
        <w:t>W polskiej części przedmiotowego o</w:t>
      </w:r>
      <w:r w:rsidR="00824F89" w:rsidRPr="001268E7">
        <w:rPr>
          <w:rFonts w:cstheme="minorHAnsi"/>
          <w:color w:val="000000"/>
          <w:sz w:val="24"/>
          <w:szCs w:val="24"/>
        </w:rPr>
        <w:t>bszaru energia jest przesyłana</w:t>
      </w:r>
      <w:r w:rsidRPr="001268E7">
        <w:rPr>
          <w:rFonts w:cstheme="minorHAnsi"/>
          <w:color w:val="000000"/>
          <w:sz w:val="24"/>
          <w:szCs w:val="24"/>
        </w:rPr>
        <w:t xml:space="preserve"> z innych częśc</w:t>
      </w:r>
      <w:r w:rsidR="00824F89" w:rsidRPr="001268E7">
        <w:rPr>
          <w:rFonts w:cstheme="minorHAnsi"/>
          <w:color w:val="000000"/>
          <w:sz w:val="24"/>
          <w:szCs w:val="24"/>
        </w:rPr>
        <w:t>i kraju, zwłaszcza przez region warmińsko-mazurski i podlaski</w:t>
      </w:r>
      <w:r w:rsidRPr="001268E7">
        <w:rPr>
          <w:rFonts w:cstheme="minorHAnsi"/>
          <w:color w:val="000000"/>
          <w:sz w:val="24"/>
          <w:szCs w:val="24"/>
        </w:rPr>
        <w:t>.</w:t>
      </w:r>
      <w:r w:rsidR="003B42AD" w:rsidRPr="001268E7">
        <w:rPr>
          <w:rFonts w:cstheme="minorHAnsi"/>
          <w:color w:val="000000"/>
          <w:sz w:val="24"/>
          <w:szCs w:val="24"/>
        </w:rPr>
        <w:t xml:space="preserve"> </w:t>
      </w:r>
      <w:r w:rsidRPr="001268E7">
        <w:rPr>
          <w:rFonts w:cstheme="minorHAnsi"/>
          <w:color w:val="000000"/>
          <w:sz w:val="24"/>
          <w:szCs w:val="24"/>
        </w:rPr>
        <w:t>Jednocześnie, na przestrzeni ostatnich pięciu lat, w regionie tym rozwinęły się źródła energii odnawialnej, głównie energii wiatrowej.</w:t>
      </w:r>
      <w:r w:rsidR="003B42AD" w:rsidRPr="001268E7">
        <w:rPr>
          <w:rFonts w:cstheme="minorHAnsi"/>
          <w:color w:val="000000"/>
          <w:sz w:val="24"/>
          <w:szCs w:val="24"/>
        </w:rPr>
        <w:t xml:space="preserve"> </w:t>
      </w:r>
      <w:r w:rsidRPr="001268E7">
        <w:rPr>
          <w:rFonts w:cstheme="minorHAnsi"/>
          <w:color w:val="000000"/>
          <w:sz w:val="24"/>
          <w:szCs w:val="24"/>
        </w:rPr>
        <w:t>Obecnie, ponad 70% energii generowanej w regionie warmińsko-mazurskim (ok.</w:t>
      </w:r>
      <w:r w:rsidR="003B42AD" w:rsidRPr="001268E7">
        <w:rPr>
          <w:rFonts w:cstheme="minorHAnsi"/>
          <w:color w:val="000000"/>
          <w:sz w:val="24"/>
          <w:szCs w:val="24"/>
        </w:rPr>
        <w:t xml:space="preserve"> </w:t>
      </w:r>
      <w:r w:rsidRPr="001268E7">
        <w:rPr>
          <w:rFonts w:cstheme="minorHAnsi"/>
          <w:color w:val="000000"/>
          <w:sz w:val="24"/>
          <w:szCs w:val="24"/>
        </w:rPr>
        <w:t>200 MW) pochodzi ze źródeł odnawialnych.</w:t>
      </w:r>
      <w:r w:rsidR="003B42AD" w:rsidRPr="001268E7">
        <w:rPr>
          <w:rFonts w:cstheme="minorHAnsi"/>
          <w:color w:val="000000"/>
          <w:sz w:val="24"/>
          <w:szCs w:val="24"/>
        </w:rPr>
        <w:t xml:space="preserve"> </w:t>
      </w:r>
      <w:r w:rsidRPr="001268E7">
        <w:rPr>
          <w:rFonts w:cstheme="minorHAnsi"/>
          <w:color w:val="000000"/>
          <w:sz w:val="24"/>
          <w:szCs w:val="24"/>
        </w:rPr>
        <w:t>Sektor energii odnawialnej rozwija się również w rosyjskiej części przedmiotowego obszaru, głównie elektrownie wodne (około 150 MW zainstalowanej mocy), ale również elektrownie wiatrowe (ok.</w:t>
      </w:r>
      <w:r w:rsidR="003B42AD" w:rsidRPr="001268E7">
        <w:rPr>
          <w:rFonts w:cstheme="minorHAnsi"/>
          <w:color w:val="000000"/>
          <w:sz w:val="24"/>
          <w:szCs w:val="24"/>
        </w:rPr>
        <w:t xml:space="preserve"> </w:t>
      </w:r>
      <w:r w:rsidRPr="001268E7">
        <w:rPr>
          <w:rFonts w:cstheme="minorHAnsi"/>
          <w:color w:val="000000"/>
          <w:sz w:val="24"/>
          <w:szCs w:val="24"/>
        </w:rPr>
        <w:t>5 MW).</w:t>
      </w:r>
    </w:p>
    <w:p w:rsidR="003B42AD" w:rsidRPr="001268E7" w:rsidRDefault="00A66D22" w:rsidP="00A66D22">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t>Nowy Program Współpracy Transgranicznej Polska-Rosja 2014-2020 może nadal oferować nowe możliwości dla inicjatyw dotyczących poprawy ochrony środowiska, tj. w dziedzinie ochrony wody, zachowania zasobów naturalnych dla przyszłych pokoleń, utrzymania różnorodności biologicznej, w zakresie zapobiegania i łagodzenia skutków zmian klimatu.</w:t>
      </w:r>
    </w:p>
    <w:p w:rsidR="003B42AD" w:rsidRPr="001268E7" w:rsidRDefault="00A66D22" w:rsidP="00A66D22">
      <w:pPr>
        <w:autoSpaceDE w:val="0"/>
        <w:autoSpaceDN w:val="0"/>
        <w:adjustRightInd w:val="0"/>
        <w:spacing w:before="100" w:beforeAutospacing="1" w:after="100" w:afterAutospacing="1" w:line="240" w:lineRule="auto"/>
        <w:jc w:val="both"/>
        <w:rPr>
          <w:rStyle w:val="Wyrnieniedelikatne"/>
        </w:rPr>
      </w:pPr>
      <w:r w:rsidRPr="001268E7">
        <w:rPr>
          <w:rStyle w:val="Wyrnieniedelikatne"/>
        </w:rPr>
        <w:t>Analiza SWOT</w:t>
      </w:r>
    </w:p>
    <w:p w:rsidR="003B42AD" w:rsidRPr="001268E7" w:rsidRDefault="00A66D22" w:rsidP="00A66D22">
      <w:pPr>
        <w:spacing w:before="100" w:beforeAutospacing="1" w:after="100" w:afterAutospacing="1" w:line="240" w:lineRule="auto"/>
        <w:jc w:val="both"/>
        <w:rPr>
          <w:rFonts w:cstheme="minorHAnsi"/>
          <w:color w:val="000000"/>
          <w:sz w:val="24"/>
          <w:szCs w:val="24"/>
        </w:rPr>
      </w:pPr>
      <w:r w:rsidRPr="001268E7">
        <w:rPr>
          <w:rFonts w:cstheme="minorHAnsi"/>
          <w:color w:val="000000"/>
          <w:sz w:val="24"/>
          <w:szCs w:val="24"/>
        </w:rPr>
        <w:t>Na podstawie analizy społeczno-</w:t>
      </w:r>
      <w:r w:rsidR="00DD0F0F" w:rsidRPr="001268E7">
        <w:rPr>
          <w:rFonts w:cstheme="minorHAnsi"/>
          <w:color w:val="000000"/>
          <w:sz w:val="24"/>
          <w:szCs w:val="24"/>
        </w:rPr>
        <w:t xml:space="preserve">gospodarczej sytuacji </w:t>
      </w:r>
      <w:r w:rsidRPr="001268E7">
        <w:rPr>
          <w:rFonts w:cstheme="minorHAnsi"/>
          <w:color w:val="000000"/>
          <w:sz w:val="24"/>
          <w:szCs w:val="24"/>
        </w:rPr>
        <w:t>na obszarze kwalifikowalnym Programu oraz określonych wspólnych wyzwań można sformułować silne i słabe strony dotyczące współpracy transgranicznej, a także szanse i zagrożenia płynące dla niej z otoczenia zewnętrznego:</w:t>
      </w:r>
    </w:p>
    <w:tbl>
      <w:tblPr>
        <w:tblStyle w:val="Tabela-Siatka"/>
        <w:tblW w:w="0" w:type="auto"/>
        <w:tblLook w:val="04A0" w:firstRow="1" w:lastRow="0" w:firstColumn="1" w:lastColumn="0" w:noHBand="0" w:noVBand="1"/>
      </w:tblPr>
      <w:tblGrid>
        <w:gridCol w:w="4606"/>
        <w:gridCol w:w="4606"/>
      </w:tblGrid>
      <w:tr w:rsidR="00A66D22" w:rsidRPr="001268E7" w:rsidTr="00A10FBE">
        <w:tc>
          <w:tcPr>
            <w:tcW w:w="4606" w:type="dxa"/>
            <w:shd w:val="clear" w:color="auto" w:fill="BFBFBF" w:themeFill="background1" w:themeFillShade="BF"/>
          </w:tcPr>
          <w:p w:rsidR="00F05C96" w:rsidRPr="001268E7" w:rsidRDefault="00A66D22" w:rsidP="00A66D22">
            <w:pPr>
              <w:spacing w:before="100" w:beforeAutospacing="1" w:after="100" w:afterAutospacing="1" w:line="240" w:lineRule="auto"/>
              <w:jc w:val="center"/>
              <w:rPr>
                <w:rFonts w:cstheme="minorHAnsi"/>
                <w:b/>
                <w:spacing w:val="4"/>
              </w:rPr>
            </w:pPr>
            <w:r w:rsidRPr="001268E7">
              <w:rPr>
                <w:rFonts w:cstheme="minorHAnsi"/>
                <w:b/>
                <w:spacing w:val="4"/>
              </w:rPr>
              <w:t>Silne strony</w:t>
            </w:r>
          </w:p>
          <w:p w:rsidR="00660958" w:rsidRPr="001268E7" w:rsidRDefault="00660958" w:rsidP="00F05C96">
            <w:pPr>
              <w:spacing w:before="100" w:beforeAutospacing="1" w:after="100" w:afterAutospacing="1" w:line="240" w:lineRule="auto"/>
              <w:jc w:val="center"/>
              <w:rPr>
                <w:rFonts w:cstheme="minorHAnsi"/>
                <w:b/>
                <w:color w:val="000000"/>
              </w:rPr>
            </w:pPr>
          </w:p>
        </w:tc>
        <w:tc>
          <w:tcPr>
            <w:tcW w:w="4606" w:type="dxa"/>
            <w:shd w:val="clear" w:color="auto" w:fill="BFBFBF" w:themeFill="background1" w:themeFillShade="BF"/>
          </w:tcPr>
          <w:p w:rsidR="00F05C96" w:rsidRPr="001268E7" w:rsidRDefault="00A66D22" w:rsidP="00264841">
            <w:pPr>
              <w:tabs>
                <w:tab w:val="left" w:pos="1413"/>
              </w:tabs>
              <w:spacing w:before="100" w:beforeAutospacing="1" w:after="100" w:afterAutospacing="1" w:line="240" w:lineRule="auto"/>
              <w:jc w:val="center"/>
              <w:rPr>
                <w:rFonts w:cstheme="minorHAnsi"/>
                <w:b/>
                <w:color w:val="000000"/>
              </w:rPr>
            </w:pPr>
            <w:r w:rsidRPr="001268E7">
              <w:rPr>
                <w:rFonts w:cstheme="minorHAnsi"/>
                <w:b/>
                <w:color w:val="000000"/>
              </w:rPr>
              <w:t>Słabe strony</w:t>
            </w:r>
          </w:p>
        </w:tc>
      </w:tr>
      <w:tr w:rsidR="00A66D22" w:rsidRPr="001268E7" w:rsidTr="00A10FBE">
        <w:tc>
          <w:tcPr>
            <w:tcW w:w="4606" w:type="dxa"/>
            <w:shd w:val="clear" w:color="auto" w:fill="auto"/>
          </w:tcPr>
          <w:p w:rsidR="00F05C96" w:rsidRPr="001268E7" w:rsidRDefault="00A66D22" w:rsidP="00264841">
            <w:pPr>
              <w:spacing w:before="100" w:beforeAutospacing="1" w:after="100" w:afterAutospacing="1" w:line="240" w:lineRule="auto"/>
              <w:jc w:val="both"/>
              <w:rPr>
                <w:rFonts w:cstheme="minorHAnsi"/>
                <w:color w:val="000000"/>
              </w:rPr>
            </w:pPr>
            <w:r w:rsidRPr="001268E7">
              <w:rPr>
                <w:rFonts w:cstheme="minorHAnsi"/>
                <w:color w:val="000000"/>
              </w:rPr>
              <w:t>D</w:t>
            </w:r>
            <w:r w:rsidRPr="001268E7">
              <w:rPr>
                <w:rFonts w:cs="Calibri"/>
                <w:lang w:eastAsia="pl-PL"/>
              </w:rPr>
              <w:t>obrze rozwinięta współpraca o charakterze społeczno-kulturalnym w znacznej mierze odpowiadająca potencjałowi regionów przygranicznych pod tym względem;</w:t>
            </w:r>
          </w:p>
        </w:tc>
        <w:tc>
          <w:tcPr>
            <w:tcW w:w="4606" w:type="dxa"/>
            <w:shd w:val="clear" w:color="auto" w:fill="auto"/>
          </w:tcPr>
          <w:p w:rsidR="00F05C96" w:rsidRPr="001268E7" w:rsidRDefault="00A66D22" w:rsidP="00264841">
            <w:pPr>
              <w:spacing w:before="100" w:beforeAutospacing="1" w:after="100" w:afterAutospacing="1" w:line="240" w:lineRule="auto"/>
              <w:jc w:val="both"/>
              <w:rPr>
                <w:rFonts w:cstheme="minorHAnsi"/>
                <w:color w:val="000000"/>
              </w:rPr>
            </w:pPr>
            <w:r w:rsidRPr="001268E7">
              <w:rPr>
                <w:rFonts w:cs="Calibri"/>
                <w:lang w:eastAsia="pl-PL"/>
              </w:rPr>
              <w:t xml:space="preserve">Reżim graniczny związany z zewnętrzną granicą UE, w tym </w:t>
            </w:r>
            <w:r w:rsidR="00DD0F0F" w:rsidRPr="001268E7">
              <w:rPr>
                <w:rFonts w:cs="Calibri"/>
                <w:lang w:eastAsia="pl-PL"/>
              </w:rPr>
              <w:t xml:space="preserve">różne </w:t>
            </w:r>
            <w:r w:rsidRPr="001268E7">
              <w:rPr>
                <w:rFonts w:cs="Calibri"/>
                <w:lang w:eastAsia="pl-PL"/>
              </w:rPr>
              <w:t>dysfunkcje występujące na przejściach granicznych, które istotnie ograniczają interakcje transgraniczne;</w:t>
            </w:r>
          </w:p>
        </w:tc>
      </w:tr>
      <w:tr w:rsidR="00A66D22" w:rsidRPr="001268E7" w:rsidTr="00A10FBE">
        <w:tc>
          <w:tcPr>
            <w:tcW w:w="4606" w:type="dxa"/>
            <w:shd w:val="clear" w:color="auto" w:fill="auto"/>
          </w:tcPr>
          <w:p w:rsidR="00F05C96" w:rsidRPr="00172381" w:rsidRDefault="00172381" w:rsidP="00172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cstheme="minorHAnsi"/>
                <w:lang w:eastAsia="pl-PL"/>
              </w:rPr>
            </w:pPr>
            <w:r w:rsidRPr="00172381">
              <w:rPr>
                <w:rFonts w:asciiTheme="minorHAnsi" w:eastAsia="Times New Roman" w:hAnsiTheme="minorHAnsi" w:cstheme="minorHAnsi"/>
                <w:lang w:eastAsia="pl-PL"/>
              </w:rPr>
              <w:t>Zainteresowanie rozwojem współpracy instytucjonalnej, wyrażanej przez partnerów po obu stronach granicy</w:t>
            </w:r>
          </w:p>
        </w:tc>
        <w:tc>
          <w:tcPr>
            <w:tcW w:w="4606" w:type="dxa"/>
            <w:shd w:val="clear" w:color="auto" w:fill="auto"/>
          </w:tcPr>
          <w:p w:rsidR="00F05C96" w:rsidRPr="001268E7" w:rsidRDefault="00A66D22" w:rsidP="00264841">
            <w:pPr>
              <w:spacing w:before="100" w:beforeAutospacing="1" w:after="100" w:afterAutospacing="1" w:line="240" w:lineRule="auto"/>
              <w:jc w:val="both"/>
              <w:rPr>
                <w:rFonts w:cstheme="minorHAnsi"/>
                <w:color w:val="000000"/>
              </w:rPr>
            </w:pPr>
            <w:r w:rsidRPr="001268E7">
              <w:rPr>
                <w:rFonts w:cs="Calibri"/>
                <w:lang w:eastAsia="pl-PL"/>
              </w:rPr>
              <w:t>Niedorozwój infrastruktury technicznej (wodnej, turystycznej, transportowej i przejść granicznych), co stanowi barierę dla rozwoju interakcji transgranicznych;</w:t>
            </w:r>
          </w:p>
        </w:tc>
      </w:tr>
      <w:tr w:rsidR="00A66D22" w:rsidRPr="001268E7" w:rsidTr="00A10FBE">
        <w:tc>
          <w:tcPr>
            <w:tcW w:w="4606" w:type="dxa"/>
            <w:shd w:val="clear" w:color="auto" w:fill="auto"/>
          </w:tcPr>
          <w:p w:rsidR="00F05C96" w:rsidRPr="00172381" w:rsidRDefault="00172381" w:rsidP="007657EB">
            <w:pPr>
              <w:pStyle w:val="HTML-wstpniesformatowany"/>
              <w:jc w:val="both"/>
              <w:rPr>
                <w:rFonts w:asciiTheme="minorHAnsi" w:hAnsiTheme="minorHAnsi" w:cstheme="minorHAnsi"/>
                <w:sz w:val="22"/>
                <w:szCs w:val="22"/>
              </w:rPr>
            </w:pPr>
            <w:r w:rsidRPr="00172381">
              <w:rPr>
                <w:rFonts w:asciiTheme="minorHAnsi" w:hAnsiTheme="minorHAnsi" w:cstheme="minorHAnsi"/>
                <w:sz w:val="22"/>
                <w:szCs w:val="22"/>
              </w:rPr>
              <w:t xml:space="preserve">Transgraniczne ekosystemy o znaczących walorach środowiskowych </w:t>
            </w:r>
          </w:p>
        </w:tc>
        <w:tc>
          <w:tcPr>
            <w:tcW w:w="4606" w:type="dxa"/>
            <w:shd w:val="clear" w:color="auto" w:fill="auto"/>
          </w:tcPr>
          <w:p w:rsidR="00F05C96" w:rsidRPr="001268E7" w:rsidRDefault="00A66D22" w:rsidP="00264841">
            <w:pPr>
              <w:spacing w:before="100" w:beforeAutospacing="1" w:after="100" w:afterAutospacing="1" w:line="240" w:lineRule="auto"/>
              <w:jc w:val="both"/>
              <w:rPr>
                <w:rFonts w:cstheme="minorHAnsi"/>
                <w:color w:val="000000"/>
              </w:rPr>
            </w:pPr>
            <w:r w:rsidRPr="001268E7">
              <w:rPr>
                <w:rFonts w:cs="Calibri"/>
                <w:lang w:eastAsia="pl-PL"/>
              </w:rPr>
              <w:t>Transgraniczne zanieczyszczenie środowiska, zwłaszcza w Zalewie Wiślanym i Zatoce Gdańskiej;</w:t>
            </w:r>
          </w:p>
        </w:tc>
      </w:tr>
      <w:tr w:rsidR="00A66D22" w:rsidRPr="001268E7" w:rsidTr="00A10FBE">
        <w:tc>
          <w:tcPr>
            <w:tcW w:w="4606" w:type="dxa"/>
            <w:shd w:val="clear" w:color="auto" w:fill="auto"/>
          </w:tcPr>
          <w:p w:rsidR="00F05C96" w:rsidRPr="001268E7" w:rsidRDefault="00A66D22" w:rsidP="00264841">
            <w:pPr>
              <w:spacing w:before="100" w:beforeAutospacing="1" w:after="100" w:afterAutospacing="1" w:line="240" w:lineRule="auto"/>
              <w:jc w:val="both"/>
              <w:rPr>
                <w:rFonts w:cstheme="minorHAnsi"/>
                <w:color w:val="000000"/>
              </w:rPr>
            </w:pPr>
            <w:r w:rsidRPr="001268E7">
              <w:rPr>
                <w:rFonts w:cstheme="minorHAnsi"/>
                <w:color w:val="000000"/>
              </w:rPr>
              <w:t>Istniejąca sieć współpracy i know-how wypracowane dzięki programom finansowanym przez UE w latach 2004-2006 i programom współfinansowanym przez Unię Europejską oraz Federację Rosyjską w latach 2007-13;</w:t>
            </w:r>
          </w:p>
        </w:tc>
        <w:tc>
          <w:tcPr>
            <w:tcW w:w="4606" w:type="dxa"/>
            <w:shd w:val="clear" w:color="auto" w:fill="auto"/>
          </w:tcPr>
          <w:p w:rsidR="00F05C96" w:rsidRPr="001268E7" w:rsidRDefault="006A23BC" w:rsidP="006A23BC">
            <w:pPr>
              <w:spacing w:before="100" w:beforeAutospacing="1" w:after="100" w:afterAutospacing="1" w:line="240" w:lineRule="auto"/>
              <w:jc w:val="center"/>
              <w:rPr>
                <w:rFonts w:cstheme="minorHAnsi"/>
                <w:color w:val="000000"/>
              </w:rPr>
            </w:pPr>
            <w:r w:rsidRPr="001268E7">
              <w:rPr>
                <w:rFonts w:cstheme="minorHAnsi"/>
                <w:color w:val="000000"/>
              </w:rPr>
              <w:t>-</w:t>
            </w:r>
          </w:p>
        </w:tc>
      </w:tr>
      <w:tr w:rsidR="00A66D22" w:rsidRPr="001268E7" w:rsidTr="00A10FBE">
        <w:tc>
          <w:tcPr>
            <w:tcW w:w="4606" w:type="dxa"/>
            <w:shd w:val="clear" w:color="auto" w:fill="auto"/>
          </w:tcPr>
          <w:p w:rsidR="00F05C96" w:rsidRPr="001268E7" w:rsidRDefault="00A66D22" w:rsidP="00264841">
            <w:pPr>
              <w:spacing w:before="100" w:beforeAutospacing="1" w:after="100" w:afterAutospacing="1" w:line="240" w:lineRule="auto"/>
              <w:jc w:val="both"/>
              <w:rPr>
                <w:rFonts w:cstheme="minorHAnsi"/>
                <w:color w:val="000000"/>
              </w:rPr>
            </w:pPr>
            <w:r w:rsidRPr="001268E7">
              <w:rPr>
                <w:rFonts w:cstheme="minorHAnsi"/>
                <w:color w:val="000000"/>
              </w:rPr>
              <w:t>Różnorodność kulturowa;</w:t>
            </w:r>
          </w:p>
        </w:tc>
        <w:tc>
          <w:tcPr>
            <w:tcW w:w="4606" w:type="dxa"/>
            <w:shd w:val="clear" w:color="auto" w:fill="auto"/>
          </w:tcPr>
          <w:p w:rsidR="00F05C96" w:rsidRPr="001268E7" w:rsidRDefault="006A23BC" w:rsidP="006A23BC">
            <w:pPr>
              <w:spacing w:before="100" w:beforeAutospacing="1" w:after="100" w:afterAutospacing="1" w:line="240" w:lineRule="auto"/>
              <w:jc w:val="center"/>
              <w:rPr>
                <w:rFonts w:cstheme="minorHAnsi"/>
                <w:color w:val="000000"/>
              </w:rPr>
            </w:pPr>
            <w:r w:rsidRPr="001268E7">
              <w:rPr>
                <w:rFonts w:cstheme="minorHAnsi"/>
                <w:color w:val="000000"/>
              </w:rPr>
              <w:t>-</w:t>
            </w:r>
          </w:p>
        </w:tc>
      </w:tr>
      <w:tr w:rsidR="00A66D22" w:rsidRPr="001268E7" w:rsidTr="00A10FBE">
        <w:tc>
          <w:tcPr>
            <w:tcW w:w="4606" w:type="dxa"/>
            <w:shd w:val="clear" w:color="auto" w:fill="auto"/>
          </w:tcPr>
          <w:p w:rsidR="00F05C96" w:rsidRPr="001268E7" w:rsidRDefault="00A10FBE" w:rsidP="00264841">
            <w:pPr>
              <w:spacing w:before="100" w:beforeAutospacing="1" w:after="100" w:afterAutospacing="1" w:line="240" w:lineRule="auto"/>
              <w:jc w:val="both"/>
              <w:rPr>
                <w:rFonts w:cstheme="minorHAnsi"/>
                <w:color w:val="000000"/>
              </w:rPr>
            </w:pPr>
            <w:r w:rsidRPr="001268E7">
              <w:rPr>
                <w:rFonts w:cstheme="minorHAnsi"/>
                <w:color w:val="000000"/>
              </w:rPr>
              <w:t>Zasoby turystyczne i przyrodnicze.</w:t>
            </w:r>
          </w:p>
        </w:tc>
        <w:tc>
          <w:tcPr>
            <w:tcW w:w="4606" w:type="dxa"/>
            <w:shd w:val="clear" w:color="auto" w:fill="auto"/>
          </w:tcPr>
          <w:p w:rsidR="00F05C96" w:rsidRPr="001268E7" w:rsidRDefault="006A23BC" w:rsidP="006A23BC">
            <w:pPr>
              <w:spacing w:before="100" w:beforeAutospacing="1" w:after="100" w:afterAutospacing="1" w:line="240" w:lineRule="auto"/>
              <w:jc w:val="center"/>
              <w:rPr>
                <w:rFonts w:cstheme="minorHAnsi"/>
                <w:color w:val="000000"/>
              </w:rPr>
            </w:pPr>
            <w:r w:rsidRPr="001268E7">
              <w:rPr>
                <w:rFonts w:cstheme="minorHAnsi"/>
                <w:color w:val="000000"/>
              </w:rPr>
              <w:t>-</w:t>
            </w:r>
          </w:p>
        </w:tc>
      </w:tr>
      <w:tr w:rsidR="007657EB" w:rsidRPr="001268E7" w:rsidTr="007657EB">
        <w:tc>
          <w:tcPr>
            <w:tcW w:w="4606" w:type="dxa"/>
            <w:shd w:val="clear" w:color="auto" w:fill="BFBFBF" w:themeFill="background1" w:themeFillShade="BF"/>
          </w:tcPr>
          <w:p w:rsidR="007657EB" w:rsidRPr="001268E7" w:rsidRDefault="007657EB" w:rsidP="00456895">
            <w:pPr>
              <w:spacing w:before="100" w:beforeAutospacing="1" w:after="100" w:afterAutospacing="1" w:line="240" w:lineRule="auto"/>
              <w:jc w:val="center"/>
              <w:rPr>
                <w:rFonts w:cstheme="minorHAnsi"/>
                <w:b/>
                <w:spacing w:val="4"/>
              </w:rPr>
            </w:pPr>
            <w:r w:rsidRPr="001268E7">
              <w:rPr>
                <w:rFonts w:cstheme="minorHAnsi"/>
                <w:b/>
                <w:spacing w:val="4"/>
              </w:rPr>
              <w:t>Możliwości</w:t>
            </w:r>
          </w:p>
          <w:p w:rsidR="007657EB" w:rsidRPr="001268E7" w:rsidRDefault="007657EB" w:rsidP="00456895">
            <w:pPr>
              <w:spacing w:before="100" w:beforeAutospacing="1" w:after="100" w:afterAutospacing="1" w:line="240" w:lineRule="auto"/>
              <w:jc w:val="center"/>
              <w:rPr>
                <w:rFonts w:cstheme="minorHAnsi"/>
                <w:b/>
                <w:spacing w:val="4"/>
              </w:rPr>
            </w:pPr>
          </w:p>
        </w:tc>
        <w:tc>
          <w:tcPr>
            <w:tcW w:w="4606" w:type="dxa"/>
            <w:shd w:val="clear" w:color="auto" w:fill="BFBFBF" w:themeFill="background1" w:themeFillShade="BF"/>
          </w:tcPr>
          <w:p w:rsidR="007657EB" w:rsidRPr="001268E7" w:rsidRDefault="007657EB" w:rsidP="00456895">
            <w:pPr>
              <w:spacing w:before="100" w:beforeAutospacing="1" w:after="100" w:afterAutospacing="1" w:line="240" w:lineRule="auto"/>
              <w:jc w:val="center"/>
              <w:rPr>
                <w:rFonts w:cstheme="minorHAnsi"/>
                <w:b/>
                <w:spacing w:val="4"/>
              </w:rPr>
            </w:pPr>
            <w:r w:rsidRPr="001268E7">
              <w:rPr>
                <w:rFonts w:cstheme="minorHAnsi"/>
                <w:b/>
                <w:spacing w:val="4"/>
              </w:rPr>
              <w:t>Zagrożenia</w:t>
            </w:r>
          </w:p>
        </w:tc>
      </w:tr>
      <w:tr w:rsidR="007657EB" w:rsidRPr="001268E7" w:rsidTr="007657EB">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Wysoki potencjał rozwoju turystyki;</w:t>
            </w:r>
          </w:p>
        </w:tc>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Zmiana klimatu;</w:t>
            </w:r>
          </w:p>
        </w:tc>
      </w:tr>
      <w:tr w:rsidR="007657EB" w:rsidRPr="001268E7" w:rsidTr="007657EB">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 xml:space="preserve">Współpraca obszarów przygranicznych w </w:t>
            </w:r>
            <w:r w:rsidRPr="001268E7">
              <w:rPr>
                <w:rFonts w:cstheme="minorHAnsi"/>
                <w:color w:val="000000"/>
              </w:rPr>
              <w:lastRenderedPageBreak/>
              <w:t>zakresie uzdatniania wody, gospodarki odpadami i terenów podlegających ochronie;</w:t>
            </w:r>
          </w:p>
        </w:tc>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lastRenderedPageBreak/>
              <w:t xml:space="preserve">Nieustanne zanieczyszczenie wód </w:t>
            </w:r>
            <w:r w:rsidRPr="001268E7">
              <w:rPr>
                <w:rFonts w:cstheme="minorHAnsi"/>
                <w:color w:val="000000"/>
              </w:rPr>
              <w:lastRenderedPageBreak/>
              <w:t>powierzchniowych i jezior;</w:t>
            </w:r>
          </w:p>
        </w:tc>
      </w:tr>
      <w:tr w:rsidR="007657EB" w:rsidRPr="001268E7" w:rsidTr="007657EB">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lastRenderedPageBreak/>
              <w:t>Współpraca w zakresie rozwoju turystyki;</w:t>
            </w:r>
          </w:p>
        </w:tc>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Narastające różnice ekonomiczne pomiędzy ośrodkami miejskimi a terenami wiejskimi;</w:t>
            </w:r>
          </w:p>
        </w:tc>
      </w:tr>
      <w:tr w:rsidR="007657EB" w:rsidRPr="001268E7" w:rsidTr="007657EB">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Rozwój międzynarodowych sieci transportowych;</w:t>
            </w:r>
          </w:p>
        </w:tc>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Migracja zewnętrzna młodej populacji; starzenie się społeczeństwa;</w:t>
            </w:r>
          </w:p>
        </w:tc>
      </w:tr>
      <w:tr w:rsidR="007657EB" w:rsidRPr="001268E7" w:rsidTr="007657EB">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Nasilenie się globalnej tendencji do budowania gospodarki opartej na wiedzy;</w:t>
            </w:r>
          </w:p>
        </w:tc>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Zwiększone zanieczyszczenie w wyniku rozwoju przemysłowego, ruchu drogowego;</w:t>
            </w:r>
          </w:p>
        </w:tc>
      </w:tr>
      <w:tr w:rsidR="007657EB" w:rsidRPr="001268E7" w:rsidTr="007657EB">
        <w:trPr>
          <w:trHeight w:val="489"/>
        </w:trPr>
        <w:tc>
          <w:tcPr>
            <w:tcW w:w="4606" w:type="dxa"/>
          </w:tcPr>
          <w:p w:rsidR="007657EB" w:rsidRPr="001268E7" w:rsidRDefault="007657EB" w:rsidP="00456895">
            <w:pPr>
              <w:spacing w:before="100" w:beforeAutospacing="1" w:after="100" w:afterAutospacing="1" w:line="240" w:lineRule="auto"/>
              <w:jc w:val="both"/>
              <w:rPr>
                <w:rFonts w:cstheme="minorHAnsi"/>
                <w:color w:val="000000"/>
              </w:rPr>
            </w:pPr>
            <w:r w:rsidRPr="001268E7">
              <w:rPr>
                <w:rFonts w:cstheme="minorHAnsi"/>
                <w:color w:val="000000"/>
              </w:rPr>
              <w:t>Ścisła współpraca pomiędzy władzami na różnym szczeblu oraz pomiędzy instytucjami.</w:t>
            </w:r>
          </w:p>
        </w:tc>
        <w:tc>
          <w:tcPr>
            <w:tcW w:w="4606" w:type="dxa"/>
          </w:tcPr>
          <w:p w:rsidR="007657EB" w:rsidRPr="007657EB" w:rsidRDefault="007657EB" w:rsidP="00456895">
            <w:pPr>
              <w:spacing w:before="100" w:beforeAutospacing="1" w:after="100" w:afterAutospacing="1" w:line="240" w:lineRule="auto"/>
              <w:jc w:val="both"/>
              <w:rPr>
                <w:rFonts w:asciiTheme="minorHAnsi" w:hAnsiTheme="minorHAnsi" w:cstheme="minorHAnsi"/>
                <w:color w:val="000000"/>
              </w:rPr>
            </w:pPr>
            <w:r w:rsidRPr="007657EB">
              <w:rPr>
                <w:rFonts w:asciiTheme="minorHAnsi" w:hAnsiTheme="minorHAnsi" w:cstheme="minorHAnsi"/>
                <w:color w:val="000000"/>
              </w:rPr>
              <w:t>Spowolnienie gospodarcze i osłabienie więzów handlowych pomiędzy państwami partnerskimi (również w wyniku sytuacji politycznej w okresie przygotowania Programu);</w:t>
            </w:r>
          </w:p>
        </w:tc>
      </w:tr>
      <w:tr w:rsidR="007657EB" w:rsidRPr="001268E7" w:rsidTr="007657EB">
        <w:trPr>
          <w:trHeight w:val="833"/>
        </w:trPr>
        <w:tc>
          <w:tcPr>
            <w:tcW w:w="4606" w:type="dxa"/>
          </w:tcPr>
          <w:p w:rsidR="007657EB" w:rsidRPr="001268E7" w:rsidRDefault="007657EB" w:rsidP="00D61551">
            <w:pPr>
              <w:spacing w:after="0" w:line="240" w:lineRule="auto"/>
              <w:jc w:val="center"/>
              <w:rPr>
                <w:rFonts w:cstheme="minorHAnsi"/>
                <w:color w:val="000000"/>
              </w:rPr>
            </w:pPr>
            <w:r>
              <w:rPr>
                <w:rFonts w:cstheme="minorHAnsi"/>
                <w:color w:val="000000"/>
              </w:rPr>
              <w:t>-</w:t>
            </w:r>
          </w:p>
        </w:tc>
        <w:tc>
          <w:tcPr>
            <w:tcW w:w="4606" w:type="dxa"/>
          </w:tcPr>
          <w:p w:rsidR="007657EB" w:rsidRPr="007657EB" w:rsidRDefault="007657EB" w:rsidP="00D61551">
            <w:pPr>
              <w:pStyle w:val="HTML-wstpniesformatowany"/>
              <w:jc w:val="both"/>
              <w:rPr>
                <w:rFonts w:asciiTheme="minorHAnsi" w:hAnsiTheme="minorHAnsi" w:cstheme="minorHAnsi"/>
                <w:sz w:val="22"/>
                <w:szCs w:val="22"/>
              </w:rPr>
            </w:pPr>
            <w:r w:rsidRPr="007657EB">
              <w:rPr>
                <w:rFonts w:asciiTheme="minorHAnsi" w:hAnsiTheme="minorHAnsi" w:cstheme="minorHAnsi"/>
                <w:sz w:val="22"/>
                <w:szCs w:val="22"/>
              </w:rPr>
              <w:t>Wprowadzenie ograniczeń administracyjnych ograniczających ruch transgraniczny</w:t>
            </w:r>
          </w:p>
        </w:tc>
      </w:tr>
    </w:tbl>
    <w:p w:rsidR="00D61551" w:rsidRPr="00D61551" w:rsidRDefault="00D61551" w:rsidP="00D61551">
      <w:pPr>
        <w:spacing w:after="0" w:line="240" w:lineRule="auto"/>
        <w:jc w:val="both"/>
        <w:rPr>
          <w:rFonts w:cstheme="minorHAnsi"/>
          <w:b/>
          <w:i/>
          <w:color w:val="000000"/>
          <w:sz w:val="20"/>
          <w:szCs w:val="20"/>
        </w:rPr>
      </w:pPr>
      <w:r w:rsidRPr="00D61551">
        <w:rPr>
          <w:rFonts w:cstheme="minorHAnsi"/>
          <w:b/>
          <w:i/>
          <w:color w:val="000000"/>
          <w:sz w:val="20"/>
          <w:szCs w:val="20"/>
        </w:rPr>
        <w:t>Tabela 3. Analiza SWOT</w:t>
      </w:r>
    </w:p>
    <w:p w:rsidR="003B42AD" w:rsidRPr="001268E7" w:rsidRDefault="00A10FBE" w:rsidP="00A10FBE">
      <w:pPr>
        <w:pStyle w:val="Nagwek3"/>
      </w:pPr>
      <w:bookmarkStart w:id="17" w:name="_Toc530737568"/>
      <w:r w:rsidRPr="001268E7">
        <w:t xml:space="preserve">2.2.2. Doświadczenia </w:t>
      </w:r>
      <w:r w:rsidR="009F28D5" w:rsidRPr="001268E7">
        <w:t xml:space="preserve">z </w:t>
      </w:r>
      <w:r w:rsidRPr="001268E7">
        <w:t>poprzednich Programów Wsparcia Transgranicznego</w:t>
      </w:r>
      <w:bookmarkEnd w:id="17"/>
    </w:p>
    <w:p w:rsidR="003B42AD" w:rsidRPr="001268E7" w:rsidRDefault="00A10FBE" w:rsidP="00A10FBE">
      <w:pPr>
        <w:pStyle w:val="NormalnyWeb"/>
        <w:jc w:val="both"/>
        <w:rPr>
          <w:rFonts w:asciiTheme="minorHAnsi" w:hAnsiTheme="minorHAnsi"/>
        </w:rPr>
      </w:pPr>
      <w:r w:rsidRPr="001268E7">
        <w:rPr>
          <w:rFonts w:asciiTheme="minorHAnsi" w:hAnsiTheme="minorHAnsi"/>
        </w:rPr>
        <w:t>Program Współpracy Transgranicznej Polska-Rosja 2014-2020 opiera się na doświadczeniach współpracy w obszarze kwalifikowalnym między polskimi i rosyjskimi lokalnymi, regionalnymi i krajowymi instytucjami, która rozpoczęła się aktywnie rozwijać w latach 90-tych.</w:t>
      </w:r>
      <w:r w:rsidR="003B42AD" w:rsidRPr="001268E7">
        <w:rPr>
          <w:rFonts w:asciiTheme="minorHAnsi" w:hAnsiTheme="minorHAnsi"/>
        </w:rPr>
        <w:t xml:space="preserve"> </w:t>
      </w:r>
      <w:r w:rsidRPr="001268E7">
        <w:rPr>
          <w:rFonts w:asciiTheme="minorHAnsi" w:hAnsiTheme="minorHAnsi"/>
        </w:rPr>
        <w:t xml:space="preserve">Współpraca transgraniczna </w:t>
      </w:r>
      <w:r w:rsidRPr="001268E7">
        <w:rPr>
          <w:rFonts w:asciiTheme="minorHAnsi" w:hAnsiTheme="minorHAnsi" w:cs="Calibri"/>
        </w:rPr>
        <w:t>od samego początku koncentrowała się na wspólnych problemach sąsiadujących regionów i była skierowana na uczynienie regionów bardziej konkurencyjnymi i atrakcyjnymi.</w:t>
      </w:r>
    </w:p>
    <w:p w:rsidR="003B42AD" w:rsidRPr="001268E7" w:rsidRDefault="009F28D5" w:rsidP="00A10FBE">
      <w:pPr>
        <w:pStyle w:val="NormalnyWeb"/>
        <w:jc w:val="both"/>
        <w:rPr>
          <w:rFonts w:asciiTheme="minorHAnsi" w:hAnsiTheme="minorHAnsi"/>
        </w:rPr>
      </w:pPr>
      <w:r w:rsidRPr="001268E7">
        <w:rPr>
          <w:rFonts w:asciiTheme="minorHAnsi" w:hAnsiTheme="minorHAnsi"/>
        </w:rPr>
        <w:t>W 1990 r.</w:t>
      </w:r>
      <w:r w:rsidR="00A10FBE" w:rsidRPr="001268E7">
        <w:rPr>
          <w:rFonts w:asciiTheme="minorHAnsi" w:hAnsiTheme="minorHAnsi"/>
        </w:rPr>
        <w:t xml:space="preserve"> pomiędzy Polską a Federacją Rosyjską otworzono pierwsze przejście graniczne (Braniewo-</w:t>
      </w:r>
      <w:r w:rsidR="003F18AD" w:rsidRPr="001268E7">
        <w:rPr>
          <w:rFonts w:asciiTheme="minorHAnsi" w:hAnsiTheme="minorHAnsi"/>
        </w:rPr>
        <w:t>Mamonowo</w:t>
      </w:r>
      <w:r w:rsidR="00A10FBE" w:rsidRPr="001268E7">
        <w:rPr>
          <w:rFonts w:asciiTheme="minorHAnsi" w:hAnsiTheme="minorHAnsi"/>
        </w:rPr>
        <w:t>).</w:t>
      </w:r>
      <w:r w:rsidR="003B42AD" w:rsidRPr="001268E7">
        <w:rPr>
          <w:rFonts w:asciiTheme="minorHAnsi" w:hAnsiTheme="minorHAnsi"/>
        </w:rPr>
        <w:t xml:space="preserve"> </w:t>
      </w:r>
      <w:r w:rsidR="009C1CFB" w:rsidRPr="009C1CFB">
        <w:rPr>
          <w:rFonts w:asciiTheme="minorHAnsi" w:hAnsiTheme="minorHAnsi"/>
        </w:rPr>
        <w:t>Współpraca regionalna pomiędzy obydwoma państwami przejawia się w pracy Polsko-Rosyjskiej Rady ds. Współpracy Regionów RP z Obwodem Kaliningradzkim FR. Rada została oficjalnie ustanowiona w 1992 r. na mocy Umowy między Rządem Rzeczypospolitej Polskiej a Rządem Federacji Rosyjskiej o współpracy transgranicznej z dn. 2 października 1992 r. oraz na mocy Porozumienia między Rządem Rzeczypospolitej Polskiej a Rządem Federacji Rosyjskiej o współpracy północno-wschodnich województw Rzeczypospolitej Polskiej i Obwodu Kaliningradzkiego Federacji Rosyjskiej.</w:t>
      </w:r>
      <w:r w:rsidR="003B42AD" w:rsidRPr="001268E7">
        <w:rPr>
          <w:rFonts w:asciiTheme="minorHAnsi" w:hAnsiTheme="minorHAnsi"/>
        </w:rPr>
        <w:t xml:space="preserve"> </w:t>
      </w:r>
      <w:r w:rsidR="00A10FBE" w:rsidRPr="001268E7">
        <w:rPr>
          <w:rFonts w:asciiTheme="minorHAnsi" w:hAnsiTheme="minorHAnsi"/>
        </w:rPr>
        <w:t>Władze polskich regionów objętych Programem podpisały umowy o stałej współpracy z ich kaliningradzkimi odpowiednikami.</w:t>
      </w:r>
      <w:r w:rsidR="003B42AD" w:rsidRPr="001268E7">
        <w:rPr>
          <w:rFonts w:asciiTheme="minorHAnsi" w:hAnsiTheme="minorHAnsi"/>
        </w:rPr>
        <w:t xml:space="preserve"> </w:t>
      </w:r>
      <w:r w:rsidR="00A10FBE" w:rsidRPr="001268E7">
        <w:rPr>
          <w:rFonts w:asciiTheme="minorHAnsi" w:hAnsiTheme="minorHAnsi"/>
        </w:rPr>
        <w:t>Ustanowiono również euroregiony: Niemen-Neman-Nem</w:t>
      </w:r>
      <w:r w:rsidRPr="001268E7">
        <w:rPr>
          <w:rFonts w:asciiTheme="minorHAnsi" w:hAnsiTheme="minorHAnsi"/>
        </w:rPr>
        <w:t>unas w 1997 r. i E</w:t>
      </w:r>
      <w:r w:rsidR="00A10FBE" w:rsidRPr="001268E7">
        <w:rPr>
          <w:rFonts w:asciiTheme="minorHAnsi" w:hAnsiTheme="minorHAnsi"/>
        </w:rPr>
        <w:t xml:space="preserve">uroregion Bałtyk w 1998 r. </w:t>
      </w:r>
      <w:r w:rsidRPr="001268E7">
        <w:rPr>
          <w:rFonts w:asciiTheme="minorHAnsi" w:hAnsiTheme="minorHAnsi"/>
        </w:rPr>
        <w:t>W</w:t>
      </w:r>
      <w:r w:rsidR="00A10FBE" w:rsidRPr="001268E7">
        <w:rPr>
          <w:rFonts w:asciiTheme="minorHAnsi" w:hAnsiTheme="minorHAnsi"/>
        </w:rPr>
        <w:t xml:space="preserve"> celu przekazania środków unijnych (PHARE i TACIS) na regionalny roz</w:t>
      </w:r>
      <w:r w:rsidRPr="001268E7">
        <w:rPr>
          <w:rFonts w:asciiTheme="minorHAnsi" w:hAnsiTheme="minorHAnsi"/>
        </w:rPr>
        <w:t>wój i transgraniczną współpracę wykorzystano struktury euroregionalne.</w:t>
      </w:r>
    </w:p>
    <w:p w:rsidR="003B42AD" w:rsidRPr="001268E7" w:rsidRDefault="00A10FBE" w:rsidP="009302AA">
      <w:pPr>
        <w:pStyle w:val="NormalnyWeb"/>
        <w:jc w:val="both"/>
        <w:rPr>
          <w:rFonts w:asciiTheme="minorHAnsi" w:hAnsiTheme="minorHAnsi"/>
        </w:rPr>
      </w:pPr>
      <w:r w:rsidRPr="001268E7">
        <w:rPr>
          <w:rFonts w:asciiTheme="minorHAnsi" w:hAnsiTheme="minorHAnsi"/>
        </w:rPr>
        <w:t>W latach 2004-2006 uruc</w:t>
      </w:r>
      <w:r w:rsidR="009302AA" w:rsidRPr="001268E7">
        <w:rPr>
          <w:rFonts w:asciiTheme="minorHAnsi" w:hAnsiTheme="minorHAnsi"/>
        </w:rPr>
        <w:t xml:space="preserve">homiono nowy program wsparcia UE </w:t>
      </w:r>
      <w:r w:rsidRPr="001268E7">
        <w:rPr>
          <w:rFonts w:asciiTheme="minorHAnsi" w:hAnsiTheme="minorHAnsi"/>
        </w:rPr>
        <w:t xml:space="preserve">dla obwodu kaliningradzkiego Federacji Rosyjskiej </w:t>
      </w:r>
      <w:r w:rsidR="009302AA" w:rsidRPr="001268E7">
        <w:rPr>
          <w:rFonts w:asciiTheme="minorHAnsi" w:hAnsiTheme="minorHAnsi"/>
        </w:rPr>
        <w:t>oraz jego polskich i litewskich sąsiadów w regionie: Program Sąsiedztwa Litwa, Polska i Federacja Rosyjska INTERREG IIIA /Tacis.</w:t>
      </w:r>
      <w:r w:rsidR="003B42AD" w:rsidRPr="001268E7">
        <w:rPr>
          <w:rFonts w:asciiTheme="minorHAnsi" w:hAnsiTheme="minorHAnsi"/>
        </w:rPr>
        <w:t xml:space="preserve"> </w:t>
      </w:r>
      <w:r w:rsidR="009302AA" w:rsidRPr="001268E7">
        <w:rPr>
          <w:rFonts w:asciiTheme="minorHAnsi" w:hAnsiTheme="minorHAnsi"/>
        </w:rPr>
        <w:t>W latach 2004-2006 na program</w:t>
      </w:r>
      <w:r w:rsidR="009F28D5" w:rsidRPr="001268E7">
        <w:rPr>
          <w:rFonts w:asciiTheme="minorHAnsi" w:hAnsiTheme="minorHAnsi"/>
        </w:rPr>
        <w:t xml:space="preserve"> przeznaczono ponad 44,5 mln</w:t>
      </w:r>
      <w:r w:rsidR="009302AA" w:rsidRPr="001268E7">
        <w:rPr>
          <w:rFonts w:asciiTheme="minorHAnsi" w:hAnsiTheme="minorHAnsi"/>
        </w:rPr>
        <w:t xml:space="preserve"> euro (36,5 mln euro z EFRR i 8 mln euro z TACIS), co umożliwiło </w:t>
      </w:r>
      <w:r w:rsidR="009F28D5" w:rsidRPr="001268E7">
        <w:rPr>
          <w:rFonts w:asciiTheme="minorHAnsi" w:hAnsiTheme="minorHAnsi"/>
        </w:rPr>
        <w:t>współ</w:t>
      </w:r>
      <w:r w:rsidR="009302AA" w:rsidRPr="001268E7">
        <w:rPr>
          <w:rFonts w:asciiTheme="minorHAnsi" w:hAnsiTheme="minorHAnsi"/>
        </w:rPr>
        <w:t>sfinansowanie 162 projektów transgranicznych.</w:t>
      </w:r>
    </w:p>
    <w:p w:rsidR="00D61551" w:rsidRDefault="00D61551" w:rsidP="009302AA">
      <w:pPr>
        <w:autoSpaceDE w:val="0"/>
        <w:autoSpaceDN w:val="0"/>
        <w:adjustRightInd w:val="0"/>
        <w:spacing w:before="100" w:beforeAutospacing="1" w:after="100" w:afterAutospacing="1" w:line="240" w:lineRule="auto"/>
        <w:jc w:val="both"/>
        <w:rPr>
          <w:rFonts w:cstheme="minorHAnsi"/>
          <w:sz w:val="24"/>
          <w:szCs w:val="24"/>
        </w:rPr>
      </w:pPr>
    </w:p>
    <w:p w:rsidR="00D61551" w:rsidRDefault="00D61551" w:rsidP="009302AA">
      <w:pPr>
        <w:autoSpaceDE w:val="0"/>
        <w:autoSpaceDN w:val="0"/>
        <w:adjustRightInd w:val="0"/>
        <w:spacing w:before="100" w:beforeAutospacing="1" w:after="100" w:afterAutospacing="1" w:line="240" w:lineRule="auto"/>
        <w:jc w:val="both"/>
        <w:rPr>
          <w:rFonts w:cstheme="minorHAnsi"/>
          <w:sz w:val="24"/>
          <w:szCs w:val="24"/>
        </w:rPr>
      </w:pPr>
    </w:p>
    <w:p w:rsidR="003B42AD" w:rsidRPr="001268E7" w:rsidRDefault="009302AA" w:rsidP="009302AA">
      <w:pPr>
        <w:autoSpaceDE w:val="0"/>
        <w:autoSpaceDN w:val="0"/>
        <w:adjustRightInd w:val="0"/>
        <w:spacing w:before="100" w:beforeAutospacing="1" w:after="100" w:afterAutospacing="1" w:line="240" w:lineRule="auto"/>
        <w:jc w:val="both"/>
        <w:rPr>
          <w:rFonts w:cstheme="minorHAnsi"/>
          <w:sz w:val="24"/>
          <w:szCs w:val="24"/>
        </w:rPr>
      </w:pPr>
      <w:r w:rsidRPr="001268E7">
        <w:rPr>
          <w:rFonts w:cstheme="minorHAnsi"/>
          <w:sz w:val="24"/>
          <w:szCs w:val="24"/>
        </w:rPr>
        <w:lastRenderedPageBreak/>
        <w:t>Główne doświadczenia zdobyte podczas Programu Sąsiedztwa:</w:t>
      </w:r>
    </w:p>
    <w:p w:rsidR="009302AA" w:rsidRPr="001268E7" w:rsidRDefault="009302AA" w:rsidP="00C62170">
      <w:pPr>
        <w:pStyle w:val="Akapitzlist"/>
        <w:numPr>
          <w:ilvl w:val="0"/>
          <w:numId w:val="32"/>
        </w:numPr>
        <w:spacing w:before="100" w:beforeAutospacing="1" w:after="100" w:afterAutospacing="1" w:line="240" w:lineRule="auto"/>
        <w:contextualSpacing w:val="0"/>
        <w:jc w:val="both"/>
        <w:rPr>
          <w:rFonts w:cstheme="minorHAnsi"/>
          <w:iCs/>
          <w:vanish/>
          <w:sz w:val="24"/>
          <w:szCs w:val="24"/>
        </w:rPr>
      </w:pPr>
      <w:r w:rsidRPr="001268E7">
        <w:rPr>
          <w:rFonts w:cstheme="minorHAnsi"/>
          <w:sz w:val="24"/>
          <w:szCs w:val="24"/>
        </w:rPr>
        <w:t>Struktura wdrożenia Programu była zbyt skomplikowana. Różne procedury dla Interreg i Tacis spowodowały zdublowanie się działań podejmowanych przez różne instytucje i utworzenie dodatkowego nakładu pracy. Dokumenty wykorzystywane w Programie okazały się zbyt skomplikowane dla beneficjentów;</w:t>
      </w:r>
    </w:p>
    <w:p w:rsidR="003279F7" w:rsidRDefault="003279F7" w:rsidP="00C62170">
      <w:pPr>
        <w:pStyle w:val="Akapitzlist"/>
        <w:numPr>
          <w:ilvl w:val="0"/>
          <w:numId w:val="32"/>
        </w:numPr>
        <w:spacing w:before="100" w:beforeAutospacing="1" w:after="100" w:afterAutospacing="1" w:line="240" w:lineRule="auto"/>
        <w:contextualSpacing w:val="0"/>
        <w:jc w:val="both"/>
        <w:rPr>
          <w:rFonts w:cstheme="minorHAnsi"/>
          <w:sz w:val="24"/>
          <w:szCs w:val="24"/>
        </w:rPr>
      </w:pPr>
    </w:p>
    <w:p w:rsidR="009302AA" w:rsidRPr="001268E7" w:rsidRDefault="009302AA" w:rsidP="00C62170">
      <w:pPr>
        <w:pStyle w:val="Akapitzlist"/>
        <w:numPr>
          <w:ilvl w:val="0"/>
          <w:numId w:val="32"/>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Wymagany wkład w wysokości 10% krajowego współfinansowania i stosunkowo wysoki minimalny limit dla wartości pro</w:t>
      </w:r>
      <w:r w:rsidR="009F28D5" w:rsidRPr="001268E7">
        <w:rPr>
          <w:rFonts w:cstheme="minorHAnsi"/>
          <w:sz w:val="24"/>
          <w:szCs w:val="24"/>
        </w:rPr>
        <w:t xml:space="preserve">jektu (50 000 euro) utrudniły wielu </w:t>
      </w:r>
      <w:r w:rsidR="003F18AD" w:rsidRPr="001268E7">
        <w:rPr>
          <w:rFonts w:cstheme="minorHAnsi"/>
          <w:sz w:val="24"/>
          <w:szCs w:val="24"/>
        </w:rPr>
        <w:t xml:space="preserve">potencjalnym </w:t>
      </w:r>
      <w:r w:rsidR="009F28D5" w:rsidRPr="001268E7">
        <w:rPr>
          <w:rFonts w:cstheme="minorHAnsi"/>
          <w:sz w:val="24"/>
          <w:szCs w:val="24"/>
        </w:rPr>
        <w:t>beneficjentom (zwłaszcza organizacjom pozarządowym) ubieganie</w:t>
      </w:r>
      <w:r w:rsidRPr="001268E7">
        <w:rPr>
          <w:rFonts w:cstheme="minorHAnsi"/>
          <w:sz w:val="24"/>
          <w:szCs w:val="24"/>
        </w:rPr>
        <w:t xml:space="preserve"> się o fundusze Programu; </w:t>
      </w:r>
    </w:p>
    <w:p w:rsidR="00141C9C" w:rsidRPr="001268E7" w:rsidRDefault="00141C9C" w:rsidP="00C62170">
      <w:pPr>
        <w:pStyle w:val="Akapitzlist"/>
        <w:numPr>
          <w:ilvl w:val="0"/>
          <w:numId w:val="32"/>
        </w:numPr>
        <w:spacing w:before="100" w:beforeAutospacing="1" w:after="100" w:afterAutospacing="1" w:line="240" w:lineRule="auto"/>
        <w:contextualSpacing w:val="0"/>
        <w:jc w:val="both"/>
        <w:rPr>
          <w:rFonts w:cstheme="minorHAnsi"/>
          <w:iCs/>
          <w:vanish/>
          <w:sz w:val="24"/>
          <w:szCs w:val="24"/>
        </w:rPr>
      </w:pPr>
      <w:r w:rsidRPr="001268E7">
        <w:rPr>
          <w:rFonts w:cstheme="minorHAnsi"/>
          <w:sz w:val="24"/>
          <w:szCs w:val="24"/>
        </w:rPr>
        <w:t>Należy wprowadzić w życie lepszy mechanizm współpracy pomiędzy Wspólnym Sekretariatem Technicznym, regionalnym oddział</w:t>
      </w:r>
      <w:r w:rsidR="003E42FE">
        <w:rPr>
          <w:rFonts w:cstheme="minorHAnsi"/>
          <w:sz w:val="24"/>
          <w:szCs w:val="24"/>
        </w:rPr>
        <w:t>e</w:t>
      </w:r>
      <w:r w:rsidRPr="001268E7">
        <w:rPr>
          <w:rFonts w:cstheme="minorHAnsi"/>
          <w:sz w:val="24"/>
          <w:szCs w:val="24"/>
        </w:rPr>
        <w:t xml:space="preserve">m i Regionalnymi Punktami Informacyjnymi. </w:t>
      </w:r>
      <w:r w:rsidR="006F33E1" w:rsidRPr="001268E7">
        <w:rPr>
          <w:rFonts w:cstheme="minorHAnsi"/>
          <w:sz w:val="24"/>
          <w:szCs w:val="24"/>
        </w:rPr>
        <w:t>Istotna</w:t>
      </w:r>
      <w:r w:rsidR="00666220" w:rsidRPr="001268E7">
        <w:rPr>
          <w:rFonts w:cstheme="minorHAnsi"/>
          <w:sz w:val="24"/>
          <w:szCs w:val="24"/>
        </w:rPr>
        <w:t xml:space="preserve"> była również poprawa działań reklamowych </w:t>
      </w:r>
      <w:r w:rsidR="006F33E1" w:rsidRPr="001268E7">
        <w:rPr>
          <w:rFonts w:cstheme="minorHAnsi"/>
          <w:sz w:val="24"/>
          <w:szCs w:val="24"/>
        </w:rPr>
        <w:t xml:space="preserve">dotyczących </w:t>
      </w:r>
      <w:r w:rsidR="003F18AD" w:rsidRPr="001268E7">
        <w:rPr>
          <w:rFonts w:cstheme="minorHAnsi"/>
          <w:sz w:val="24"/>
          <w:szCs w:val="24"/>
        </w:rPr>
        <w:t>P</w:t>
      </w:r>
      <w:r w:rsidR="00666220" w:rsidRPr="001268E7">
        <w:rPr>
          <w:rFonts w:cstheme="minorHAnsi"/>
          <w:sz w:val="24"/>
          <w:szCs w:val="24"/>
        </w:rPr>
        <w:t>rogramu;</w:t>
      </w:r>
    </w:p>
    <w:p w:rsidR="003279F7" w:rsidRPr="003279F7" w:rsidRDefault="003279F7" w:rsidP="00C62170">
      <w:pPr>
        <w:pStyle w:val="Akapitzlist"/>
        <w:numPr>
          <w:ilvl w:val="0"/>
          <w:numId w:val="32"/>
        </w:numPr>
        <w:spacing w:before="100" w:beforeAutospacing="1" w:after="100" w:afterAutospacing="1" w:line="240" w:lineRule="auto"/>
        <w:contextualSpacing w:val="0"/>
        <w:jc w:val="both"/>
        <w:rPr>
          <w:rFonts w:cstheme="minorHAnsi"/>
          <w:vanish/>
          <w:sz w:val="24"/>
          <w:szCs w:val="24"/>
        </w:rPr>
      </w:pPr>
    </w:p>
    <w:p w:rsidR="00EF0E5F" w:rsidRPr="001268E7" w:rsidRDefault="00EF0E5F" w:rsidP="00C62170">
      <w:pPr>
        <w:pStyle w:val="Akapitzlist"/>
        <w:numPr>
          <w:ilvl w:val="0"/>
          <w:numId w:val="32"/>
        </w:numPr>
        <w:spacing w:before="100" w:beforeAutospacing="1" w:after="100" w:afterAutospacing="1" w:line="240" w:lineRule="auto"/>
        <w:contextualSpacing w:val="0"/>
        <w:jc w:val="both"/>
        <w:rPr>
          <w:rFonts w:cstheme="minorHAnsi"/>
          <w:vanish/>
          <w:sz w:val="24"/>
          <w:szCs w:val="24"/>
        </w:rPr>
      </w:pPr>
    </w:p>
    <w:p w:rsidR="003279F7" w:rsidRDefault="003279F7" w:rsidP="00C62170">
      <w:pPr>
        <w:pStyle w:val="Akapitzlist"/>
        <w:numPr>
          <w:ilvl w:val="0"/>
          <w:numId w:val="32"/>
        </w:numPr>
        <w:spacing w:before="100" w:beforeAutospacing="1" w:after="100" w:afterAutospacing="1" w:line="240" w:lineRule="auto"/>
        <w:contextualSpacing w:val="0"/>
        <w:jc w:val="both"/>
        <w:rPr>
          <w:rFonts w:cstheme="minorHAnsi"/>
          <w:sz w:val="24"/>
          <w:szCs w:val="24"/>
        </w:rPr>
      </w:pPr>
    </w:p>
    <w:p w:rsidR="003279F7" w:rsidRDefault="003279F7" w:rsidP="00C62170">
      <w:pPr>
        <w:pStyle w:val="Akapitzlist"/>
        <w:numPr>
          <w:ilvl w:val="0"/>
          <w:numId w:val="32"/>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Słaba komunikacja pomiędzy partnerami projektu wynikająca z niezrozumienia zasad Programu i nieznajomości języka angielskiego;</w:t>
      </w:r>
    </w:p>
    <w:p w:rsidR="00EF0E5F" w:rsidRPr="001268E7" w:rsidRDefault="006F33E1" w:rsidP="00C62170">
      <w:pPr>
        <w:pStyle w:val="Akapitzlist"/>
        <w:numPr>
          <w:ilvl w:val="0"/>
          <w:numId w:val="32"/>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N</w:t>
      </w:r>
      <w:r w:rsidR="00EF0E5F" w:rsidRPr="001268E7">
        <w:rPr>
          <w:rFonts w:cstheme="minorHAnsi"/>
          <w:sz w:val="24"/>
          <w:szCs w:val="24"/>
        </w:rPr>
        <w:t xml:space="preserve">ajbardziej pożądane sfery przyszłej współpracy wskazane </w:t>
      </w:r>
      <w:r w:rsidRPr="001268E7">
        <w:rPr>
          <w:rFonts w:cstheme="minorHAnsi"/>
          <w:sz w:val="24"/>
          <w:szCs w:val="24"/>
        </w:rPr>
        <w:t>przez rosyjskich partnerów to</w:t>
      </w:r>
      <w:r w:rsidR="00EF0E5F" w:rsidRPr="001268E7">
        <w:rPr>
          <w:rFonts w:cstheme="minorHAnsi"/>
          <w:sz w:val="24"/>
          <w:szCs w:val="24"/>
        </w:rPr>
        <w:t xml:space="preserve"> środowisko naturalne, kultura, turystyka, technologia informatyczna, zdrowie populacji, aktywniejsze wprowadzenie nowoczesnych środków komunikacji do procesu nauczania, współpraca gmin miejskich;</w:t>
      </w:r>
    </w:p>
    <w:p w:rsidR="00EF0E5F" w:rsidRPr="001268E7" w:rsidRDefault="00EF0E5F" w:rsidP="00C62170">
      <w:pPr>
        <w:pStyle w:val="Akapitzlist"/>
        <w:numPr>
          <w:ilvl w:val="0"/>
          <w:numId w:val="32"/>
        </w:numPr>
        <w:spacing w:before="100" w:beforeAutospacing="1" w:after="100" w:afterAutospacing="1" w:line="240" w:lineRule="auto"/>
        <w:contextualSpacing w:val="0"/>
        <w:jc w:val="both"/>
        <w:rPr>
          <w:rFonts w:cstheme="minorHAnsi"/>
          <w:vanish/>
          <w:sz w:val="24"/>
          <w:szCs w:val="24"/>
        </w:rPr>
      </w:pPr>
      <w:r w:rsidRPr="001268E7">
        <w:rPr>
          <w:rFonts w:cstheme="minorHAnsi"/>
          <w:sz w:val="24"/>
          <w:szCs w:val="24"/>
        </w:rPr>
        <w:t>W ramach przyszłego programu współpracy transgranicznej, zgodnie z poglądami wyrażonymi przez rosyjskich partnerów, należy położyć większy nacisk na następujące kwestie: aktywniejsze zaangażowanie władz (głównie władz na szczeblu regionalnym) w działania projektu, dialog pomiędzy władzami i społeczeństwem, udział organizacji społecznych w Programie;</w:t>
      </w:r>
    </w:p>
    <w:p w:rsidR="003279F7" w:rsidRDefault="003279F7" w:rsidP="00C62170">
      <w:pPr>
        <w:pStyle w:val="Akapitzlist"/>
        <w:numPr>
          <w:ilvl w:val="0"/>
          <w:numId w:val="32"/>
        </w:numPr>
        <w:spacing w:before="100" w:beforeAutospacing="1" w:after="100" w:afterAutospacing="1" w:line="240" w:lineRule="auto"/>
        <w:contextualSpacing w:val="0"/>
        <w:jc w:val="both"/>
        <w:rPr>
          <w:rFonts w:cstheme="minorHAnsi"/>
          <w:sz w:val="24"/>
          <w:szCs w:val="24"/>
        </w:rPr>
      </w:pPr>
    </w:p>
    <w:p w:rsidR="00EF0E5F" w:rsidRPr="001268E7" w:rsidRDefault="00EF0E5F" w:rsidP="00C62170">
      <w:pPr>
        <w:pStyle w:val="Akapitzlist"/>
        <w:numPr>
          <w:ilvl w:val="0"/>
          <w:numId w:val="32"/>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Zaistniała konieczność ustanowienia stabilniejszych ram dla wymiany doświadczenia pomiędzy projektami oraz zapewnienia współpracy pomiędzy projektami Programu Sąsiedztwa (współpraca transgraniczna), projektami Tacis (EISP) oraz Programem Współpracy Transgranicznej.</w:t>
      </w:r>
    </w:p>
    <w:p w:rsidR="003B42AD" w:rsidRPr="001268E7" w:rsidRDefault="00EF0E5F" w:rsidP="00EF0E5F">
      <w:pPr>
        <w:pStyle w:val="NormalnyWeb"/>
        <w:jc w:val="both"/>
        <w:rPr>
          <w:rFonts w:asciiTheme="minorHAnsi" w:hAnsiTheme="minorHAnsi"/>
        </w:rPr>
      </w:pPr>
      <w:r w:rsidRPr="001268E7">
        <w:rPr>
          <w:rFonts w:asciiTheme="minorHAnsi" w:hAnsiTheme="minorHAnsi"/>
        </w:rPr>
        <w:t>W perspektywie finansowej 2007-2013 trójstronna współpraca pomiędzy regionami Polski, Rosji i Litwy była kontynuowana w ramach Programu Współpracy Transgranicznej EISP Litwa-Polska-Rosja 2007-2013. W oparciu o poprzednie doświadczenie, Program przyjął nowe podejście dotyczące możliwości tworzenia wspólnych projektów transgranicznych, finansowanych w ramach jednego źródła finansowania oraz jednej procedury administracyjnej.</w:t>
      </w:r>
      <w:r w:rsidR="003B42AD" w:rsidRPr="001268E7">
        <w:rPr>
          <w:rFonts w:asciiTheme="minorHAnsi" w:hAnsiTheme="minorHAnsi"/>
        </w:rPr>
        <w:t xml:space="preserve"> </w:t>
      </w:r>
      <w:r w:rsidRPr="001268E7">
        <w:rPr>
          <w:rFonts w:asciiTheme="minorHAnsi" w:hAnsiTheme="minorHAnsi"/>
        </w:rPr>
        <w:t>Poza tym, beneficjenci mogli wnioskować o prefinansowanie kosztów projektu, co rozszerzyło kręg wnioskodawców Programu.</w:t>
      </w:r>
      <w:r w:rsidR="003B42AD" w:rsidRPr="001268E7">
        <w:rPr>
          <w:rFonts w:asciiTheme="minorHAnsi" w:hAnsiTheme="minorHAnsi"/>
        </w:rPr>
        <w:t xml:space="preserve"> </w:t>
      </w:r>
      <w:r w:rsidRPr="001268E7">
        <w:rPr>
          <w:rFonts w:asciiTheme="minorHAnsi" w:hAnsiTheme="minorHAnsi"/>
        </w:rPr>
        <w:t xml:space="preserve">Na obszarze Programu utworzono trzy Oddziały Wspólnego Sekretariatu Technicznego (Olsztyn, Wilno i Kaliningrad), aby zapewnić </w:t>
      </w:r>
      <w:r w:rsidR="006F33E1" w:rsidRPr="001268E7">
        <w:rPr>
          <w:rFonts w:asciiTheme="minorHAnsi" w:hAnsiTheme="minorHAnsi"/>
        </w:rPr>
        <w:t>Wspólną Pomoc Techniczną (</w:t>
      </w:r>
      <w:r w:rsidRPr="001268E7">
        <w:rPr>
          <w:rFonts w:asciiTheme="minorHAnsi" w:hAnsiTheme="minorHAnsi"/>
        </w:rPr>
        <w:t>WPT</w:t>
      </w:r>
      <w:r w:rsidR="006F33E1" w:rsidRPr="001268E7">
        <w:rPr>
          <w:rFonts w:asciiTheme="minorHAnsi" w:hAnsiTheme="minorHAnsi"/>
        </w:rPr>
        <w:t>)</w:t>
      </w:r>
      <w:r w:rsidRPr="001268E7">
        <w:rPr>
          <w:rFonts w:asciiTheme="minorHAnsi" w:hAnsiTheme="minorHAnsi"/>
        </w:rPr>
        <w:t xml:space="preserve"> i ułatwić dostęp interesariuszy do informacji o Programie.</w:t>
      </w:r>
      <w:r w:rsidR="003B42AD" w:rsidRPr="001268E7">
        <w:rPr>
          <w:rFonts w:asciiTheme="minorHAnsi" w:hAnsiTheme="minorHAnsi"/>
        </w:rPr>
        <w:t xml:space="preserve"> </w:t>
      </w:r>
      <w:r w:rsidRPr="001268E7">
        <w:rPr>
          <w:rFonts w:asciiTheme="minorHAnsi" w:hAnsiTheme="minorHAnsi"/>
        </w:rPr>
        <w:t>Poza</w:t>
      </w:r>
      <w:r w:rsidR="006F33E1" w:rsidRPr="001268E7">
        <w:rPr>
          <w:rFonts w:asciiTheme="minorHAnsi" w:hAnsiTheme="minorHAnsi"/>
        </w:rPr>
        <w:t xml:space="preserve"> zwykłymi projektami, szczególnie</w:t>
      </w:r>
      <w:r w:rsidRPr="001268E7">
        <w:rPr>
          <w:rFonts w:asciiTheme="minorHAnsi" w:hAnsiTheme="minorHAnsi"/>
        </w:rPr>
        <w:t xml:space="preserve"> </w:t>
      </w:r>
      <w:r w:rsidR="006F33E1" w:rsidRPr="001268E7">
        <w:rPr>
          <w:rFonts w:asciiTheme="minorHAnsi" w:hAnsiTheme="minorHAnsi"/>
        </w:rPr>
        <w:t xml:space="preserve">duża </w:t>
      </w:r>
      <w:r w:rsidRPr="001268E7">
        <w:rPr>
          <w:rFonts w:asciiTheme="minorHAnsi" w:hAnsiTheme="minorHAnsi"/>
        </w:rPr>
        <w:t>kwota została przeznaczona na Duże Projekty związane z infrastrukturą.</w:t>
      </w:r>
      <w:r w:rsidR="003B42AD" w:rsidRPr="001268E7">
        <w:rPr>
          <w:rFonts w:asciiTheme="minorHAnsi" w:hAnsiTheme="minorHAnsi"/>
        </w:rPr>
        <w:t xml:space="preserve"> </w:t>
      </w:r>
      <w:r w:rsidRPr="001268E7">
        <w:rPr>
          <w:rFonts w:asciiTheme="minorHAnsi" w:hAnsiTheme="minorHAnsi"/>
        </w:rPr>
        <w:t>Budżet Programu wynoszący 145,8 mln euro:</w:t>
      </w:r>
      <w:r w:rsidR="003B42AD" w:rsidRPr="001268E7">
        <w:rPr>
          <w:rFonts w:asciiTheme="minorHAnsi" w:hAnsiTheme="minorHAnsi"/>
        </w:rPr>
        <w:t xml:space="preserve"> </w:t>
      </w:r>
      <w:r w:rsidRPr="001268E7">
        <w:rPr>
          <w:rFonts w:asciiTheme="minorHAnsi" w:hAnsiTheme="minorHAnsi"/>
        </w:rPr>
        <w:t>(124,2 mln euro (wkład UE) oraz 21,6 mln euro (wkład Federacji Rosyjskiej) został przeznaczony na 60 projektów (53 zwykłych projektów i 7 Dużych Projektów) w ramach dwóch priorytetów:</w:t>
      </w:r>
      <w:r w:rsidR="003B42AD" w:rsidRPr="001268E7">
        <w:rPr>
          <w:rFonts w:asciiTheme="minorHAnsi" w:hAnsiTheme="minorHAnsi"/>
        </w:rPr>
        <w:t xml:space="preserve"> </w:t>
      </w:r>
      <w:r w:rsidRPr="001268E7">
        <w:rPr>
          <w:rFonts w:asciiTheme="minorHAnsi" w:hAnsiTheme="minorHAnsi"/>
        </w:rPr>
        <w:t>Przyczynienie się do rozwiązywania wspólnych problemów i wyzwań (priorytet 1); oraz Kontynowanie społecznego, gospodarczego i przestrzennego rozwoju (priorytet 2).</w:t>
      </w:r>
    </w:p>
    <w:p w:rsidR="003B42AD" w:rsidRPr="001268E7" w:rsidRDefault="00EF0E5F" w:rsidP="00EF0E5F">
      <w:pPr>
        <w:pStyle w:val="NormalnyWeb"/>
        <w:jc w:val="both"/>
        <w:rPr>
          <w:rFonts w:asciiTheme="minorHAnsi" w:hAnsiTheme="minorHAnsi"/>
        </w:rPr>
      </w:pPr>
      <w:r w:rsidRPr="001268E7">
        <w:rPr>
          <w:rFonts w:asciiTheme="minorHAnsi" w:hAnsiTheme="minorHAnsi" w:cs="Calibri"/>
        </w:rPr>
        <w:lastRenderedPageBreak/>
        <w:t>Pomi</w:t>
      </w:r>
      <w:r w:rsidR="006F33E1" w:rsidRPr="001268E7">
        <w:rPr>
          <w:rFonts w:asciiTheme="minorHAnsi" w:hAnsiTheme="minorHAnsi" w:cs="Calibri"/>
        </w:rPr>
        <w:t xml:space="preserve">mo, iż </w:t>
      </w:r>
      <w:r w:rsidRPr="001268E7">
        <w:rPr>
          <w:rFonts w:asciiTheme="minorHAnsi" w:hAnsiTheme="minorHAnsi" w:cs="Calibri"/>
        </w:rPr>
        <w:t>Program EISP Litwa-P</w:t>
      </w:r>
      <w:r w:rsidR="006F33E1" w:rsidRPr="001268E7">
        <w:rPr>
          <w:rFonts w:asciiTheme="minorHAnsi" w:hAnsiTheme="minorHAnsi" w:cs="Calibri"/>
        </w:rPr>
        <w:t xml:space="preserve">olska-Rosja 2007-2013 </w:t>
      </w:r>
      <w:r w:rsidRPr="001268E7">
        <w:rPr>
          <w:rFonts w:asciiTheme="minorHAnsi" w:hAnsiTheme="minorHAnsi" w:cs="Calibri"/>
        </w:rPr>
        <w:t>nie był jeszcze zakończony na etapie przygotowania Programu Polska-Rosja 2014-2020, część kluczowych zagadnień dla skutecznej realizacji Programu już zidentyfikowano i będą one wzięte pod uwagę w nowym okresie edycji Programu:</w:t>
      </w:r>
    </w:p>
    <w:p w:rsidR="00EF0E5F" w:rsidRPr="001268E7" w:rsidRDefault="00EF0E5F" w:rsidP="00C62170">
      <w:pPr>
        <w:pStyle w:val="Akapitzlist"/>
        <w:numPr>
          <w:ilvl w:val="0"/>
          <w:numId w:val="33"/>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Zaangażowanie i bliska współpraca między władzami krajowymi/regionalnymi są niezbędne na każdym etapie realizacji Programu;</w:t>
      </w:r>
    </w:p>
    <w:p w:rsidR="00EF0E5F" w:rsidRPr="001268E7" w:rsidRDefault="00EF0E5F" w:rsidP="00C62170">
      <w:pPr>
        <w:pStyle w:val="Akapitzlist"/>
        <w:numPr>
          <w:ilvl w:val="0"/>
          <w:numId w:val="33"/>
        </w:numPr>
        <w:spacing w:before="100" w:beforeAutospacing="1" w:after="100" w:afterAutospacing="1" w:line="240" w:lineRule="auto"/>
        <w:contextualSpacing w:val="0"/>
        <w:jc w:val="both"/>
        <w:rPr>
          <w:rFonts w:cstheme="minorHAnsi"/>
          <w:iCs/>
          <w:vanish/>
          <w:sz w:val="24"/>
          <w:szCs w:val="24"/>
        </w:rPr>
      </w:pPr>
      <w:r w:rsidRPr="001268E7">
        <w:rPr>
          <w:rFonts w:cs="Calibri"/>
          <w:sz w:val="24"/>
          <w:szCs w:val="24"/>
          <w:lang w:eastAsia="pl-PL"/>
        </w:rPr>
        <w:t>W celu wsparcia potencjalnych wnioskodawców na wczesnym etapie przygotowania</w:t>
      </w:r>
      <w:r w:rsidRPr="001268E7">
        <w:rPr>
          <w:rFonts w:cs="Calibri"/>
          <w:lang w:eastAsia="pl-PL"/>
        </w:rPr>
        <w:t xml:space="preserve"> </w:t>
      </w:r>
      <w:r w:rsidRPr="001268E7">
        <w:rPr>
          <w:rFonts w:cs="Calibri"/>
          <w:sz w:val="24"/>
          <w:szCs w:val="24"/>
          <w:lang w:eastAsia="pl-PL"/>
        </w:rPr>
        <w:t>projektów należy jak najszybciej wybrać pełny skład wszystkich instytucji Programu.</w:t>
      </w:r>
      <w:r w:rsidRPr="001268E7">
        <w:rPr>
          <w:rFonts w:cstheme="minorHAnsi"/>
          <w:sz w:val="24"/>
          <w:szCs w:val="24"/>
        </w:rPr>
        <w:t xml:space="preserve"> </w:t>
      </w:r>
      <w:r w:rsidRPr="001268E7">
        <w:rPr>
          <w:rFonts w:cs="Calibri"/>
          <w:sz w:val="24"/>
          <w:szCs w:val="24"/>
          <w:lang w:eastAsia="pl-PL"/>
        </w:rPr>
        <w:t>Przed rozpoczęciem kontraktacji, dokumenty dotyczące wdrożenia Programu (wytyczne, instrukcje itp.) powinny</w:t>
      </w:r>
      <w:r w:rsidRPr="001268E7">
        <w:rPr>
          <w:rFonts w:cstheme="minorHAnsi"/>
          <w:sz w:val="24"/>
          <w:szCs w:val="24"/>
        </w:rPr>
        <w:t xml:space="preserve"> </w:t>
      </w:r>
      <w:r w:rsidRPr="001268E7">
        <w:rPr>
          <w:rFonts w:cs="Calibri"/>
          <w:sz w:val="24"/>
          <w:szCs w:val="24"/>
          <w:lang w:eastAsia="pl-PL"/>
        </w:rPr>
        <w:t>być przygotowane i udostępnione w językach narodowych;</w:t>
      </w:r>
    </w:p>
    <w:p w:rsidR="005F5759" w:rsidRPr="005F5759" w:rsidRDefault="005F5759" w:rsidP="00C62170">
      <w:pPr>
        <w:pStyle w:val="Akapitzlist"/>
        <w:numPr>
          <w:ilvl w:val="0"/>
          <w:numId w:val="33"/>
        </w:numPr>
        <w:spacing w:before="100" w:beforeAutospacing="1" w:after="100" w:afterAutospacing="1" w:line="240" w:lineRule="auto"/>
        <w:contextualSpacing w:val="0"/>
        <w:jc w:val="both"/>
        <w:rPr>
          <w:rFonts w:cstheme="minorHAnsi"/>
          <w:sz w:val="24"/>
          <w:szCs w:val="24"/>
        </w:rPr>
      </w:pPr>
    </w:p>
    <w:p w:rsidR="00EF0E5F" w:rsidRPr="001268E7" w:rsidRDefault="00EF0E5F" w:rsidP="00C62170">
      <w:pPr>
        <w:pStyle w:val="Akapitzlist"/>
        <w:numPr>
          <w:ilvl w:val="0"/>
          <w:numId w:val="33"/>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W celu usprawnienia procedury składania wniosków i efektywniejszego zorganizowania procesu oceny projektów powin</w:t>
      </w:r>
      <w:r w:rsidR="004A54F6" w:rsidRPr="001268E7">
        <w:rPr>
          <w:rFonts w:cs="Calibri"/>
          <w:sz w:val="24"/>
          <w:szCs w:val="24"/>
          <w:lang w:eastAsia="pl-PL"/>
        </w:rPr>
        <w:t>na istnieć możliwość składania Formularza A</w:t>
      </w:r>
      <w:r w:rsidRPr="001268E7">
        <w:rPr>
          <w:rFonts w:cs="Calibri"/>
          <w:sz w:val="24"/>
          <w:szCs w:val="24"/>
          <w:lang w:eastAsia="pl-PL"/>
        </w:rPr>
        <w:t>plikacyjnego w wersji elektronicznej (</w:t>
      </w:r>
      <w:r w:rsidR="007657EB">
        <w:rPr>
          <w:rFonts w:cs="Calibri"/>
          <w:sz w:val="24"/>
          <w:szCs w:val="24"/>
          <w:lang w:eastAsia="pl-PL"/>
        </w:rPr>
        <w:t xml:space="preserve">wcześniej </w:t>
      </w:r>
      <w:r w:rsidRPr="001268E7">
        <w:rPr>
          <w:rFonts w:cs="Calibri"/>
          <w:sz w:val="24"/>
          <w:szCs w:val="24"/>
          <w:lang w:eastAsia="pl-PL"/>
        </w:rPr>
        <w:t>dopuszczalne były tylko wersje papierowe);</w:t>
      </w:r>
    </w:p>
    <w:p w:rsidR="00EF0E5F" w:rsidRPr="001268E7" w:rsidRDefault="00EF0E5F" w:rsidP="00C62170">
      <w:pPr>
        <w:pStyle w:val="Akapitzlist"/>
        <w:numPr>
          <w:ilvl w:val="0"/>
          <w:numId w:val="33"/>
        </w:numPr>
        <w:spacing w:before="100" w:beforeAutospacing="1" w:after="100" w:afterAutospacing="1" w:line="240" w:lineRule="auto"/>
        <w:contextualSpacing w:val="0"/>
        <w:jc w:val="both"/>
        <w:rPr>
          <w:rFonts w:cstheme="minorHAnsi"/>
          <w:sz w:val="24"/>
          <w:szCs w:val="24"/>
        </w:rPr>
      </w:pPr>
      <w:r w:rsidRPr="001268E7">
        <w:rPr>
          <w:rFonts w:cs="Calibri"/>
          <w:sz w:val="24"/>
          <w:szCs w:val="24"/>
          <w:lang w:eastAsia="pl-PL"/>
        </w:rPr>
        <w:t xml:space="preserve">Działania na rzecz zwiększania umiejętności powinny być kierowane nie tylko do beneficjentów, ale </w:t>
      </w:r>
      <w:r w:rsidR="00234B20" w:rsidRPr="001268E7">
        <w:rPr>
          <w:rFonts w:cs="Calibri"/>
          <w:sz w:val="24"/>
          <w:szCs w:val="24"/>
          <w:lang w:eastAsia="pl-PL"/>
        </w:rPr>
        <w:t xml:space="preserve">również instytucji </w:t>
      </w:r>
      <w:r w:rsidRPr="001268E7">
        <w:rPr>
          <w:rFonts w:cs="Calibri"/>
          <w:sz w:val="24"/>
          <w:szCs w:val="24"/>
          <w:lang w:eastAsia="pl-PL"/>
        </w:rPr>
        <w:t>zaangażowanych w zarządzanie i kontrolę projektów. Szkolenia powinny być prowadzone w językach narodowych i organizowane w regionach;</w:t>
      </w:r>
    </w:p>
    <w:p w:rsidR="00EF0E5F" w:rsidRPr="001268E7" w:rsidRDefault="00234B20" w:rsidP="00C62170">
      <w:pPr>
        <w:pStyle w:val="Akapitzlist"/>
        <w:numPr>
          <w:ilvl w:val="0"/>
          <w:numId w:val="33"/>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Dokumenty wykorzystywane w</w:t>
      </w:r>
      <w:r w:rsidR="00402695" w:rsidRPr="001268E7">
        <w:rPr>
          <w:rFonts w:cstheme="minorHAnsi"/>
          <w:sz w:val="24"/>
          <w:szCs w:val="24"/>
        </w:rPr>
        <w:t xml:space="preserve"> Program</w:t>
      </w:r>
      <w:r w:rsidRPr="001268E7">
        <w:rPr>
          <w:rFonts w:cstheme="minorHAnsi"/>
          <w:sz w:val="24"/>
          <w:szCs w:val="24"/>
        </w:rPr>
        <w:t>ie</w:t>
      </w:r>
      <w:r w:rsidR="00402695" w:rsidRPr="001268E7">
        <w:rPr>
          <w:rFonts w:cstheme="minorHAnsi"/>
          <w:sz w:val="24"/>
          <w:szCs w:val="24"/>
        </w:rPr>
        <w:t xml:space="preserve"> zgodnie z wymaganiami PRAG utrudniły elastyczną realizację wielu projektów.</w:t>
      </w:r>
    </w:p>
    <w:p w:rsidR="00996934" w:rsidRPr="001268E7" w:rsidRDefault="00402695" w:rsidP="003B42AD">
      <w:pPr>
        <w:spacing w:before="100" w:beforeAutospacing="1" w:after="100" w:afterAutospacing="1" w:line="240" w:lineRule="auto"/>
        <w:jc w:val="both"/>
        <w:rPr>
          <w:rFonts w:eastAsia="Times New Roman" w:cstheme="minorHAnsi"/>
          <w:sz w:val="24"/>
          <w:szCs w:val="24"/>
        </w:rPr>
      </w:pPr>
      <w:r w:rsidRPr="001268E7">
        <w:rPr>
          <w:rFonts w:cs="Calibri"/>
          <w:sz w:val="24"/>
          <w:szCs w:val="24"/>
          <w:lang w:eastAsia="pl-PL"/>
        </w:rPr>
        <w:t>Niemniej jednak należy podkreślić, że główne doświadczenia programów poprzednich perspektyw finansowych wyraźnie wskazują na to, że wspólne inicjatywy transgraniczne odgrywają ważną rolę w budowaniu dobrych stosunków sąsiedzkich między mieszkańcami obszarów przygranicznych, zapewniają możliwość poznania sąsiadów mieszkających po drugiej stronie granicy i zwiększają wzajemne zrozumienie.</w:t>
      </w:r>
      <w:r w:rsidR="003B42AD" w:rsidRPr="001268E7">
        <w:rPr>
          <w:rFonts w:eastAsia="Times New Roman" w:cstheme="minorHAnsi"/>
          <w:sz w:val="24"/>
          <w:szCs w:val="24"/>
        </w:rPr>
        <w:t xml:space="preserve"> </w:t>
      </w:r>
      <w:r w:rsidRPr="001268E7">
        <w:rPr>
          <w:rFonts w:cs="Calibri"/>
          <w:sz w:val="24"/>
          <w:szCs w:val="24"/>
          <w:lang w:eastAsia="pl-PL"/>
        </w:rPr>
        <w:t>Programy współpracy transgranicznej są przydatne w pokonywaniu wspólnych wyzwań i rozwiązywaniu wspólnych problemów o charakterze transgranicznym, m.in. w dziedzinie ochrony środowiska.</w:t>
      </w:r>
      <w:r w:rsidR="003B42AD" w:rsidRPr="001268E7">
        <w:rPr>
          <w:rFonts w:eastAsia="Times New Roman" w:cstheme="minorHAnsi"/>
          <w:sz w:val="24"/>
          <w:szCs w:val="24"/>
        </w:rPr>
        <w:t xml:space="preserve"> </w:t>
      </w:r>
      <w:r w:rsidRPr="001268E7">
        <w:rPr>
          <w:rFonts w:cs="Calibri"/>
          <w:sz w:val="24"/>
          <w:szCs w:val="24"/>
          <w:lang w:eastAsia="pl-PL"/>
        </w:rPr>
        <w:t>Ponadto, projekty mogą pomóc w tworzeniu trwałych kontaktów i podstaw do współpracy w ramach inicjatyw na większą skalę, także tych finansowanych z innych źródeł niż programy współpracy transgranicznej.</w:t>
      </w:r>
      <w:r w:rsidR="003B42AD" w:rsidRPr="001268E7">
        <w:rPr>
          <w:rFonts w:eastAsia="Times New Roman" w:cstheme="minorHAnsi"/>
          <w:sz w:val="24"/>
          <w:szCs w:val="24"/>
        </w:rPr>
        <w:t xml:space="preserve"> </w:t>
      </w:r>
    </w:p>
    <w:p w:rsidR="003B42AD" w:rsidRPr="00D61551" w:rsidRDefault="00402695" w:rsidP="00D61551">
      <w:pPr>
        <w:pStyle w:val="Nagwek3"/>
      </w:pPr>
      <w:bookmarkStart w:id="18" w:name="_Toc530737569"/>
      <w:bookmarkStart w:id="19" w:name="_Toc416269371"/>
      <w:r w:rsidRPr="00D61551">
        <w:t>2.2.3 Spójność z innymi programami finansowanym przez UE oraz strategiami krajowymi i regionalnymi</w:t>
      </w:r>
      <w:bookmarkEnd w:id="18"/>
      <w:r w:rsidR="003B42AD" w:rsidRPr="00D61551">
        <w:t xml:space="preserve"> </w:t>
      </w:r>
      <w:bookmarkEnd w:id="19"/>
    </w:p>
    <w:p w:rsidR="003B42AD" w:rsidRPr="001268E7" w:rsidRDefault="00402695" w:rsidP="00402695">
      <w:p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Program Współpracy Transgranicznej Polska-Rosja 2014-2020 ma być kontynuacją współpracy w regionie przygranicznym Polski i Federacji Rosyjskiej, która wcześniej została wypracowana w ramach Programu Współpracy Transgranicznej Europejski Instrument Sąsiedztwa i Partnerstwa Litwa-Polska-Rosja 2007-2013.</w:t>
      </w:r>
    </w:p>
    <w:p w:rsidR="003B42AD" w:rsidRPr="001268E7" w:rsidRDefault="00402695" w:rsidP="00402695">
      <w:pPr>
        <w:spacing w:before="100" w:beforeAutospacing="1" w:after="100" w:afterAutospacing="1" w:line="240" w:lineRule="auto"/>
        <w:jc w:val="both"/>
        <w:rPr>
          <w:rFonts w:cstheme="minorHAnsi"/>
          <w:spacing w:val="4"/>
          <w:sz w:val="24"/>
          <w:szCs w:val="24"/>
        </w:rPr>
      </w:pPr>
      <w:r w:rsidRPr="001268E7">
        <w:rPr>
          <w:rFonts w:asciiTheme="minorHAnsi" w:hAnsiTheme="minorHAnsi" w:cs="Calibri"/>
          <w:sz w:val="24"/>
          <w:szCs w:val="24"/>
          <w:lang w:eastAsia="pl-PL"/>
        </w:rPr>
        <w:t xml:space="preserve">Cele tematyczne Programu są zgodne z </w:t>
      </w:r>
      <w:r w:rsidRPr="001268E7">
        <w:rPr>
          <w:rFonts w:asciiTheme="minorHAnsi" w:hAnsiTheme="minorHAnsi" w:cs="Calibri,Italic"/>
          <w:i/>
          <w:iCs/>
          <w:sz w:val="24"/>
          <w:szCs w:val="24"/>
          <w:lang w:eastAsia="pl-PL"/>
        </w:rPr>
        <w:t>Dokumentem Programowym dla wsparcia UE na rzecz Współpracy Transgranicznej EIS (2014-2020)</w:t>
      </w:r>
      <w:r w:rsidRPr="001268E7">
        <w:rPr>
          <w:rFonts w:asciiTheme="minorHAnsi" w:hAnsiTheme="minorHAnsi" w:cs="Calibri"/>
          <w:sz w:val="24"/>
          <w:szCs w:val="24"/>
          <w:lang w:eastAsia="pl-PL"/>
        </w:rPr>
        <w:t xml:space="preserve">. Należy podkreślić, że Program kładzie nacisk na wzmocnienie integracji w regionie transgranicznym przy jednoczesnym dążeniu do poprawy dostępności transportu w regionach oraz podejmowania wspólnych problemów </w:t>
      </w:r>
      <w:r w:rsidRPr="001268E7">
        <w:rPr>
          <w:rFonts w:asciiTheme="minorHAnsi" w:hAnsiTheme="minorHAnsi" w:cs="Calibri"/>
          <w:sz w:val="24"/>
          <w:szCs w:val="24"/>
          <w:lang w:eastAsia="pl-PL"/>
        </w:rPr>
        <w:lastRenderedPageBreak/>
        <w:t>ś</w:t>
      </w:r>
      <w:r w:rsidR="00234B20" w:rsidRPr="001268E7">
        <w:rPr>
          <w:rFonts w:asciiTheme="minorHAnsi" w:hAnsiTheme="minorHAnsi" w:cstheme="minorHAnsi"/>
          <w:spacing w:val="4"/>
          <w:sz w:val="24"/>
          <w:szCs w:val="24"/>
        </w:rPr>
        <w:t xml:space="preserve">rodowiskowych, biorąc pod uwagę, że środowisko naturalne </w:t>
      </w:r>
      <w:r w:rsidRPr="001268E7">
        <w:rPr>
          <w:rFonts w:asciiTheme="minorHAnsi" w:hAnsiTheme="minorHAnsi" w:cstheme="minorHAnsi"/>
          <w:spacing w:val="4"/>
          <w:sz w:val="24"/>
          <w:szCs w:val="24"/>
        </w:rPr>
        <w:t>stanowi jeden z czynników odpowiadających za jakość życia.</w:t>
      </w:r>
    </w:p>
    <w:p w:rsidR="003B42AD" w:rsidRPr="001268E7" w:rsidRDefault="00402695" w:rsidP="00402695">
      <w:p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 xml:space="preserve">Zachowana jest również daleko idąca konsekwencja proponowanych uzgodnień i rozwiązań ze </w:t>
      </w:r>
      <w:r w:rsidRPr="001268E7">
        <w:rPr>
          <w:rFonts w:cstheme="minorHAnsi"/>
          <w:i/>
          <w:spacing w:val="4"/>
          <w:sz w:val="24"/>
          <w:szCs w:val="24"/>
        </w:rPr>
        <w:t>Strategią EUROPA 2020 i Strategią Rosyjską 2020</w:t>
      </w:r>
      <w:r w:rsidRPr="001268E7">
        <w:rPr>
          <w:rFonts w:cstheme="minorHAnsi"/>
          <w:spacing w:val="4"/>
          <w:sz w:val="24"/>
          <w:szCs w:val="24"/>
        </w:rPr>
        <w:t>, zwłaszcza w kwestiach dotyczących ochrony środowiska w obszarach przygranicznych.</w:t>
      </w:r>
      <w:r w:rsidR="003B42AD" w:rsidRPr="001268E7">
        <w:rPr>
          <w:rFonts w:cstheme="minorHAnsi"/>
          <w:spacing w:val="4"/>
          <w:sz w:val="24"/>
          <w:szCs w:val="24"/>
        </w:rPr>
        <w:t xml:space="preserve"> </w:t>
      </w:r>
      <w:r w:rsidRPr="001268E7">
        <w:rPr>
          <w:rFonts w:cstheme="minorHAnsi"/>
          <w:spacing w:val="4"/>
          <w:sz w:val="24"/>
          <w:szCs w:val="24"/>
        </w:rPr>
        <w:t xml:space="preserve">W tym kontekście Program jest również spójny z </w:t>
      </w:r>
      <w:r w:rsidRPr="001268E7">
        <w:rPr>
          <w:rFonts w:cstheme="minorHAnsi"/>
          <w:i/>
          <w:spacing w:val="4"/>
          <w:sz w:val="24"/>
          <w:szCs w:val="24"/>
        </w:rPr>
        <w:t>Planem Działania Strategii Unii Europejskiej dla Regionu Morza Bałtyckiego</w:t>
      </w:r>
      <w:r w:rsidRPr="001268E7">
        <w:rPr>
          <w:rFonts w:cstheme="minorHAnsi"/>
          <w:spacing w:val="4"/>
          <w:sz w:val="24"/>
          <w:szCs w:val="24"/>
        </w:rPr>
        <w:t>, który skupia się miedzy innymi na ochronie środowiska oraz jakości wody, oraz z Rosyjską Strategią na rzecz Społeczno-Gospodarczego Rozwoju Północno-Zachodniego Dystryktu Federalnego 2020.</w:t>
      </w:r>
    </w:p>
    <w:p w:rsidR="003B42AD" w:rsidRPr="001268E7" w:rsidRDefault="00234B20" w:rsidP="00254081">
      <w:pPr>
        <w:spacing w:before="100" w:beforeAutospacing="1" w:after="100" w:afterAutospacing="1" w:line="240" w:lineRule="auto"/>
        <w:jc w:val="both"/>
        <w:rPr>
          <w:rFonts w:cstheme="minorHAnsi"/>
          <w:spacing w:val="4"/>
          <w:sz w:val="24"/>
          <w:szCs w:val="24"/>
        </w:rPr>
      </w:pPr>
      <w:r w:rsidRPr="001268E7">
        <w:rPr>
          <w:sz w:val="24"/>
          <w:szCs w:val="24"/>
        </w:rPr>
        <w:t>Należy zapewnić praktyczną koordynację i</w:t>
      </w:r>
      <w:r w:rsidR="00254081" w:rsidRPr="001268E7">
        <w:rPr>
          <w:sz w:val="24"/>
          <w:szCs w:val="24"/>
        </w:rPr>
        <w:t xml:space="preserve"> mech</w:t>
      </w:r>
      <w:r w:rsidRPr="001268E7">
        <w:rPr>
          <w:sz w:val="24"/>
          <w:szCs w:val="24"/>
        </w:rPr>
        <w:t xml:space="preserve">anizmy </w:t>
      </w:r>
      <w:r w:rsidR="00254081" w:rsidRPr="001268E7">
        <w:rPr>
          <w:sz w:val="24"/>
          <w:szCs w:val="24"/>
        </w:rPr>
        <w:t>wymiany informacji w celu promowania synergii w obszarach tematycznych, które są wspólne dla Programu i Strategii UE dla Regionu Morza Bałtyckiego (SUE RMB) (CT</w:t>
      </w:r>
      <w:r w:rsidR="004A54F6" w:rsidRPr="001268E7">
        <w:rPr>
          <w:sz w:val="24"/>
          <w:szCs w:val="24"/>
        </w:rPr>
        <w:t xml:space="preserve"> 7</w:t>
      </w:r>
      <w:r w:rsidR="00254081" w:rsidRPr="001268E7">
        <w:rPr>
          <w:sz w:val="24"/>
          <w:szCs w:val="24"/>
        </w:rPr>
        <w:t xml:space="preserve"> i cel "Ratuj Morze"; CT</w:t>
      </w:r>
      <w:r w:rsidR="004A54F6" w:rsidRPr="001268E7">
        <w:rPr>
          <w:sz w:val="24"/>
          <w:szCs w:val="24"/>
        </w:rPr>
        <w:t xml:space="preserve"> </w:t>
      </w:r>
      <w:r w:rsidR="00254081" w:rsidRPr="001268E7">
        <w:rPr>
          <w:sz w:val="24"/>
          <w:szCs w:val="24"/>
        </w:rPr>
        <w:t>10 i cel "Połącz Region).</w:t>
      </w:r>
      <w:r w:rsidR="0073421D" w:rsidRPr="001268E7">
        <w:t xml:space="preserve"> </w:t>
      </w:r>
      <w:r w:rsidR="00254081" w:rsidRPr="001268E7">
        <w:rPr>
          <w:rFonts w:cs="Calibri"/>
          <w:spacing w:val="4"/>
          <w:sz w:val="24"/>
          <w:szCs w:val="24"/>
        </w:rPr>
        <w:t xml:space="preserve">Aby zapewnić, że proces realizacji Projektu jest odpowiednio dostosowany do Strategii UE dla Regionu Morza Bałtyckiego, przedstawiciele polskiego koordynatora </w:t>
      </w:r>
      <w:r w:rsidR="00254081" w:rsidRPr="001268E7">
        <w:rPr>
          <w:sz w:val="24"/>
          <w:szCs w:val="24"/>
        </w:rPr>
        <w:t>Strategii UE dla Regionu Morza Bałtyckiego (SUE RMB) i rosyjski</w:t>
      </w:r>
      <w:r w:rsidR="00B44290" w:rsidRPr="001268E7">
        <w:rPr>
          <w:sz w:val="24"/>
          <w:szCs w:val="24"/>
        </w:rPr>
        <w:t>ego</w:t>
      </w:r>
      <w:r w:rsidR="00254081" w:rsidRPr="001268E7">
        <w:rPr>
          <w:sz w:val="24"/>
          <w:szCs w:val="24"/>
        </w:rPr>
        <w:t xml:space="preserve"> podkomitet</w:t>
      </w:r>
      <w:r w:rsidR="00B44290" w:rsidRPr="001268E7">
        <w:rPr>
          <w:sz w:val="24"/>
          <w:szCs w:val="24"/>
        </w:rPr>
        <w:t>u</w:t>
      </w:r>
      <w:r w:rsidR="00254081" w:rsidRPr="001268E7">
        <w:rPr>
          <w:sz w:val="24"/>
          <w:szCs w:val="24"/>
        </w:rPr>
        <w:t xml:space="preserve"> Programu Regionu Morza Bałtyckiego mogą być zaproszeni na spotkania WKM.</w:t>
      </w:r>
      <w:r w:rsidR="0073421D" w:rsidRPr="001268E7">
        <w:rPr>
          <w:rFonts w:cs="Calibri"/>
          <w:spacing w:val="4"/>
          <w:sz w:val="24"/>
          <w:szCs w:val="24"/>
        </w:rPr>
        <w:t xml:space="preserve"> </w:t>
      </w:r>
      <w:r w:rsidR="00254081" w:rsidRPr="001268E7">
        <w:rPr>
          <w:rFonts w:cstheme="minorHAnsi"/>
          <w:spacing w:val="4"/>
          <w:sz w:val="24"/>
          <w:szCs w:val="24"/>
        </w:rPr>
        <w:t>Program Współpracy Transgranicznej Polska-Rosja jest spójny z Funduszem Granic Zewnętrznych, które</w:t>
      </w:r>
      <w:r w:rsidR="00B44290" w:rsidRPr="001268E7">
        <w:rPr>
          <w:rFonts w:cstheme="minorHAnsi"/>
          <w:spacing w:val="4"/>
          <w:sz w:val="24"/>
          <w:szCs w:val="24"/>
        </w:rPr>
        <w:t>go</w:t>
      </w:r>
      <w:r w:rsidR="00254081" w:rsidRPr="001268E7">
        <w:rPr>
          <w:rFonts w:cstheme="minorHAnsi"/>
          <w:spacing w:val="4"/>
          <w:sz w:val="24"/>
          <w:szCs w:val="24"/>
        </w:rPr>
        <w:t xml:space="preserve"> celem jest poprawa w zakresie kontroli i zarządzania przepływem osób przez zewnętrzne granice UE.</w:t>
      </w:r>
      <w:r w:rsidR="003B42AD" w:rsidRPr="001268E7">
        <w:rPr>
          <w:rFonts w:cstheme="minorHAnsi"/>
          <w:spacing w:val="4"/>
          <w:sz w:val="24"/>
          <w:szCs w:val="24"/>
        </w:rPr>
        <w:t xml:space="preserve"> </w:t>
      </w:r>
      <w:r w:rsidR="00254081" w:rsidRPr="001268E7">
        <w:rPr>
          <w:rFonts w:cstheme="minorHAnsi"/>
          <w:spacing w:val="4"/>
          <w:sz w:val="24"/>
          <w:szCs w:val="24"/>
        </w:rPr>
        <w:t>W szczególności, Program powin</w:t>
      </w:r>
      <w:r w:rsidR="00B44290" w:rsidRPr="001268E7">
        <w:rPr>
          <w:rFonts w:cstheme="minorHAnsi"/>
          <w:spacing w:val="4"/>
          <w:sz w:val="24"/>
          <w:szCs w:val="24"/>
        </w:rPr>
        <w:t>ien uzupełniać działania podejmowane</w:t>
      </w:r>
      <w:r w:rsidR="00254081" w:rsidRPr="001268E7">
        <w:rPr>
          <w:rFonts w:cstheme="minorHAnsi"/>
          <w:spacing w:val="4"/>
          <w:sz w:val="24"/>
          <w:szCs w:val="24"/>
        </w:rPr>
        <w:t xml:space="preserve"> w ramach Funduszu poprzez wysiłki zmierzające do usp</w:t>
      </w:r>
      <w:r w:rsidR="00B44290" w:rsidRPr="001268E7">
        <w:rPr>
          <w:rFonts w:cstheme="minorHAnsi"/>
          <w:spacing w:val="4"/>
          <w:sz w:val="24"/>
          <w:szCs w:val="24"/>
        </w:rPr>
        <w:t>rawnienia i ułatwienia przekroczenia</w:t>
      </w:r>
      <w:r w:rsidR="00254081" w:rsidRPr="001268E7">
        <w:rPr>
          <w:rFonts w:cstheme="minorHAnsi"/>
          <w:spacing w:val="4"/>
          <w:sz w:val="24"/>
          <w:szCs w:val="24"/>
        </w:rPr>
        <w:t xml:space="preserve"> granicy zewnętrznej, również pod względem wygody.</w:t>
      </w:r>
    </w:p>
    <w:p w:rsidR="003B42AD" w:rsidRPr="001268E7" w:rsidRDefault="00254081" w:rsidP="00254081">
      <w:p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 xml:space="preserve">Cele Tematyczne (CT) Programu Współpracy Transgranicznej Polska-Rosja 2014-2020 są zgodne z </w:t>
      </w:r>
      <w:r w:rsidRPr="001268E7">
        <w:rPr>
          <w:rFonts w:cstheme="minorHAnsi"/>
          <w:i/>
          <w:spacing w:val="4"/>
          <w:sz w:val="24"/>
          <w:szCs w:val="24"/>
        </w:rPr>
        <w:t>Dokumentem Programowym dla Wsparcia UE na rzecz Współpracy Transgranicznej EIS (2014-2020)</w:t>
      </w:r>
      <w:r w:rsidRPr="001268E7">
        <w:rPr>
          <w:rFonts w:cstheme="minorHAnsi"/>
          <w:spacing w:val="4"/>
          <w:sz w:val="24"/>
          <w:szCs w:val="24"/>
        </w:rPr>
        <w:t>. Priorytety są komplementarne z szerszymi priorytetami rozwojowymi państw, których tereny należą do obszaru Programu, tj.</w:t>
      </w:r>
      <w:r w:rsidR="003B42AD" w:rsidRPr="001268E7">
        <w:rPr>
          <w:rFonts w:cstheme="minorHAnsi"/>
          <w:spacing w:val="4"/>
          <w:sz w:val="24"/>
          <w:szCs w:val="24"/>
        </w:rPr>
        <w:t xml:space="preserve"> </w:t>
      </w:r>
      <w:r w:rsidR="00B44290" w:rsidRPr="001268E7">
        <w:rPr>
          <w:rFonts w:cstheme="minorHAnsi"/>
          <w:spacing w:val="4"/>
          <w:sz w:val="24"/>
          <w:szCs w:val="24"/>
        </w:rPr>
        <w:t>Polski i Federacji Rosyjskiej</w:t>
      </w:r>
      <w:r w:rsidRPr="001268E7">
        <w:rPr>
          <w:rFonts w:cstheme="minorHAnsi"/>
          <w:spacing w:val="4"/>
          <w:sz w:val="24"/>
          <w:szCs w:val="24"/>
        </w:rPr>
        <w:t>.</w:t>
      </w:r>
      <w:r w:rsidR="003B42AD" w:rsidRPr="001268E7">
        <w:rPr>
          <w:rFonts w:cstheme="minorHAnsi"/>
          <w:spacing w:val="4"/>
          <w:sz w:val="24"/>
          <w:szCs w:val="24"/>
        </w:rPr>
        <w:t xml:space="preserve"> </w:t>
      </w:r>
      <w:r w:rsidRPr="001268E7">
        <w:rPr>
          <w:rFonts w:cstheme="minorHAnsi"/>
          <w:spacing w:val="4"/>
          <w:sz w:val="24"/>
          <w:szCs w:val="24"/>
        </w:rPr>
        <w:t>Program jest zgodny z następującymi strategiami:</w:t>
      </w:r>
    </w:p>
    <w:p w:rsidR="00254081" w:rsidRPr="001268E7" w:rsidRDefault="00FE1C9E" w:rsidP="00C62170">
      <w:pPr>
        <w:pStyle w:val="Akapitzlist"/>
        <w:numPr>
          <w:ilvl w:val="0"/>
          <w:numId w:val="34"/>
        </w:numPr>
        <w:spacing w:before="100" w:beforeAutospacing="1" w:after="100" w:afterAutospacing="1" w:line="240" w:lineRule="auto"/>
        <w:contextualSpacing w:val="0"/>
        <w:jc w:val="both"/>
        <w:rPr>
          <w:rFonts w:asciiTheme="minorHAnsi" w:hAnsiTheme="minorHAnsi" w:cstheme="minorHAnsi"/>
          <w:i/>
          <w:sz w:val="24"/>
          <w:szCs w:val="24"/>
        </w:rPr>
      </w:pPr>
      <w:r>
        <w:rPr>
          <w:rFonts w:asciiTheme="minorHAnsi" w:hAnsiTheme="minorHAnsi" w:cs="Calibri,Italic"/>
          <w:i/>
          <w:iCs/>
          <w:sz w:val="24"/>
          <w:szCs w:val="24"/>
          <w:lang w:eastAsia="pl-PL"/>
        </w:rPr>
        <w:t>trategia na rzecz Odpowiedzialnego Rozwoju</w:t>
      </w:r>
      <w:r w:rsidR="00254081" w:rsidRPr="001268E7">
        <w:rPr>
          <w:rFonts w:asciiTheme="minorHAnsi" w:hAnsiTheme="minorHAnsi" w:cs="Calibri,Italic"/>
          <w:i/>
          <w:iCs/>
          <w:sz w:val="24"/>
          <w:szCs w:val="24"/>
          <w:lang w:eastAsia="pl-PL"/>
        </w:rPr>
        <w:t xml:space="preserve"> 2020 (Polska);</w:t>
      </w:r>
    </w:p>
    <w:p w:rsidR="00254081" w:rsidRPr="001268E7" w:rsidRDefault="00254081" w:rsidP="00C62170">
      <w:pPr>
        <w:pStyle w:val="Akapitzlist"/>
        <w:numPr>
          <w:ilvl w:val="0"/>
          <w:numId w:val="34"/>
        </w:numPr>
        <w:spacing w:before="100" w:beforeAutospacing="1" w:after="100" w:afterAutospacing="1" w:line="240" w:lineRule="auto"/>
        <w:contextualSpacing w:val="0"/>
        <w:jc w:val="both"/>
        <w:rPr>
          <w:rFonts w:asciiTheme="minorHAnsi" w:hAnsiTheme="minorHAnsi" w:cstheme="minorHAnsi"/>
          <w:i/>
          <w:iCs/>
          <w:vanish/>
          <w:sz w:val="24"/>
          <w:szCs w:val="24"/>
        </w:rPr>
      </w:pPr>
      <w:r w:rsidRPr="001268E7">
        <w:rPr>
          <w:rFonts w:asciiTheme="minorHAnsi" w:hAnsiTheme="minorHAnsi" w:cs="Calibri,Italic"/>
          <w:i/>
          <w:iCs/>
          <w:sz w:val="24"/>
          <w:szCs w:val="24"/>
          <w:lang w:eastAsia="pl-PL"/>
        </w:rPr>
        <w:t>Długookresowa Strategia Rozwoju.</w:t>
      </w:r>
      <w:r w:rsidRPr="001268E7">
        <w:rPr>
          <w:rFonts w:asciiTheme="minorHAnsi" w:hAnsiTheme="minorHAnsi" w:cstheme="minorHAnsi"/>
          <w:i/>
          <w:sz w:val="24"/>
          <w:szCs w:val="24"/>
        </w:rPr>
        <w:t xml:space="preserve"> </w:t>
      </w:r>
      <w:r w:rsidRPr="001268E7">
        <w:rPr>
          <w:rFonts w:asciiTheme="minorHAnsi" w:hAnsiTheme="minorHAnsi" w:cs="Calibri,Italic"/>
          <w:i/>
          <w:iCs/>
          <w:sz w:val="24"/>
          <w:szCs w:val="24"/>
          <w:lang w:eastAsia="pl-PL"/>
        </w:rPr>
        <w:t xml:space="preserve">"Polska 2030. Trzecia Fala Nowoczesności" </w:t>
      </w:r>
      <w:r w:rsidRPr="001268E7">
        <w:rPr>
          <w:rFonts w:asciiTheme="minorHAnsi" w:hAnsiTheme="minorHAnsi" w:cs="Calibri"/>
          <w:sz w:val="24"/>
          <w:szCs w:val="24"/>
          <w:lang w:eastAsia="pl-PL"/>
        </w:rPr>
        <w:t>(Polska);</w:t>
      </w:r>
    </w:p>
    <w:p w:rsidR="00FE1C9E" w:rsidRPr="00FE1C9E" w:rsidRDefault="00FE1C9E" w:rsidP="00C62170">
      <w:pPr>
        <w:pStyle w:val="Akapitzlist"/>
        <w:numPr>
          <w:ilvl w:val="0"/>
          <w:numId w:val="34"/>
        </w:numPr>
        <w:spacing w:before="100" w:beforeAutospacing="1" w:after="100" w:afterAutospacing="1" w:line="240" w:lineRule="auto"/>
        <w:contextualSpacing w:val="0"/>
        <w:jc w:val="both"/>
        <w:rPr>
          <w:rFonts w:asciiTheme="minorHAnsi" w:hAnsiTheme="minorHAnsi" w:cstheme="minorHAnsi"/>
          <w:i/>
          <w:sz w:val="24"/>
          <w:szCs w:val="24"/>
        </w:rPr>
      </w:pPr>
    </w:p>
    <w:p w:rsidR="00254081" w:rsidRPr="001268E7" w:rsidRDefault="00254081" w:rsidP="00C62170">
      <w:pPr>
        <w:pStyle w:val="Akapitzlist"/>
        <w:numPr>
          <w:ilvl w:val="0"/>
          <w:numId w:val="34"/>
        </w:numPr>
        <w:spacing w:before="100" w:beforeAutospacing="1" w:after="100" w:afterAutospacing="1" w:line="240" w:lineRule="auto"/>
        <w:contextualSpacing w:val="0"/>
        <w:jc w:val="both"/>
        <w:rPr>
          <w:rFonts w:asciiTheme="minorHAnsi" w:hAnsiTheme="minorHAnsi" w:cstheme="minorHAnsi"/>
          <w:i/>
          <w:sz w:val="24"/>
          <w:szCs w:val="24"/>
        </w:rPr>
      </w:pPr>
      <w:r w:rsidRPr="001268E7">
        <w:rPr>
          <w:rFonts w:asciiTheme="minorHAnsi" w:hAnsiTheme="minorHAnsi" w:cs="Calibri,Italic"/>
          <w:i/>
          <w:iCs/>
          <w:sz w:val="24"/>
          <w:szCs w:val="24"/>
          <w:lang w:eastAsia="pl-PL"/>
        </w:rPr>
        <w:t xml:space="preserve">Krajowa Strategia Rozwoju Regionalnego 2010-2020: Regiony, Miasta, Obszary wiejskie </w:t>
      </w:r>
      <w:r w:rsidRPr="001268E7">
        <w:rPr>
          <w:rFonts w:asciiTheme="minorHAnsi" w:hAnsiTheme="minorHAnsi" w:cs="Calibri,Italic"/>
          <w:iCs/>
          <w:sz w:val="24"/>
          <w:szCs w:val="24"/>
          <w:lang w:eastAsia="pl-PL"/>
        </w:rPr>
        <w:t>(Polska);</w:t>
      </w:r>
    </w:p>
    <w:p w:rsidR="00254081" w:rsidRPr="001268E7" w:rsidRDefault="00254081" w:rsidP="00C62170">
      <w:pPr>
        <w:pStyle w:val="Akapitzlist"/>
        <w:numPr>
          <w:ilvl w:val="0"/>
          <w:numId w:val="34"/>
        </w:numPr>
        <w:spacing w:before="100" w:beforeAutospacing="1" w:after="100" w:afterAutospacing="1" w:line="240" w:lineRule="auto"/>
        <w:contextualSpacing w:val="0"/>
        <w:jc w:val="both"/>
        <w:rPr>
          <w:rFonts w:asciiTheme="minorHAnsi" w:hAnsiTheme="minorHAnsi" w:cstheme="minorHAnsi"/>
          <w:i/>
          <w:sz w:val="24"/>
          <w:szCs w:val="24"/>
        </w:rPr>
      </w:pPr>
      <w:r w:rsidRPr="001268E7">
        <w:rPr>
          <w:rFonts w:asciiTheme="minorHAnsi" w:hAnsiTheme="minorHAnsi" w:cs="Calibri,Italic"/>
          <w:i/>
          <w:iCs/>
          <w:sz w:val="24"/>
          <w:szCs w:val="24"/>
          <w:lang w:eastAsia="pl-PL"/>
        </w:rPr>
        <w:t xml:space="preserve">Koncepcja Przestrzennego Zagospodarowania Kraju 2030 </w:t>
      </w:r>
      <w:r w:rsidRPr="001268E7">
        <w:rPr>
          <w:rFonts w:asciiTheme="minorHAnsi" w:hAnsiTheme="minorHAnsi" w:cs="Calibri"/>
          <w:sz w:val="24"/>
          <w:szCs w:val="24"/>
          <w:lang w:eastAsia="pl-PL"/>
        </w:rPr>
        <w:t>(Polska);</w:t>
      </w:r>
    </w:p>
    <w:p w:rsidR="00254081" w:rsidRPr="001268E7" w:rsidRDefault="00254081" w:rsidP="00C62170">
      <w:pPr>
        <w:pStyle w:val="Akapitzlist1"/>
        <w:numPr>
          <w:ilvl w:val="0"/>
          <w:numId w:val="34"/>
        </w:numPr>
        <w:spacing w:before="100" w:beforeAutospacing="1" w:after="100" w:afterAutospacing="1" w:line="240" w:lineRule="auto"/>
        <w:contextualSpacing w:val="0"/>
        <w:jc w:val="both"/>
        <w:rPr>
          <w:rFonts w:asciiTheme="minorHAnsi" w:hAnsiTheme="minorHAnsi" w:cs="Calibri"/>
          <w:i/>
          <w:sz w:val="24"/>
          <w:szCs w:val="24"/>
        </w:rPr>
      </w:pPr>
      <w:r w:rsidRPr="001268E7">
        <w:rPr>
          <w:rFonts w:asciiTheme="minorHAnsi" w:hAnsiTheme="minorHAnsi" w:cs="Calibri"/>
          <w:i/>
          <w:sz w:val="24"/>
          <w:szCs w:val="24"/>
        </w:rPr>
        <w:t>Koncepcja Zewnętrznej Polityki Federacji Rosyjskiej</w:t>
      </w:r>
    </w:p>
    <w:p w:rsidR="00254081" w:rsidRPr="001268E7" w:rsidRDefault="00254081" w:rsidP="00C62170">
      <w:pPr>
        <w:pStyle w:val="Akapitzlist1"/>
        <w:numPr>
          <w:ilvl w:val="0"/>
          <w:numId w:val="34"/>
        </w:numPr>
        <w:spacing w:before="100" w:beforeAutospacing="1" w:after="100" w:afterAutospacing="1" w:line="240" w:lineRule="auto"/>
        <w:jc w:val="both"/>
        <w:rPr>
          <w:rFonts w:asciiTheme="minorHAnsi" w:hAnsiTheme="minorHAnsi" w:cs="Calibri"/>
          <w:i/>
          <w:sz w:val="24"/>
          <w:szCs w:val="24"/>
        </w:rPr>
      </w:pPr>
      <w:r w:rsidRPr="001268E7">
        <w:rPr>
          <w:rFonts w:asciiTheme="minorHAnsi" w:hAnsiTheme="minorHAnsi" w:cs="Calibri"/>
          <w:i/>
          <w:sz w:val="24"/>
          <w:szCs w:val="24"/>
        </w:rPr>
        <w:t>Koncepcja Współpracy Transgranicznej Federacji Rosyjskiej (Federacja Rosyjska);</w:t>
      </w:r>
    </w:p>
    <w:p w:rsidR="00254081" w:rsidRPr="001268E7" w:rsidRDefault="00254081" w:rsidP="00C62170">
      <w:pPr>
        <w:pStyle w:val="Akapitzlist"/>
        <w:numPr>
          <w:ilvl w:val="0"/>
          <w:numId w:val="34"/>
        </w:numPr>
        <w:spacing w:before="100" w:beforeAutospacing="1" w:after="100" w:afterAutospacing="1" w:line="240" w:lineRule="auto"/>
        <w:contextualSpacing w:val="0"/>
        <w:jc w:val="both"/>
        <w:rPr>
          <w:rFonts w:asciiTheme="minorHAnsi" w:hAnsiTheme="minorHAnsi" w:cstheme="minorHAnsi"/>
          <w:i/>
          <w:sz w:val="24"/>
          <w:szCs w:val="24"/>
        </w:rPr>
      </w:pPr>
      <w:r w:rsidRPr="001268E7">
        <w:rPr>
          <w:rFonts w:asciiTheme="minorHAnsi" w:hAnsiTheme="minorHAnsi" w:cstheme="minorHAnsi"/>
          <w:i/>
          <w:sz w:val="24"/>
          <w:szCs w:val="24"/>
        </w:rPr>
        <w:t xml:space="preserve">Państwowy Program </w:t>
      </w:r>
      <w:r w:rsidR="0069374C" w:rsidRPr="001268E7">
        <w:rPr>
          <w:rFonts w:asciiTheme="minorHAnsi" w:hAnsiTheme="minorHAnsi" w:cstheme="minorHAnsi"/>
          <w:i/>
          <w:sz w:val="24"/>
          <w:szCs w:val="24"/>
        </w:rPr>
        <w:t xml:space="preserve">Rozwoju Społeczno-Gospodarczego </w:t>
      </w:r>
      <w:r w:rsidRPr="001268E7">
        <w:rPr>
          <w:rFonts w:asciiTheme="minorHAnsi" w:hAnsiTheme="minorHAnsi" w:cstheme="minorHAnsi"/>
          <w:i/>
          <w:sz w:val="24"/>
          <w:szCs w:val="24"/>
        </w:rPr>
        <w:t xml:space="preserve">Regionu Kaliningradzkiego do </w:t>
      </w:r>
      <w:r w:rsidR="0069374C" w:rsidRPr="001268E7">
        <w:rPr>
          <w:rFonts w:asciiTheme="minorHAnsi" w:hAnsiTheme="minorHAnsi" w:cstheme="minorHAnsi"/>
          <w:i/>
          <w:sz w:val="24"/>
          <w:szCs w:val="24"/>
        </w:rPr>
        <w:t>roku 2020</w:t>
      </w:r>
      <w:r w:rsidR="00B44290" w:rsidRPr="001268E7">
        <w:rPr>
          <w:rFonts w:asciiTheme="minorHAnsi" w:hAnsiTheme="minorHAnsi" w:cstheme="minorHAnsi"/>
          <w:i/>
          <w:sz w:val="24"/>
          <w:szCs w:val="24"/>
        </w:rPr>
        <w:t xml:space="preserve"> </w:t>
      </w:r>
      <w:r w:rsidRPr="001268E7">
        <w:rPr>
          <w:rFonts w:asciiTheme="minorHAnsi" w:hAnsiTheme="minorHAnsi" w:cstheme="minorHAnsi"/>
          <w:sz w:val="24"/>
          <w:szCs w:val="24"/>
        </w:rPr>
        <w:t>(Federacja Rosyjska).</w:t>
      </w:r>
    </w:p>
    <w:p w:rsidR="00254081" w:rsidRPr="001268E7" w:rsidRDefault="00254081" w:rsidP="00C62170">
      <w:pPr>
        <w:pStyle w:val="Akapitzlist1"/>
        <w:numPr>
          <w:ilvl w:val="0"/>
          <w:numId w:val="34"/>
        </w:numPr>
        <w:spacing w:before="100" w:beforeAutospacing="1" w:after="100" w:afterAutospacing="1" w:line="240" w:lineRule="auto"/>
        <w:contextualSpacing w:val="0"/>
        <w:jc w:val="both"/>
        <w:rPr>
          <w:rFonts w:asciiTheme="minorHAnsi" w:hAnsiTheme="minorHAnsi" w:cs="Calibri"/>
          <w:i/>
          <w:sz w:val="24"/>
          <w:szCs w:val="24"/>
        </w:rPr>
      </w:pPr>
      <w:r w:rsidRPr="001268E7">
        <w:rPr>
          <w:rFonts w:asciiTheme="minorHAnsi" w:hAnsiTheme="minorHAnsi" w:cs="Calibri"/>
          <w:i/>
          <w:sz w:val="24"/>
          <w:szCs w:val="24"/>
        </w:rPr>
        <w:t>Strategia S</w:t>
      </w:r>
      <w:r w:rsidR="0069374C" w:rsidRPr="001268E7">
        <w:rPr>
          <w:rFonts w:asciiTheme="minorHAnsi" w:hAnsiTheme="minorHAnsi" w:cs="Calibri"/>
          <w:i/>
          <w:sz w:val="24"/>
          <w:szCs w:val="24"/>
        </w:rPr>
        <w:t xml:space="preserve">połeczno-Gospodarczego </w:t>
      </w:r>
      <w:r w:rsidR="002E4F70" w:rsidRPr="001268E7">
        <w:rPr>
          <w:rFonts w:asciiTheme="minorHAnsi" w:hAnsiTheme="minorHAnsi" w:cs="Calibri"/>
          <w:i/>
          <w:sz w:val="24"/>
          <w:szCs w:val="24"/>
        </w:rPr>
        <w:t xml:space="preserve">Rozwoju </w:t>
      </w:r>
      <w:r w:rsidRPr="001268E7">
        <w:rPr>
          <w:rFonts w:asciiTheme="minorHAnsi" w:hAnsiTheme="minorHAnsi" w:cs="Calibri"/>
          <w:i/>
          <w:sz w:val="24"/>
          <w:szCs w:val="24"/>
        </w:rPr>
        <w:t xml:space="preserve">Północno-Zachodniego Dystryktu Federalnego Federacji Rosyjskiej do </w:t>
      </w:r>
      <w:r w:rsidR="0069374C" w:rsidRPr="001268E7">
        <w:rPr>
          <w:rFonts w:asciiTheme="minorHAnsi" w:hAnsiTheme="minorHAnsi" w:cs="Calibri"/>
          <w:i/>
          <w:sz w:val="24"/>
          <w:szCs w:val="24"/>
        </w:rPr>
        <w:t>roku 2020</w:t>
      </w:r>
    </w:p>
    <w:p w:rsidR="004C6828" w:rsidRPr="001268E7" w:rsidRDefault="00B44290" w:rsidP="00254081">
      <w:pPr>
        <w:spacing w:before="100" w:beforeAutospacing="1" w:after="100" w:afterAutospacing="1" w:line="240" w:lineRule="auto"/>
        <w:jc w:val="both"/>
        <w:rPr>
          <w:rFonts w:cstheme="minorHAnsi"/>
          <w:bCs/>
          <w:spacing w:val="4"/>
          <w:sz w:val="24"/>
          <w:szCs w:val="24"/>
        </w:rPr>
      </w:pPr>
      <w:r w:rsidRPr="001268E7">
        <w:rPr>
          <w:rFonts w:cs="Calibri"/>
          <w:sz w:val="24"/>
          <w:szCs w:val="24"/>
          <w:lang w:eastAsia="pl-PL"/>
        </w:rPr>
        <w:t>W Polsce priorytety</w:t>
      </w:r>
      <w:r w:rsidR="00254081" w:rsidRPr="001268E7">
        <w:rPr>
          <w:rFonts w:cs="Calibri"/>
          <w:sz w:val="24"/>
          <w:szCs w:val="24"/>
          <w:lang w:eastAsia="pl-PL"/>
        </w:rPr>
        <w:t xml:space="preserve"> Programu są </w:t>
      </w:r>
      <w:r w:rsidRPr="001268E7">
        <w:rPr>
          <w:rFonts w:cs="Calibri"/>
          <w:sz w:val="24"/>
          <w:szCs w:val="24"/>
          <w:lang w:eastAsia="pl-PL"/>
        </w:rPr>
        <w:t xml:space="preserve">również </w:t>
      </w:r>
      <w:r w:rsidR="00254081" w:rsidRPr="001268E7">
        <w:rPr>
          <w:rFonts w:cs="Calibri"/>
          <w:sz w:val="24"/>
          <w:szCs w:val="24"/>
          <w:lang w:eastAsia="pl-PL"/>
        </w:rPr>
        <w:t>spójne z programami operacyjnymi na lata 2014-2020</w:t>
      </w:r>
      <w:r w:rsidRPr="001268E7">
        <w:rPr>
          <w:rFonts w:cs="Calibri"/>
          <w:sz w:val="24"/>
          <w:szCs w:val="24"/>
          <w:lang w:eastAsia="pl-PL"/>
        </w:rPr>
        <w:t>,</w:t>
      </w:r>
      <w:r w:rsidR="00254081" w:rsidRPr="001268E7">
        <w:rPr>
          <w:rFonts w:cs="Calibri"/>
          <w:sz w:val="24"/>
          <w:szCs w:val="24"/>
          <w:lang w:eastAsia="pl-PL"/>
        </w:rPr>
        <w:t xml:space="preserve"> w szczególności z Programem Polski Wschodniej i </w:t>
      </w:r>
      <w:r w:rsidRPr="001268E7">
        <w:rPr>
          <w:rFonts w:cs="Calibri"/>
          <w:sz w:val="24"/>
          <w:szCs w:val="24"/>
          <w:lang w:eastAsia="pl-PL"/>
        </w:rPr>
        <w:t xml:space="preserve">poszczególnymi </w:t>
      </w:r>
      <w:r w:rsidR="00254081" w:rsidRPr="001268E7">
        <w:rPr>
          <w:rFonts w:cs="Calibri"/>
          <w:sz w:val="24"/>
          <w:szCs w:val="24"/>
          <w:lang w:eastAsia="pl-PL"/>
        </w:rPr>
        <w:t>regionalnymi programami operacyjnymi dla odpowiednich województw.</w:t>
      </w:r>
    </w:p>
    <w:p w:rsidR="003B42AD" w:rsidRPr="001268E7" w:rsidRDefault="00FE1C9E" w:rsidP="002F6C7B">
      <w:pPr>
        <w:spacing w:before="100" w:beforeAutospacing="1" w:after="100" w:afterAutospacing="1" w:line="240" w:lineRule="auto"/>
        <w:jc w:val="both"/>
        <w:rPr>
          <w:rFonts w:cstheme="minorHAnsi"/>
          <w:bCs/>
          <w:spacing w:val="4"/>
          <w:sz w:val="24"/>
          <w:szCs w:val="24"/>
        </w:rPr>
      </w:pPr>
      <w:r>
        <w:rPr>
          <w:rFonts w:asciiTheme="minorHAnsi" w:hAnsiTheme="minorHAnsi" w:cs="Calibri,Italic"/>
          <w:i/>
          <w:iCs/>
          <w:sz w:val="24"/>
          <w:szCs w:val="24"/>
          <w:lang w:eastAsia="pl-PL"/>
        </w:rPr>
        <w:lastRenderedPageBreak/>
        <w:t>Strategia na rzecz Odpowiedzialnego Rozwoju</w:t>
      </w:r>
      <w:r w:rsidR="00254081" w:rsidRPr="001268E7">
        <w:rPr>
          <w:rFonts w:asciiTheme="minorHAnsi" w:hAnsiTheme="minorHAnsi" w:cs="Calibri,Italic"/>
          <w:i/>
          <w:iCs/>
          <w:sz w:val="24"/>
          <w:szCs w:val="24"/>
          <w:lang w:eastAsia="pl-PL"/>
        </w:rPr>
        <w:t xml:space="preserve"> 2020 </w:t>
      </w:r>
      <w:r w:rsidR="00254081" w:rsidRPr="001268E7">
        <w:rPr>
          <w:rFonts w:asciiTheme="minorHAnsi" w:hAnsiTheme="minorHAnsi" w:cs="Calibri"/>
          <w:sz w:val="24"/>
          <w:szCs w:val="24"/>
          <w:lang w:eastAsia="pl-PL"/>
        </w:rPr>
        <w:t xml:space="preserve">została przyjęta przez Radę Ministrów Rzeczypospolitej Polskiej </w:t>
      </w:r>
      <w:r>
        <w:rPr>
          <w:rFonts w:asciiTheme="minorHAnsi" w:hAnsiTheme="minorHAnsi" w:cs="Calibri"/>
          <w:sz w:val="24"/>
          <w:szCs w:val="24"/>
          <w:lang w:eastAsia="pl-PL"/>
        </w:rPr>
        <w:t>14 lutego 2017</w:t>
      </w:r>
      <w:r w:rsidR="00254081" w:rsidRPr="001268E7">
        <w:rPr>
          <w:rFonts w:asciiTheme="minorHAnsi" w:hAnsiTheme="minorHAnsi" w:cs="Calibri"/>
          <w:sz w:val="24"/>
          <w:szCs w:val="24"/>
          <w:lang w:eastAsia="pl-PL"/>
        </w:rPr>
        <w:t xml:space="preserve"> r. </w:t>
      </w:r>
      <w:r w:rsidRPr="00FE1C9E">
        <w:rPr>
          <w:rFonts w:cstheme="minorHAnsi"/>
          <w:bCs/>
          <w:spacing w:val="4"/>
          <w:sz w:val="24"/>
          <w:szCs w:val="24"/>
        </w:rPr>
        <w:t>Zapewnia aktualizację średnioterminowej strategii rozwoju kraju, tj. Narodowej Strategii Rozwoju 2020.</w:t>
      </w:r>
      <w:r>
        <w:rPr>
          <w:rFonts w:cstheme="minorHAnsi"/>
          <w:bCs/>
          <w:spacing w:val="4"/>
          <w:sz w:val="24"/>
          <w:szCs w:val="24"/>
        </w:rPr>
        <w:t xml:space="preserve"> Strategia jest instrumentem elastycznego zarzadzania głównymi procesami rozwoju w Polsce, definiującym nowy model rozwoju. Łączy ona strategiczny i operacyjny wymiar – wskazuje niezbędne działania i instrumenty wdrożeniowe. Głównymi celami „Strategii..” są: trwaly wzrost gospodarczy w coraz większym stopniu oparty na wiedzy, danych i doskonalosci organizacyjnej; społecznie wrażliwy i terytorialnie zrównoważony rozwój;</w:t>
      </w:r>
      <w:r w:rsidR="001F72CA">
        <w:rPr>
          <w:rFonts w:cstheme="minorHAnsi"/>
          <w:bCs/>
          <w:spacing w:val="4"/>
          <w:sz w:val="24"/>
          <w:szCs w:val="24"/>
        </w:rPr>
        <w:t xml:space="preserve"> skuteczne instytucje państwowe i gospodarcze przyczyniające się do wzrostu gospodarczego, a także wlaczenia społecznego i gospodarczego.</w:t>
      </w:r>
      <w:r w:rsidR="002F6C7B" w:rsidRPr="001268E7">
        <w:rPr>
          <w:rFonts w:cstheme="minorHAnsi"/>
          <w:bCs/>
          <w:spacing w:val="4"/>
          <w:sz w:val="24"/>
          <w:szCs w:val="24"/>
        </w:rPr>
        <w:t>Program Współpracy Transgranicznej Polska-Rosja 2014-2020 wpisuje się w ww. obszary strategiczne.</w:t>
      </w:r>
      <w:r w:rsidR="00650AC0" w:rsidRPr="001268E7">
        <w:rPr>
          <w:rFonts w:cstheme="minorHAnsi"/>
          <w:bCs/>
          <w:spacing w:val="4"/>
          <w:sz w:val="24"/>
          <w:szCs w:val="24"/>
        </w:rPr>
        <w:t xml:space="preserve"> </w:t>
      </w:r>
    </w:p>
    <w:p w:rsidR="003B42AD" w:rsidRPr="001268E7" w:rsidRDefault="002F6C7B" w:rsidP="002F6C7B">
      <w:pPr>
        <w:spacing w:before="100" w:beforeAutospacing="1" w:after="100" w:afterAutospacing="1" w:line="240" w:lineRule="auto"/>
        <w:jc w:val="both"/>
        <w:rPr>
          <w:rFonts w:cstheme="minorHAnsi"/>
          <w:spacing w:val="4"/>
          <w:sz w:val="24"/>
          <w:szCs w:val="24"/>
        </w:rPr>
      </w:pPr>
      <w:r w:rsidRPr="001268E7">
        <w:rPr>
          <w:rFonts w:cstheme="minorHAnsi"/>
          <w:i/>
          <w:spacing w:val="4"/>
          <w:sz w:val="24"/>
          <w:szCs w:val="24"/>
        </w:rPr>
        <w:t>Długookresowa Strategia Rozwoju.</w:t>
      </w:r>
      <w:r w:rsidR="003B42AD" w:rsidRPr="001268E7">
        <w:rPr>
          <w:rFonts w:cstheme="minorHAnsi"/>
          <w:i/>
          <w:spacing w:val="4"/>
          <w:sz w:val="24"/>
          <w:szCs w:val="24"/>
        </w:rPr>
        <w:t xml:space="preserve"> </w:t>
      </w:r>
      <w:r w:rsidR="00B44290" w:rsidRPr="001268E7">
        <w:rPr>
          <w:rFonts w:asciiTheme="minorHAnsi" w:hAnsiTheme="minorHAnsi" w:cs="Calibri,Italic"/>
          <w:i/>
          <w:iCs/>
          <w:sz w:val="24"/>
          <w:szCs w:val="24"/>
          <w:lang w:eastAsia="pl-PL"/>
        </w:rPr>
        <w:t>"</w:t>
      </w:r>
      <w:r w:rsidRPr="001268E7">
        <w:rPr>
          <w:rFonts w:asciiTheme="minorHAnsi" w:hAnsiTheme="minorHAnsi" w:cs="Calibri,Italic"/>
          <w:i/>
          <w:iCs/>
          <w:sz w:val="24"/>
          <w:szCs w:val="24"/>
          <w:lang w:eastAsia="pl-PL"/>
        </w:rPr>
        <w:t>Polska 2</w:t>
      </w:r>
      <w:r w:rsidR="00B44290" w:rsidRPr="001268E7">
        <w:rPr>
          <w:rFonts w:asciiTheme="minorHAnsi" w:hAnsiTheme="minorHAnsi" w:cs="Calibri,Italic"/>
          <w:i/>
          <w:iCs/>
          <w:sz w:val="24"/>
          <w:szCs w:val="24"/>
          <w:lang w:eastAsia="pl-PL"/>
        </w:rPr>
        <w:t>030. Trzecia Fala Nowoczesności"</w:t>
      </w:r>
      <w:r w:rsidRPr="001268E7">
        <w:rPr>
          <w:rFonts w:asciiTheme="minorHAnsi" w:hAnsiTheme="minorHAnsi" w:cs="Calibri,Italic"/>
          <w:i/>
          <w:iCs/>
          <w:sz w:val="24"/>
          <w:szCs w:val="24"/>
          <w:lang w:eastAsia="pl-PL"/>
        </w:rPr>
        <w:t xml:space="preserve"> </w:t>
      </w:r>
      <w:r w:rsidR="004A54F6" w:rsidRPr="001268E7">
        <w:rPr>
          <w:rFonts w:asciiTheme="minorHAnsi" w:hAnsiTheme="minorHAnsi" w:cs="Calibri"/>
          <w:sz w:val="24"/>
          <w:szCs w:val="24"/>
          <w:lang w:eastAsia="pl-PL"/>
        </w:rPr>
        <w:t>przyjęta przez Radę Ministrów dnia</w:t>
      </w:r>
      <w:r w:rsidRPr="001268E7">
        <w:rPr>
          <w:rFonts w:asciiTheme="minorHAnsi" w:hAnsiTheme="minorHAnsi" w:cs="Calibri"/>
          <w:sz w:val="24"/>
          <w:szCs w:val="24"/>
          <w:lang w:eastAsia="pl-PL"/>
        </w:rPr>
        <w:t xml:space="preserve"> 5 lutego 2013 r. została opracowana w latach 2011-2012 jako odpowiedź na kryzys finansowy.</w:t>
      </w:r>
      <w:r w:rsidR="003B42AD" w:rsidRPr="001268E7">
        <w:rPr>
          <w:rFonts w:cstheme="minorHAnsi"/>
          <w:spacing w:val="4"/>
          <w:sz w:val="24"/>
          <w:szCs w:val="24"/>
        </w:rPr>
        <w:t xml:space="preserve"> </w:t>
      </w:r>
      <w:r w:rsidRPr="001268E7">
        <w:rPr>
          <w:rFonts w:cs="Calibri"/>
          <w:sz w:val="24"/>
          <w:szCs w:val="24"/>
          <w:lang w:eastAsia="pl-PL"/>
        </w:rPr>
        <w:t>Jej głównym celem jest poprawa jakości życia mieszkańców Polski dzięki stabilnemu, wysokiemu wzrostowi gospodarczemu.</w:t>
      </w:r>
      <w:r w:rsidR="003B42AD" w:rsidRPr="001268E7">
        <w:rPr>
          <w:rFonts w:cstheme="minorHAnsi"/>
          <w:spacing w:val="4"/>
          <w:sz w:val="24"/>
          <w:szCs w:val="24"/>
        </w:rPr>
        <w:t xml:space="preserve"> </w:t>
      </w:r>
      <w:r w:rsidRPr="001268E7">
        <w:rPr>
          <w:rFonts w:cs="Calibri"/>
          <w:sz w:val="24"/>
          <w:szCs w:val="24"/>
          <w:lang w:eastAsia="pl-PL"/>
        </w:rPr>
        <w:t>Cel ten powinien zostać osiągnięty poprzez realizację trzech kierunków strategicznych: konkurencyjna i innowacyjna gospodarka, zrównoważony rozwój potencjału polskich regionów, skuteczność i efektywność państwa.</w:t>
      </w:r>
      <w:r w:rsidR="003B42AD" w:rsidRPr="001268E7">
        <w:rPr>
          <w:rFonts w:cstheme="minorHAnsi"/>
          <w:spacing w:val="4"/>
          <w:sz w:val="24"/>
          <w:szCs w:val="24"/>
        </w:rPr>
        <w:t xml:space="preserve"> </w:t>
      </w:r>
      <w:r w:rsidRPr="001268E7">
        <w:rPr>
          <w:rFonts w:cstheme="minorHAnsi"/>
          <w:spacing w:val="4"/>
          <w:sz w:val="24"/>
          <w:szCs w:val="24"/>
        </w:rPr>
        <w:t>Program Polska-Rosja przyczynia się, między innymi, do poprawy dostępności transportu i regionalnego rozwoju obszaru Programu.</w:t>
      </w:r>
    </w:p>
    <w:p w:rsidR="003B42AD" w:rsidRPr="001268E7" w:rsidRDefault="002F6C7B" w:rsidP="002F6C7B">
      <w:pPr>
        <w:spacing w:before="100" w:beforeAutospacing="1" w:after="100" w:afterAutospacing="1" w:line="240" w:lineRule="auto"/>
        <w:jc w:val="both"/>
        <w:rPr>
          <w:rFonts w:cstheme="minorHAnsi"/>
          <w:spacing w:val="4"/>
          <w:sz w:val="24"/>
          <w:szCs w:val="24"/>
        </w:rPr>
      </w:pPr>
      <w:r w:rsidRPr="001268E7">
        <w:rPr>
          <w:rFonts w:asciiTheme="minorHAnsi" w:hAnsiTheme="minorHAnsi" w:cs="Calibri,Italic"/>
          <w:i/>
          <w:iCs/>
          <w:sz w:val="24"/>
          <w:szCs w:val="24"/>
          <w:lang w:eastAsia="pl-PL"/>
        </w:rPr>
        <w:t xml:space="preserve">Krajowa Strategia Rozwoju Regionalnego 2010-2020: Regiony, Miasta, Obszary wiejskie </w:t>
      </w:r>
      <w:r w:rsidRPr="001268E7">
        <w:rPr>
          <w:rFonts w:asciiTheme="minorHAnsi" w:hAnsiTheme="minorHAnsi" w:cs="Calibri"/>
          <w:sz w:val="24"/>
          <w:szCs w:val="24"/>
          <w:lang w:eastAsia="pl-PL"/>
        </w:rPr>
        <w:t xml:space="preserve">- przyjęta przez Radę Ministrów </w:t>
      </w:r>
      <w:r w:rsidR="004A54F6" w:rsidRPr="001268E7">
        <w:rPr>
          <w:rFonts w:asciiTheme="minorHAnsi" w:hAnsiTheme="minorHAnsi" w:cs="Calibri"/>
          <w:sz w:val="24"/>
          <w:szCs w:val="24"/>
          <w:lang w:eastAsia="pl-PL"/>
        </w:rPr>
        <w:t xml:space="preserve">dnia </w:t>
      </w:r>
      <w:r w:rsidRPr="001268E7">
        <w:rPr>
          <w:rFonts w:asciiTheme="minorHAnsi" w:hAnsiTheme="minorHAnsi" w:cs="Calibri"/>
          <w:sz w:val="24"/>
          <w:szCs w:val="24"/>
          <w:lang w:eastAsia="pl-PL"/>
        </w:rPr>
        <w:t>13 lipca 2010 r. Dokument ten wzmacnia rolę i wagę polityki regionalnej we wdrażaniu ważnych działań rozwojowych dotyczących aspektów rozwoju przestrzennego.</w:t>
      </w:r>
      <w:r w:rsidR="003B42AD" w:rsidRPr="001268E7">
        <w:rPr>
          <w:rFonts w:cstheme="minorHAnsi"/>
          <w:spacing w:val="4"/>
          <w:sz w:val="24"/>
          <w:szCs w:val="24"/>
        </w:rPr>
        <w:t xml:space="preserve"> </w:t>
      </w:r>
      <w:r w:rsidRPr="001268E7">
        <w:rPr>
          <w:rFonts w:cs="Calibri"/>
          <w:sz w:val="24"/>
          <w:szCs w:val="24"/>
          <w:lang w:eastAsia="pl-PL"/>
        </w:rPr>
        <w:t>Zapewni on większe znaczenie konkretnych potrzeb i potencjałów poszczególnych obszarów Polski w politykach państwowych.</w:t>
      </w:r>
    </w:p>
    <w:p w:rsidR="003B42AD" w:rsidRPr="001268E7" w:rsidRDefault="002F6C7B" w:rsidP="002F6C7B">
      <w:pPr>
        <w:spacing w:before="100" w:beforeAutospacing="1" w:after="100" w:afterAutospacing="1" w:line="240" w:lineRule="auto"/>
        <w:jc w:val="both"/>
        <w:rPr>
          <w:rFonts w:cs="Calibri"/>
          <w:spacing w:val="4"/>
          <w:sz w:val="24"/>
          <w:szCs w:val="24"/>
        </w:rPr>
      </w:pPr>
      <w:r w:rsidRPr="001268E7">
        <w:rPr>
          <w:rFonts w:cs="Calibri"/>
          <w:i/>
          <w:spacing w:val="4"/>
          <w:sz w:val="24"/>
          <w:szCs w:val="24"/>
        </w:rPr>
        <w:t>Koncepcja Współpracy Transgraniczne</w:t>
      </w:r>
      <w:r w:rsidR="00515834" w:rsidRPr="001268E7">
        <w:rPr>
          <w:rFonts w:cs="Calibri"/>
          <w:i/>
          <w:spacing w:val="4"/>
          <w:sz w:val="24"/>
          <w:szCs w:val="24"/>
        </w:rPr>
        <w:t>j</w:t>
      </w:r>
      <w:r w:rsidRPr="001268E7">
        <w:rPr>
          <w:rFonts w:cs="Calibri"/>
          <w:i/>
          <w:spacing w:val="4"/>
          <w:sz w:val="24"/>
          <w:szCs w:val="24"/>
        </w:rPr>
        <w:t xml:space="preserve"> Federacji Rosyjskiej</w:t>
      </w:r>
      <w:r w:rsidR="00515834" w:rsidRPr="001268E7">
        <w:rPr>
          <w:rFonts w:cs="Calibri"/>
          <w:spacing w:val="4"/>
          <w:sz w:val="24"/>
          <w:szCs w:val="24"/>
        </w:rPr>
        <w:t xml:space="preserve"> przyjęta przez r</w:t>
      </w:r>
      <w:r w:rsidRPr="001268E7">
        <w:rPr>
          <w:rFonts w:cs="Calibri"/>
          <w:spacing w:val="4"/>
          <w:sz w:val="24"/>
          <w:szCs w:val="24"/>
        </w:rPr>
        <w:t xml:space="preserve">ząd Federacji Rosyjskiej </w:t>
      </w:r>
      <w:r w:rsidR="004A54F6" w:rsidRPr="001268E7">
        <w:rPr>
          <w:rFonts w:cs="Calibri"/>
          <w:spacing w:val="4"/>
          <w:sz w:val="24"/>
          <w:szCs w:val="24"/>
        </w:rPr>
        <w:t xml:space="preserve">dnia </w:t>
      </w:r>
      <w:r w:rsidRPr="001268E7">
        <w:rPr>
          <w:rFonts w:cs="Calibri"/>
          <w:spacing w:val="4"/>
          <w:sz w:val="24"/>
          <w:szCs w:val="24"/>
        </w:rPr>
        <w:t>9 lutego 2001 r. Koncepcja określa główne cele i priorytety współpracy transgranicznej Federacji Rosyjskiej.</w:t>
      </w:r>
      <w:r w:rsidR="003B42AD" w:rsidRPr="001268E7">
        <w:rPr>
          <w:rFonts w:cs="Calibri"/>
          <w:spacing w:val="4"/>
          <w:sz w:val="24"/>
          <w:szCs w:val="24"/>
        </w:rPr>
        <w:t xml:space="preserve"> </w:t>
      </w:r>
      <w:r w:rsidRPr="001268E7">
        <w:rPr>
          <w:rFonts w:cs="Calibri"/>
          <w:spacing w:val="4"/>
          <w:sz w:val="24"/>
          <w:szCs w:val="24"/>
        </w:rPr>
        <w:t>Określa również uprawnienia wła</w:t>
      </w:r>
      <w:r w:rsidR="00515834" w:rsidRPr="001268E7">
        <w:rPr>
          <w:rFonts w:cs="Calibri"/>
          <w:spacing w:val="4"/>
          <w:sz w:val="24"/>
          <w:szCs w:val="24"/>
        </w:rPr>
        <w:t>dz federalnych i regionalnych w</w:t>
      </w:r>
      <w:r w:rsidRPr="001268E7">
        <w:rPr>
          <w:rFonts w:cs="Calibri"/>
          <w:spacing w:val="4"/>
          <w:sz w:val="24"/>
          <w:szCs w:val="24"/>
        </w:rPr>
        <w:t xml:space="preserve"> tym obszarze.</w:t>
      </w:r>
      <w:r w:rsidR="003B42AD" w:rsidRPr="001268E7">
        <w:rPr>
          <w:rFonts w:cs="Calibri"/>
          <w:spacing w:val="4"/>
          <w:sz w:val="24"/>
          <w:szCs w:val="24"/>
        </w:rPr>
        <w:t xml:space="preserve"> </w:t>
      </w:r>
      <w:r w:rsidRPr="001268E7">
        <w:rPr>
          <w:rFonts w:cs="Calibri"/>
          <w:spacing w:val="4"/>
          <w:sz w:val="24"/>
          <w:szCs w:val="24"/>
        </w:rPr>
        <w:t>Dokument będzie służyć jako ogólna podstawa udziału Rosji w Programie Współpracy Transgranicznej Polska-Rosja.</w:t>
      </w:r>
    </w:p>
    <w:p w:rsidR="003B42AD" w:rsidRPr="001268E7" w:rsidRDefault="002F6C7B" w:rsidP="002F6C7B">
      <w:pPr>
        <w:spacing w:before="100" w:beforeAutospacing="1" w:after="100" w:afterAutospacing="1" w:line="240" w:lineRule="auto"/>
        <w:jc w:val="both"/>
        <w:rPr>
          <w:rFonts w:cs="Calibri"/>
          <w:spacing w:val="4"/>
          <w:sz w:val="24"/>
          <w:szCs w:val="24"/>
        </w:rPr>
      </w:pPr>
      <w:r w:rsidRPr="001268E7">
        <w:rPr>
          <w:rFonts w:cs="Calibri"/>
          <w:spacing w:val="4"/>
          <w:sz w:val="24"/>
          <w:szCs w:val="24"/>
        </w:rPr>
        <w:t xml:space="preserve">Strategia </w:t>
      </w:r>
      <w:r w:rsidR="0069374C" w:rsidRPr="001268E7">
        <w:rPr>
          <w:rFonts w:cs="Calibri"/>
          <w:spacing w:val="4"/>
          <w:sz w:val="24"/>
          <w:szCs w:val="24"/>
        </w:rPr>
        <w:t xml:space="preserve">Społeczno-Gospodarczego </w:t>
      </w:r>
      <w:r w:rsidR="002E4F70" w:rsidRPr="001268E7">
        <w:rPr>
          <w:rFonts w:cs="Calibri"/>
          <w:spacing w:val="4"/>
          <w:sz w:val="24"/>
          <w:szCs w:val="24"/>
        </w:rPr>
        <w:t xml:space="preserve">Rozwoju </w:t>
      </w:r>
      <w:r w:rsidRPr="001268E7">
        <w:rPr>
          <w:rFonts w:cs="Calibri"/>
          <w:spacing w:val="4"/>
          <w:sz w:val="24"/>
          <w:szCs w:val="24"/>
        </w:rPr>
        <w:t xml:space="preserve">Północno-Zachodniego Dystryktu Federalnego do </w:t>
      </w:r>
      <w:r w:rsidR="0069374C" w:rsidRPr="001268E7">
        <w:rPr>
          <w:rFonts w:cs="Calibri"/>
          <w:spacing w:val="4"/>
          <w:sz w:val="24"/>
          <w:szCs w:val="24"/>
        </w:rPr>
        <w:t>roku 2020</w:t>
      </w:r>
      <w:r w:rsidR="00123786" w:rsidRPr="001268E7">
        <w:rPr>
          <w:rFonts w:cs="Calibri"/>
          <w:spacing w:val="4"/>
          <w:sz w:val="24"/>
          <w:szCs w:val="24"/>
        </w:rPr>
        <w:t xml:space="preserve"> </w:t>
      </w:r>
      <w:r w:rsidR="00515834" w:rsidRPr="001268E7">
        <w:rPr>
          <w:rFonts w:cs="Calibri"/>
          <w:spacing w:val="4"/>
          <w:sz w:val="24"/>
          <w:szCs w:val="24"/>
        </w:rPr>
        <w:t>przyjęta przez r</w:t>
      </w:r>
      <w:r w:rsidRPr="001268E7">
        <w:rPr>
          <w:rFonts w:cs="Calibri"/>
          <w:spacing w:val="4"/>
          <w:sz w:val="24"/>
          <w:szCs w:val="24"/>
        </w:rPr>
        <w:t xml:space="preserve">ząd Federacji Rosyjskiej </w:t>
      </w:r>
      <w:r w:rsidR="004A54F6" w:rsidRPr="001268E7">
        <w:rPr>
          <w:rFonts w:cs="Calibri"/>
          <w:spacing w:val="4"/>
          <w:sz w:val="24"/>
          <w:szCs w:val="24"/>
        </w:rPr>
        <w:t xml:space="preserve">dnia </w:t>
      </w:r>
      <w:r w:rsidRPr="001268E7">
        <w:rPr>
          <w:rFonts w:cs="Calibri"/>
          <w:spacing w:val="4"/>
          <w:sz w:val="24"/>
          <w:szCs w:val="24"/>
        </w:rPr>
        <w:t>18 listopada 2011 r. Dokument określa główne priorytety i cele społeczno-gospodarczego rozwoju Północno-Zachodniego Dys</w:t>
      </w:r>
      <w:r w:rsidR="00045585" w:rsidRPr="001268E7">
        <w:rPr>
          <w:rFonts w:cs="Calibri"/>
          <w:spacing w:val="4"/>
          <w:sz w:val="24"/>
          <w:szCs w:val="24"/>
        </w:rPr>
        <w:t>tryktu Federalnego w ciągu najbliższych</w:t>
      </w:r>
      <w:r w:rsidRPr="001268E7">
        <w:rPr>
          <w:rFonts w:cs="Calibri"/>
          <w:spacing w:val="4"/>
          <w:sz w:val="24"/>
          <w:szCs w:val="24"/>
        </w:rPr>
        <w:t xml:space="preserve"> lat.</w:t>
      </w:r>
      <w:r w:rsidR="003B42AD" w:rsidRPr="001268E7">
        <w:rPr>
          <w:rFonts w:cs="Calibri"/>
          <w:spacing w:val="4"/>
          <w:sz w:val="24"/>
          <w:szCs w:val="24"/>
        </w:rPr>
        <w:t xml:space="preserve"> </w:t>
      </w:r>
      <w:r w:rsidRPr="001268E7">
        <w:rPr>
          <w:rFonts w:cs="Calibri"/>
          <w:spacing w:val="4"/>
          <w:sz w:val="24"/>
          <w:szCs w:val="24"/>
        </w:rPr>
        <w:t>Strategia służy jako podstawa dla wybranych celów tematycznych Programu Współpracy</w:t>
      </w:r>
      <w:r w:rsidR="00515834" w:rsidRPr="001268E7">
        <w:rPr>
          <w:rFonts w:cs="Calibri"/>
          <w:spacing w:val="4"/>
          <w:sz w:val="24"/>
          <w:szCs w:val="24"/>
        </w:rPr>
        <w:t xml:space="preserve"> Transgranicznej Polska-Rosja po stronie</w:t>
      </w:r>
      <w:r w:rsidRPr="001268E7">
        <w:rPr>
          <w:rFonts w:cs="Calibri"/>
          <w:spacing w:val="4"/>
          <w:sz w:val="24"/>
          <w:szCs w:val="24"/>
        </w:rPr>
        <w:t xml:space="preserve"> rosyjskiej.</w:t>
      </w:r>
      <w:r w:rsidR="003B42AD" w:rsidRPr="001268E7">
        <w:rPr>
          <w:rFonts w:cs="Calibri"/>
          <w:spacing w:val="4"/>
          <w:sz w:val="24"/>
          <w:szCs w:val="24"/>
        </w:rPr>
        <w:t xml:space="preserve"> </w:t>
      </w:r>
      <w:r w:rsidRPr="001268E7">
        <w:rPr>
          <w:rFonts w:cs="Calibri"/>
          <w:spacing w:val="4"/>
          <w:sz w:val="24"/>
          <w:szCs w:val="24"/>
        </w:rPr>
        <w:t>Wyniki Programu na terytorium Rosji będą oceniane w stosunku do tej Strategii.</w:t>
      </w:r>
    </w:p>
    <w:p w:rsidR="003B42AD" w:rsidRPr="001268E7" w:rsidRDefault="00DE09FF" w:rsidP="00DE09FF">
      <w:pPr>
        <w:spacing w:before="100" w:beforeAutospacing="1" w:after="100" w:afterAutospacing="1" w:line="240" w:lineRule="auto"/>
        <w:jc w:val="both"/>
        <w:rPr>
          <w:rFonts w:cstheme="minorHAnsi"/>
          <w:spacing w:val="4"/>
          <w:sz w:val="24"/>
          <w:szCs w:val="24"/>
          <w:highlight w:val="yellow"/>
        </w:rPr>
      </w:pPr>
      <w:r w:rsidRPr="001268E7">
        <w:rPr>
          <w:rFonts w:cstheme="minorHAnsi"/>
          <w:i/>
          <w:spacing w:val="4"/>
          <w:sz w:val="24"/>
          <w:szCs w:val="24"/>
        </w:rPr>
        <w:t xml:space="preserve">Państwowy Program </w:t>
      </w:r>
      <w:r w:rsidR="0069374C" w:rsidRPr="001268E7">
        <w:rPr>
          <w:rFonts w:cstheme="minorHAnsi"/>
          <w:i/>
          <w:spacing w:val="4"/>
          <w:sz w:val="24"/>
          <w:szCs w:val="24"/>
        </w:rPr>
        <w:t>Rozwoju Społeczno-Gospodarczego</w:t>
      </w:r>
      <w:r w:rsidRPr="001268E7">
        <w:rPr>
          <w:rFonts w:cstheme="minorHAnsi"/>
          <w:i/>
          <w:spacing w:val="4"/>
          <w:sz w:val="24"/>
          <w:szCs w:val="24"/>
        </w:rPr>
        <w:t xml:space="preserve"> Regionu Kaliningradzkiego do </w:t>
      </w:r>
      <w:r w:rsidR="0069374C" w:rsidRPr="001268E7">
        <w:rPr>
          <w:rFonts w:cstheme="minorHAnsi"/>
          <w:i/>
          <w:spacing w:val="4"/>
          <w:sz w:val="24"/>
          <w:szCs w:val="24"/>
        </w:rPr>
        <w:t>roku 2020</w:t>
      </w:r>
      <w:r w:rsidRPr="001268E7">
        <w:rPr>
          <w:rFonts w:cstheme="minorHAnsi"/>
          <w:i/>
          <w:spacing w:val="4"/>
          <w:sz w:val="24"/>
          <w:szCs w:val="24"/>
        </w:rPr>
        <w:t xml:space="preserve"> </w:t>
      </w:r>
      <w:r w:rsidRPr="001268E7">
        <w:rPr>
          <w:rFonts w:cstheme="minorHAnsi"/>
          <w:spacing w:val="4"/>
          <w:sz w:val="24"/>
          <w:szCs w:val="24"/>
        </w:rPr>
        <w:t>został przygotowany przez Ministerstwo Rozwoju Regionalne</w:t>
      </w:r>
      <w:r w:rsidR="0069374C" w:rsidRPr="001268E7">
        <w:rPr>
          <w:rFonts w:cstheme="minorHAnsi"/>
          <w:spacing w:val="4"/>
          <w:sz w:val="24"/>
          <w:szCs w:val="24"/>
        </w:rPr>
        <w:t>go Federacji Rosyjskiej, które</w:t>
      </w:r>
      <w:r w:rsidRPr="001268E7">
        <w:rPr>
          <w:rFonts w:cstheme="minorHAnsi"/>
          <w:spacing w:val="4"/>
          <w:sz w:val="24"/>
          <w:szCs w:val="24"/>
        </w:rPr>
        <w:t xml:space="preserve"> odpowiadał</w:t>
      </w:r>
      <w:r w:rsidR="0069374C" w:rsidRPr="001268E7">
        <w:rPr>
          <w:rFonts w:cstheme="minorHAnsi"/>
          <w:spacing w:val="4"/>
          <w:sz w:val="24"/>
          <w:szCs w:val="24"/>
        </w:rPr>
        <w:t>o</w:t>
      </w:r>
      <w:r w:rsidRPr="001268E7">
        <w:rPr>
          <w:rFonts w:cstheme="minorHAnsi"/>
          <w:spacing w:val="4"/>
          <w:sz w:val="24"/>
          <w:szCs w:val="24"/>
        </w:rPr>
        <w:t xml:space="preserve"> za jego wdrożenie.</w:t>
      </w:r>
      <w:r w:rsidR="003B42AD" w:rsidRPr="001268E7">
        <w:rPr>
          <w:rFonts w:cstheme="minorHAnsi"/>
          <w:spacing w:val="4"/>
          <w:sz w:val="24"/>
          <w:szCs w:val="24"/>
        </w:rPr>
        <w:t xml:space="preserve"> </w:t>
      </w:r>
      <w:r w:rsidRPr="001268E7">
        <w:rPr>
          <w:rFonts w:cstheme="minorHAnsi"/>
          <w:spacing w:val="4"/>
          <w:sz w:val="24"/>
          <w:szCs w:val="24"/>
        </w:rPr>
        <w:t>Celem państwowego programu jest ułatwienie wszechstronnego społeczno-gospodarczego rozwoju obwodu kaliningradzkiego, uczynienie regionu atrakcyjnym dla inwestorów, wspieranie rozwoju sektorów, które najbardziej przyczyniają się do wzrostu gospodarczego w regionie, stworzenie nowych obiektów produkcyjnych i rozwijanie</w:t>
      </w:r>
      <w:r w:rsidR="0069374C" w:rsidRPr="001268E7">
        <w:rPr>
          <w:rFonts w:cstheme="minorHAnsi"/>
          <w:spacing w:val="4"/>
          <w:sz w:val="24"/>
          <w:szCs w:val="24"/>
        </w:rPr>
        <w:t xml:space="preserve"> nowych klastrów </w:t>
      </w:r>
      <w:r w:rsidR="0069374C" w:rsidRPr="001268E7">
        <w:rPr>
          <w:rFonts w:cstheme="minorHAnsi"/>
          <w:spacing w:val="4"/>
          <w:sz w:val="24"/>
          <w:szCs w:val="24"/>
        </w:rPr>
        <w:lastRenderedPageBreak/>
        <w:t>przemysłowych oraz</w:t>
      </w:r>
      <w:r w:rsidRPr="001268E7">
        <w:rPr>
          <w:rFonts w:cstheme="minorHAnsi"/>
          <w:spacing w:val="4"/>
          <w:sz w:val="24"/>
          <w:szCs w:val="24"/>
        </w:rPr>
        <w:t xml:space="preserve"> turystyki.</w:t>
      </w:r>
      <w:r w:rsidR="00650AC0" w:rsidRPr="001268E7">
        <w:rPr>
          <w:rFonts w:cstheme="minorHAnsi"/>
          <w:spacing w:val="4"/>
          <w:sz w:val="24"/>
          <w:szCs w:val="24"/>
        </w:rPr>
        <w:t xml:space="preserve"> </w:t>
      </w:r>
      <w:r w:rsidRPr="001268E7">
        <w:rPr>
          <w:rFonts w:cstheme="minorHAnsi"/>
          <w:spacing w:val="4"/>
          <w:sz w:val="24"/>
          <w:szCs w:val="24"/>
        </w:rPr>
        <w:t>Oczekuje się, że program przyczyni się do osiągnięcia następujących celów: stworzenie podstawowej infrastruktury w regionie, rozwój konkurencyjnych sektorów gosp</w:t>
      </w:r>
      <w:r w:rsidR="0069374C" w:rsidRPr="001268E7">
        <w:rPr>
          <w:rFonts w:cstheme="minorHAnsi"/>
          <w:spacing w:val="4"/>
          <w:sz w:val="24"/>
          <w:szCs w:val="24"/>
        </w:rPr>
        <w:t xml:space="preserve">odarki, poprawa standardu </w:t>
      </w:r>
      <w:r w:rsidRPr="001268E7">
        <w:rPr>
          <w:rFonts w:cstheme="minorHAnsi"/>
          <w:spacing w:val="4"/>
          <w:sz w:val="24"/>
          <w:szCs w:val="24"/>
        </w:rPr>
        <w:t>i jakości życia w regionie oraz rozwój turystyki i wzrost mobilności populacji.</w:t>
      </w:r>
      <w:r w:rsidR="003B42AD" w:rsidRPr="001268E7">
        <w:rPr>
          <w:rFonts w:cstheme="minorHAnsi"/>
          <w:spacing w:val="4"/>
          <w:sz w:val="24"/>
          <w:szCs w:val="24"/>
        </w:rPr>
        <w:t xml:space="preserve"> </w:t>
      </w:r>
      <w:r w:rsidRPr="001268E7">
        <w:rPr>
          <w:rFonts w:cstheme="minorHAnsi"/>
          <w:bCs/>
          <w:spacing w:val="4"/>
          <w:sz w:val="24"/>
          <w:szCs w:val="24"/>
        </w:rPr>
        <w:t>Program Współpracy Transgranicznej EIS Polska Rosja 2014-2020 wpisuje się w wyżej wspomniane obszary strategiczne ze szczególnym naciskiem na rozwój infrastruktury i turystyki.</w:t>
      </w:r>
    </w:p>
    <w:p w:rsidR="003B42AD" w:rsidRPr="001268E7" w:rsidRDefault="00DE09FF" w:rsidP="00DE09FF">
      <w:pPr>
        <w:spacing w:before="100" w:beforeAutospacing="1" w:after="100" w:afterAutospacing="1" w:line="240" w:lineRule="auto"/>
        <w:jc w:val="both"/>
        <w:rPr>
          <w:rFonts w:cstheme="minorHAnsi"/>
          <w:spacing w:val="4"/>
          <w:sz w:val="24"/>
          <w:szCs w:val="24"/>
        </w:rPr>
      </w:pPr>
      <w:r w:rsidRPr="001268E7">
        <w:rPr>
          <w:rFonts w:cs="Calibri"/>
          <w:spacing w:val="4"/>
          <w:sz w:val="24"/>
          <w:szCs w:val="24"/>
        </w:rPr>
        <w:t>Inne dokumenty analizowane podczas przygotowania programu:</w:t>
      </w:r>
    </w:p>
    <w:p w:rsidR="00DE09FF" w:rsidRPr="001268E7" w:rsidRDefault="00DE09FF" w:rsidP="00C62170">
      <w:pPr>
        <w:pStyle w:val="Akapitzlist"/>
        <w:numPr>
          <w:ilvl w:val="0"/>
          <w:numId w:val="35"/>
        </w:numPr>
        <w:spacing w:before="100" w:beforeAutospacing="1" w:after="100" w:afterAutospacing="1" w:line="240" w:lineRule="auto"/>
        <w:contextualSpacing w:val="0"/>
        <w:jc w:val="both"/>
        <w:rPr>
          <w:rFonts w:cstheme="minorHAnsi"/>
          <w:i/>
          <w:sz w:val="24"/>
          <w:szCs w:val="24"/>
        </w:rPr>
      </w:pPr>
      <w:r w:rsidRPr="001268E7">
        <w:rPr>
          <w:rFonts w:cstheme="minorHAnsi"/>
          <w:i/>
          <w:sz w:val="24"/>
          <w:szCs w:val="24"/>
        </w:rPr>
        <w:t>Strategia Rozwoju Województwa Pomorskiego 2020 (Polska);</w:t>
      </w:r>
    </w:p>
    <w:p w:rsidR="00DE09FF" w:rsidRPr="001268E7" w:rsidRDefault="00DE09FF" w:rsidP="00C62170">
      <w:pPr>
        <w:pStyle w:val="Akapitzlist"/>
        <w:numPr>
          <w:ilvl w:val="0"/>
          <w:numId w:val="35"/>
        </w:numPr>
        <w:spacing w:before="100" w:beforeAutospacing="1" w:after="100" w:afterAutospacing="1" w:line="240" w:lineRule="auto"/>
        <w:contextualSpacing w:val="0"/>
        <w:jc w:val="both"/>
        <w:rPr>
          <w:rFonts w:cstheme="minorHAnsi"/>
          <w:i/>
          <w:sz w:val="24"/>
          <w:szCs w:val="24"/>
        </w:rPr>
      </w:pPr>
      <w:r w:rsidRPr="001268E7">
        <w:rPr>
          <w:rFonts w:cstheme="minorHAnsi"/>
          <w:i/>
          <w:sz w:val="24"/>
          <w:szCs w:val="24"/>
        </w:rPr>
        <w:t>Strategia Rozwoju Społeczno-Gospodarczego Województwa Warmińsko-Mazurskiego do roku 2025 (Polska);</w:t>
      </w:r>
    </w:p>
    <w:p w:rsidR="00DE09FF" w:rsidRPr="001268E7" w:rsidRDefault="00DE09FF" w:rsidP="00C62170">
      <w:pPr>
        <w:pStyle w:val="Akapitzlist"/>
        <w:numPr>
          <w:ilvl w:val="0"/>
          <w:numId w:val="35"/>
        </w:numPr>
        <w:spacing w:before="100" w:beforeAutospacing="1" w:after="100" w:afterAutospacing="1" w:line="240" w:lineRule="auto"/>
        <w:contextualSpacing w:val="0"/>
        <w:jc w:val="both"/>
        <w:rPr>
          <w:rFonts w:cstheme="minorHAnsi"/>
          <w:i/>
          <w:sz w:val="24"/>
          <w:szCs w:val="24"/>
        </w:rPr>
      </w:pPr>
      <w:r w:rsidRPr="001268E7">
        <w:rPr>
          <w:rFonts w:cstheme="minorHAnsi"/>
          <w:i/>
          <w:sz w:val="24"/>
          <w:szCs w:val="24"/>
        </w:rPr>
        <w:t>Strategia Rozwoju Województwa Podlaskiego 2020 (Polska);</w:t>
      </w:r>
    </w:p>
    <w:p w:rsidR="00DE09FF" w:rsidRPr="001268E7" w:rsidRDefault="00DE09FF" w:rsidP="00C62170">
      <w:pPr>
        <w:pStyle w:val="Akapitzlist"/>
        <w:numPr>
          <w:ilvl w:val="0"/>
          <w:numId w:val="35"/>
        </w:numPr>
        <w:spacing w:before="100" w:beforeAutospacing="1" w:after="100" w:afterAutospacing="1" w:line="240" w:lineRule="auto"/>
        <w:contextualSpacing w:val="0"/>
        <w:jc w:val="both"/>
        <w:rPr>
          <w:rFonts w:cstheme="minorHAnsi"/>
          <w:i/>
          <w:sz w:val="24"/>
          <w:szCs w:val="24"/>
        </w:rPr>
      </w:pPr>
      <w:r w:rsidRPr="001268E7">
        <w:rPr>
          <w:rFonts w:cstheme="minorHAnsi"/>
          <w:i/>
          <w:sz w:val="24"/>
          <w:szCs w:val="24"/>
        </w:rPr>
        <w:t>Program Rozwoju Społeczno-Gospodarczego Obwodu Kaliningradzkiego na lata 2007-2016 (Rosja);</w:t>
      </w:r>
    </w:p>
    <w:p w:rsidR="00DE09FF" w:rsidRPr="001268E7" w:rsidRDefault="00DE09FF" w:rsidP="00C62170">
      <w:pPr>
        <w:pStyle w:val="Akapitzlist"/>
        <w:numPr>
          <w:ilvl w:val="0"/>
          <w:numId w:val="35"/>
        </w:numPr>
        <w:spacing w:before="100" w:beforeAutospacing="1" w:after="100" w:afterAutospacing="1" w:line="240" w:lineRule="auto"/>
        <w:contextualSpacing w:val="0"/>
        <w:jc w:val="both"/>
        <w:rPr>
          <w:rFonts w:cstheme="minorHAnsi"/>
          <w:i/>
          <w:sz w:val="24"/>
          <w:szCs w:val="24"/>
        </w:rPr>
      </w:pPr>
      <w:r w:rsidRPr="001268E7">
        <w:rPr>
          <w:rFonts w:cstheme="minorHAnsi"/>
          <w:i/>
          <w:sz w:val="24"/>
          <w:szCs w:val="24"/>
        </w:rPr>
        <w:t>Strategia Rozwoju Społeczno-Gospodarczego Regionu Kaliningradzkiego w długoterminowej perspektywie (Rosja).</w:t>
      </w:r>
    </w:p>
    <w:p w:rsidR="00FB72E2" w:rsidRPr="001268E7" w:rsidRDefault="00DE09FF" w:rsidP="00DE09FF">
      <w:pPr>
        <w:spacing w:before="100" w:beforeAutospacing="1" w:after="100" w:afterAutospacing="1" w:line="240" w:lineRule="auto"/>
        <w:jc w:val="both"/>
        <w:rPr>
          <w:rFonts w:cstheme="minorHAnsi"/>
          <w:spacing w:val="4"/>
          <w:sz w:val="24"/>
          <w:szCs w:val="24"/>
        </w:rPr>
      </w:pPr>
      <w:r w:rsidRPr="001268E7">
        <w:rPr>
          <w:rFonts w:cstheme="minorHAnsi"/>
          <w:i/>
          <w:spacing w:val="4"/>
          <w:sz w:val="24"/>
          <w:szCs w:val="24"/>
        </w:rPr>
        <w:t xml:space="preserve">Strategia Rozwoju Województwa Pomorskiego 2020 </w:t>
      </w:r>
      <w:r w:rsidR="00074DB4" w:rsidRPr="001268E7">
        <w:rPr>
          <w:rFonts w:cstheme="minorHAnsi"/>
          <w:spacing w:val="4"/>
          <w:sz w:val="24"/>
          <w:szCs w:val="24"/>
        </w:rPr>
        <w:t>uchwalona</w:t>
      </w:r>
      <w:r w:rsidRPr="001268E7">
        <w:rPr>
          <w:rFonts w:cstheme="minorHAnsi"/>
          <w:spacing w:val="4"/>
          <w:sz w:val="24"/>
          <w:szCs w:val="24"/>
        </w:rPr>
        <w:t xml:space="preserve"> przez Sejmik Województwa Pomorskiego w 2012 r. Strategia wskazuje trzy uzupełniające się wzajemnie cele strategiczne: nowoczesna gospodarka, aktywni mieszkańcy i atrakcyjna przestrzeń.</w:t>
      </w:r>
      <w:r w:rsidR="002A7E2A" w:rsidRPr="001268E7">
        <w:rPr>
          <w:rFonts w:cstheme="minorHAnsi"/>
          <w:spacing w:val="4"/>
          <w:sz w:val="24"/>
          <w:szCs w:val="24"/>
        </w:rPr>
        <w:t xml:space="preserve"> </w:t>
      </w:r>
      <w:r w:rsidRPr="001268E7">
        <w:rPr>
          <w:rFonts w:cstheme="minorHAnsi"/>
          <w:spacing w:val="4"/>
          <w:sz w:val="24"/>
          <w:szCs w:val="24"/>
        </w:rPr>
        <w:t>Głównym celem jest spójność regionu, a głównymi zasadami Strategii są: połączenie sił i zasobów, jak również skoordynowanie wysiłków każde</w:t>
      </w:r>
      <w:r w:rsidR="002536F9" w:rsidRPr="001268E7">
        <w:rPr>
          <w:rFonts w:cstheme="minorHAnsi"/>
          <w:spacing w:val="4"/>
          <w:sz w:val="24"/>
          <w:szCs w:val="24"/>
        </w:rPr>
        <w:t>j</w:t>
      </w:r>
      <w:r w:rsidRPr="001268E7">
        <w:rPr>
          <w:rFonts w:cstheme="minorHAnsi"/>
          <w:spacing w:val="4"/>
          <w:sz w:val="24"/>
          <w:szCs w:val="24"/>
        </w:rPr>
        <w:t xml:space="preserve"> ze stron.</w:t>
      </w:r>
      <w:r w:rsidR="00573AC8" w:rsidRPr="001268E7">
        <w:rPr>
          <w:rFonts w:cstheme="minorHAnsi"/>
          <w:spacing w:val="4"/>
          <w:sz w:val="24"/>
          <w:szCs w:val="24"/>
        </w:rPr>
        <w:t xml:space="preserve"> </w:t>
      </w:r>
      <w:r w:rsidRPr="001268E7">
        <w:rPr>
          <w:rFonts w:cstheme="minorHAnsi"/>
          <w:spacing w:val="4"/>
          <w:sz w:val="24"/>
          <w:szCs w:val="24"/>
        </w:rPr>
        <w:t>Głównym</w:t>
      </w:r>
      <w:r w:rsidR="002536F9" w:rsidRPr="001268E7">
        <w:rPr>
          <w:rFonts w:cstheme="minorHAnsi"/>
          <w:spacing w:val="4"/>
          <w:sz w:val="24"/>
          <w:szCs w:val="24"/>
        </w:rPr>
        <w:t>i</w:t>
      </w:r>
      <w:r w:rsidRPr="001268E7">
        <w:rPr>
          <w:rFonts w:cstheme="minorHAnsi"/>
          <w:spacing w:val="4"/>
          <w:sz w:val="24"/>
          <w:szCs w:val="24"/>
        </w:rPr>
        <w:t xml:space="preserve"> strategicznymi wyzwaniami opisywanymi w strategii są dostępność transportu, specjalne zarządzanie (w tym optymalne i zrównoważone wykorzystanie środowiska), bezpieczeństwo energetyczne i eko-technologie.</w:t>
      </w:r>
      <w:r w:rsidR="00625A6D" w:rsidRPr="001268E7">
        <w:rPr>
          <w:rFonts w:cstheme="minorHAnsi"/>
          <w:spacing w:val="4"/>
          <w:sz w:val="24"/>
          <w:szCs w:val="24"/>
        </w:rPr>
        <w:t xml:space="preserve"> </w:t>
      </w:r>
    </w:p>
    <w:p w:rsidR="00646DDC" w:rsidRPr="001268E7" w:rsidRDefault="002E4F70" w:rsidP="00074DB4">
      <w:pPr>
        <w:spacing w:before="100" w:beforeAutospacing="1" w:after="100" w:afterAutospacing="1" w:line="240" w:lineRule="auto"/>
        <w:jc w:val="both"/>
        <w:rPr>
          <w:rFonts w:cstheme="minorHAnsi"/>
          <w:spacing w:val="4"/>
          <w:sz w:val="24"/>
          <w:szCs w:val="24"/>
        </w:rPr>
      </w:pPr>
      <w:r w:rsidRPr="001268E7">
        <w:rPr>
          <w:rFonts w:cstheme="minorHAnsi"/>
          <w:i/>
          <w:spacing w:val="4"/>
          <w:sz w:val="24"/>
          <w:szCs w:val="24"/>
        </w:rPr>
        <w:t xml:space="preserve">Strategia </w:t>
      </w:r>
      <w:r w:rsidR="00DE09FF" w:rsidRPr="001268E7">
        <w:rPr>
          <w:rFonts w:cstheme="minorHAnsi"/>
          <w:i/>
          <w:spacing w:val="4"/>
          <w:sz w:val="24"/>
          <w:szCs w:val="24"/>
        </w:rPr>
        <w:t xml:space="preserve">Społeczno-Gospodarczego </w:t>
      </w:r>
      <w:r w:rsidRPr="001268E7">
        <w:rPr>
          <w:rFonts w:cstheme="minorHAnsi"/>
          <w:i/>
          <w:spacing w:val="4"/>
          <w:sz w:val="24"/>
          <w:szCs w:val="24"/>
        </w:rPr>
        <w:t xml:space="preserve">Rozwoju </w:t>
      </w:r>
      <w:r w:rsidR="00DE09FF" w:rsidRPr="001268E7">
        <w:rPr>
          <w:rFonts w:cstheme="minorHAnsi"/>
          <w:i/>
          <w:spacing w:val="4"/>
          <w:sz w:val="24"/>
          <w:szCs w:val="24"/>
        </w:rPr>
        <w:t xml:space="preserve">Województwa Warmińsko-Mazurskiego do roku 2025 </w:t>
      </w:r>
      <w:r w:rsidR="00DE09FF" w:rsidRPr="001268E7">
        <w:rPr>
          <w:rFonts w:cstheme="minorHAnsi"/>
          <w:spacing w:val="4"/>
          <w:sz w:val="24"/>
          <w:szCs w:val="24"/>
        </w:rPr>
        <w:t xml:space="preserve">uchwalona przez Sejmik Województwa Warmińsko-Mazurskiego w 2013 r. Strategia została opracowana na podstawie poprawionej </w:t>
      </w:r>
      <w:r w:rsidR="00DE09FF" w:rsidRPr="001268E7">
        <w:rPr>
          <w:rFonts w:cstheme="minorHAnsi"/>
          <w:i/>
          <w:spacing w:val="4"/>
          <w:sz w:val="24"/>
          <w:szCs w:val="24"/>
        </w:rPr>
        <w:t>Strategii</w:t>
      </w:r>
      <w:r w:rsidR="00DE09FF" w:rsidRPr="001268E7">
        <w:rPr>
          <w:rFonts w:cstheme="minorHAnsi"/>
          <w:spacing w:val="4"/>
          <w:sz w:val="24"/>
          <w:szCs w:val="24"/>
        </w:rPr>
        <w:t xml:space="preserve"> z 2005 r. Obecnie, </w:t>
      </w:r>
      <w:r w:rsidR="002536F9" w:rsidRPr="001268E7">
        <w:rPr>
          <w:rFonts w:cstheme="minorHAnsi"/>
          <w:spacing w:val="4"/>
          <w:sz w:val="24"/>
          <w:szCs w:val="24"/>
        </w:rPr>
        <w:t xml:space="preserve">jest </w:t>
      </w:r>
      <w:r w:rsidR="00DE09FF" w:rsidRPr="001268E7">
        <w:rPr>
          <w:rFonts w:cstheme="minorHAnsi"/>
          <w:spacing w:val="4"/>
          <w:sz w:val="24"/>
          <w:szCs w:val="24"/>
        </w:rPr>
        <w:t>to trzecia wersja dokumentu.</w:t>
      </w:r>
      <w:r w:rsidR="00404A9F" w:rsidRPr="001268E7">
        <w:rPr>
          <w:rFonts w:cstheme="minorHAnsi"/>
          <w:spacing w:val="4"/>
          <w:sz w:val="24"/>
          <w:szCs w:val="24"/>
        </w:rPr>
        <w:t xml:space="preserve"> </w:t>
      </w:r>
      <w:r w:rsidR="00DE09FF" w:rsidRPr="001268E7">
        <w:rPr>
          <w:rFonts w:cstheme="minorHAnsi"/>
          <w:spacing w:val="4"/>
          <w:sz w:val="24"/>
          <w:szCs w:val="24"/>
        </w:rPr>
        <w:t xml:space="preserve">Jednym z głównych założeń </w:t>
      </w:r>
      <w:r w:rsidR="00DE09FF" w:rsidRPr="001268E7">
        <w:rPr>
          <w:rFonts w:cstheme="minorHAnsi"/>
          <w:i/>
          <w:spacing w:val="4"/>
          <w:sz w:val="24"/>
          <w:szCs w:val="24"/>
        </w:rPr>
        <w:t>Strategii (...)</w:t>
      </w:r>
      <w:r w:rsidR="002536F9" w:rsidRPr="001268E7">
        <w:rPr>
          <w:rFonts w:cstheme="minorHAnsi"/>
          <w:i/>
          <w:spacing w:val="4"/>
          <w:sz w:val="24"/>
          <w:szCs w:val="24"/>
        </w:rPr>
        <w:t xml:space="preserve"> </w:t>
      </w:r>
      <w:r w:rsidR="00DE09FF" w:rsidRPr="001268E7">
        <w:rPr>
          <w:rFonts w:cstheme="minorHAnsi"/>
          <w:i/>
          <w:spacing w:val="4"/>
          <w:sz w:val="24"/>
          <w:szCs w:val="24"/>
        </w:rPr>
        <w:t xml:space="preserve">do roku 2025 </w:t>
      </w:r>
      <w:r w:rsidR="00DE09FF" w:rsidRPr="001268E7">
        <w:rPr>
          <w:rFonts w:cstheme="minorHAnsi"/>
          <w:spacing w:val="4"/>
          <w:sz w:val="24"/>
          <w:szCs w:val="24"/>
        </w:rPr>
        <w:t>jest dążenie do tematycznego skoncentrowania zaplanowanych działań.</w:t>
      </w:r>
      <w:r w:rsidR="00ED6567" w:rsidRPr="001268E7">
        <w:rPr>
          <w:rFonts w:cstheme="minorHAnsi"/>
          <w:spacing w:val="4"/>
          <w:sz w:val="24"/>
          <w:szCs w:val="24"/>
        </w:rPr>
        <w:t xml:space="preserve"> </w:t>
      </w:r>
      <w:r w:rsidR="00DE09FF" w:rsidRPr="001268E7">
        <w:rPr>
          <w:rFonts w:cstheme="minorHAnsi"/>
          <w:spacing w:val="4"/>
          <w:sz w:val="24"/>
          <w:szCs w:val="24"/>
        </w:rPr>
        <w:t>Dokument wskazuje trzy priorytetowe obszary: konkurencyjna gospodarka, otwarte społeczeństwo i nowoczesna sieć.</w:t>
      </w:r>
      <w:r w:rsidR="00ED6567" w:rsidRPr="001268E7">
        <w:rPr>
          <w:rFonts w:cstheme="minorHAnsi"/>
          <w:spacing w:val="4"/>
          <w:sz w:val="24"/>
          <w:szCs w:val="24"/>
        </w:rPr>
        <w:t xml:space="preserve"> </w:t>
      </w:r>
      <w:r w:rsidR="00DE09FF" w:rsidRPr="001268E7">
        <w:rPr>
          <w:rFonts w:cstheme="minorHAnsi"/>
          <w:spacing w:val="4"/>
          <w:sz w:val="24"/>
          <w:szCs w:val="24"/>
        </w:rPr>
        <w:t>W konsekwencji, dokument skupia się na zwiększeniu konkurencyjności gospodarki, zwiększeniu aktywności społe</w:t>
      </w:r>
      <w:r w:rsidR="002536F9" w:rsidRPr="001268E7">
        <w:rPr>
          <w:rFonts w:cstheme="minorHAnsi"/>
          <w:spacing w:val="4"/>
          <w:sz w:val="24"/>
          <w:szCs w:val="24"/>
        </w:rPr>
        <w:t xml:space="preserve">cznej, </w:t>
      </w:r>
      <w:r w:rsidR="00DE09FF" w:rsidRPr="001268E7">
        <w:rPr>
          <w:rFonts w:cstheme="minorHAnsi"/>
          <w:spacing w:val="4"/>
          <w:sz w:val="24"/>
          <w:szCs w:val="24"/>
        </w:rPr>
        <w:t>zwiększeniu liczby i podniesieniu jakości połą</w:t>
      </w:r>
      <w:r w:rsidR="002536F9" w:rsidRPr="001268E7">
        <w:rPr>
          <w:rFonts w:cstheme="minorHAnsi"/>
          <w:spacing w:val="4"/>
          <w:sz w:val="24"/>
          <w:szCs w:val="24"/>
        </w:rPr>
        <w:t xml:space="preserve">czeń sieciowych oraz </w:t>
      </w:r>
      <w:r w:rsidR="004A54F6" w:rsidRPr="001268E7">
        <w:rPr>
          <w:rFonts w:cstheme="minorHAnsi"/>
          <w:spacing w:val="4"/>
          <w:sz w:val="24"/>
          <w:szCs w:val="24"/>
        </w:rPr>
        <w:t xml:space="preserve">na </w:t>
      </w:r>
      <w:r w:rsidR="00DE09FF" w:rsidRPr="001268E7">
        <w:rPr>
          <w:rFonts w:cstheme="minorHAnsi"/>
          <w:spacing w:val="4"/>
          <w:sz w:val="24"/>
          <w:szCs w:val="24"/>
        </w:rPr>
        <w:t>nowoczesnej infrastrukturze rozwojowej.</w:t>
      </w:r>
      <w:r w:rsidR="000A4DED" w:rsidRPr="001268E7">
        <w:rPr>
          <w:rFonts w:cstheme="minorHAnsi"/>
          <w:spacing w:val="4"/>
          <w:sz w:val="24"/>
          <w:szCs w:val="24"/>
        </w:rPr>
        <w:t xml:space="preserve"> </w:t>
      </w:r>
    </w:p>
    <w:p w:rsidR="002536F9" w:rsidRPr="001268E7" w:rsidRDefault="00DE09FF" w:rsidP="00362D08">
      <w:pPr>
        <w:pStyle w:val="Pa6"/>
        <w:spacing w:before="100" w:beforeAutospacing="1" w:after="100" w:afterAutospacing="1" w:line="240" w:lineRule="auto"/>
        <w:contextualSpacing/>
        <w:jc w:val="both"/>
        <w:rPr>
          <w:rFonts w:asciiTheme="minorHAnsi" w:hAnsiTheme="minorHAnsi"/>
        </w:rPr>
      </w:pPr>
      <w:r w:rsidRPr="001268E7">
        <w:rPr>
          <w:rFonts w:asciiTheme="minorHAnsi" w:hAnsiTheme="minorHAnsi"/>
          <w:i/>
        </w:rPr>
        <w:t xml:space="preserve">Strategia Rozwoju Województwa Podlaskiego 2020 </w:t>
      </w:r>
      <w:r w:rsidRPr="001268E7">
        <w:rPr>
          <w:rFonts w:asciiTheme="minorHAnsi" w:hAnsiTheme="minorHAnsi"/>
        </w:rPr>
        <w:t>uchwalona przez Sejmik Województwa Podlaskiego w 2006 r.</w:t>
      </w:r>
      <w:r w:rsidR="00650AC0" w:rsidRPr="001268E7">
        <w:rPr>
          <w:rFonts w:asciiTheme="minorHAnsi" w:hAnsiTheme="minorHAnsi"/>
        </w:rPr>
        <w:t xml:space="preserve"> </w:t>
      </w:r>
      <w:r w:rsidRPr="001268E7">
        <w:rPr>
          <w:rFonts w:asciiTheme="minorHAnsi" w:hAnsiTheme="minorHAnsi"/>
        </w:rPr>
        <w:t xml:space="preserve">i zmieniona we wrześniu 2013 r. Województwo Podlaskie </w:t>
      </w:r>
      <w:r w:rsidR="00074DB4" w:rsidRPr="001268E7">
        <w:rPr>
          <w:rFonts w:asciiTheme="minorHAnsi" w:hAnsiTheme="minorHAnsi"/>
        </w:rPr>
        <w:t>jest nazywane "Bramą na Wschód".</w:t>
      </w:r>
      <w:r w:rsidR="00650AC0" w:rsidRPr="001268E7">
        <w:rPr>
          <w:rFonts w:asciiTheme="minorHAnsi" w:hAnsiTheme="minorHAnsi"/>
        </w:rPr>
        <w:t xml:space="preserve"> </w:t>
      </w:r>
      <w:r w:rsidR="00074DB4" w:rsidRPr="001268E7">
        <w:rPr>
          <w:rFonts w:asciiTheme="minorHAnsi" w:hAnsiTheme="minorHAnsi"/>
        </w:rPr>
        <w:t>Zaktualizowany dokument kładzie większy nacisk inter</w:t>
      </w:r>
      <w:r w:rsidR="004A54F6" w:rsidRPr="001268E7">
        <w:rPr>
          <w:rFonts w:asciiTheme="minorHAnsi" w:hAnsiTheme="minorHAnsi"/>
        </w:rPr>
        <w:t>wencji publicznej na wzmacnianie</w:t>
      </w:r>
      <w:r w:rsidR="00074DB4" w:rsidRPr="001268E7">
        <w:rPr>
          <w:rFonts w:asciiTheme="minorHAnsi" w:hAnsiTheme="minorHAnsi"/>
        </w:rPr>
        <w:t xml:space="preserve"> konkurencyjności regionu i odblokowani</w:t>
      </w:r>
      <w:r w:rsidR="00563156" w:rsidRPr="001268E7">
        <w:rPr>
          <w:rFonts w:asciiTheme="minorHAnsi" w:hAnsiTheme="minorHAnsi"/>
        </w:rPr>
        <w:t>e</w:t>
      </w:r>
      <w:r w:rsidR="00074DB4" w:rsidRPr="001268E7">
        <w:rPr>
          <w:rFonts w:asciiTheme="minorHAnsi" w:hAnsiTheme="minorHAnsi"/>
        </w:rPr>
        <w:t xml:space="preserve"> procesów wzrostowych poprzez pełniejsze wykorzystanie przewag konkurencyjnych i potencjałów rozwojowych (koncentrując uwagę na endogenicznych cechach terytorialnych zamiast egzogennych inwestycjach i transferach, w większym stopniu kładąc nacisk na szanse, a nie bariery dla rozwoju).</w:t>
      </w:r>
      <w:r w:rsidR="00C052AF" w:rsidRPr="001268E7">
        <w:rPr>
          <w:rStyle w:val="A10"/>
          <w:rFonts w:asciiTheme="minorHAnsi" w:hAnsiTheme="minorHAnsi"/>
          <w:sz w:val="24"/>
          <w:szCs w:val="24"/>
          <w:u w:val="none"/>
        </w:rPr>
        <w:t xml:space="preserve"> </w:t>
      </w:r>
      <w:r w:rsidR="00074DB4" w:rsidRPr="001268E7">
        <w:rPr>
          <w:rFonts w:asciiTheme="minorHAnsi" w:hAnsiTheme="minorHAnsi"/>
        </w:rPr>
        <w:t xml:space="preserve">Proponuje się w nim odejście od modelu odgórnie dystrybuowanych dotacji do modelu wieloletnich zdecentralizowanych polityk rozwojowych ukierunkowanych na wspieranie wszystkich regionów bez względu na ich stopień zamożności, między innymi </w:t>
      </w:r>
      <w:r w:rsidR="00074DB4" w:rsidRPr="001268E7">
        <w:rPr>
          <w:rFonts w:asciiTheme="minorHAnsi" w:hAnsiTheme="minorHAnsi"/>
        </w:rPr>
        <w:lastRenderedPageBreak/>
        <w:t>poprzez mobilizowanie lokalnych zasobów i środków tak, aby wykorzystać swoje specyficzne przewagi konkurencyjne bez nadmiernego uzależniania się od krajowych transferów i dotacji, a także odejście od rozproszonej interwencji do bardziej selektywnych (skoncentrowanych) inwestycji.</w:t>
      </w:r>
      <w:r w:rsidR="001821B7" w:rsidRPr="001268E7">
        <w:rPr>
          <w:rFonts w:asciiTheme="minorHAnsi" w:hAnsiTheme="minorHAnsi"/>
        </w:rPr>
        <w:t xml:space="preserve"> </w:t>
      </w:r>
    </w:p>
    <w:p w:rsidR="002536F9" w:rsidRPr="001268E7" w:rsidRDefault="002536F9" w:rsidP="00362D08">
      <w:pPr>
        <w:pStyle w:val="Pa6"/>
        <w:spacing w:before="100" w:beforeAutospacing="1" w:after="100" w:afterAutospacing="1" w:line="240" w:lineRule="auto"/>
        <w:contextualSpacing/>
        <w:jc w:val="both"/>
        <w:rPr>
          <w:rFonts w:asciiTheme="minorHAnsi" w:hAnsiTheme="minorHAnsi"/>
        </w:rPr>
      </w:pPr>
    </w:p>
    <w:p w:rsidR="004C7F50" w:rsidRPr="001268E7" w:rsidRDefault="00362D08" w:rsidP="00362D08">
      <w:pPr>
        <w:pStyle w:val="Pa6"/>
        <w:spacing w:before="100" w:beforeAutospacing="1" w:after="100" w:afterAutospacing="1" w:line="240" w:lineRule="auto"/>
        <w:contextualSpacing/>
        <w:jc w:val="both"/>
        <w:rPr>
          <w:rFonts w:asciiTheme="minorHAnsi" w:hAnsiTheme="minorHAnsi" w:cstheme="minorHAnsi"/>
        </w:rPr>
      </w:pPr>
      <w:r w:rsidRPr="001268E7">
        <w:rPr>
          <w:rFonts w:asciiTheme="minorHAnsi" w:hAnsiTheme="minorHAnsi" w:cstheme="minorHAnsi"/>
          <w:i/>
        </w:rPr>
        <w:t xml:space="preserve">Program Rozwoju Społeczno-Gospodarczego Obwodu Kaliningradzkiego na lata 2007-2016 </w:t>
      </w:r>
      <w:r w:rsidRPr="001268E7">
        <w:rPr>
          <w:rFonts w:asciiTheme="minorHAnsi" w:hAnsiTheme="minorHAnsi" w:cstheme="minorHAnsi"/>
        </w:rPr>
        <w:t>zatwierdzony w grudniu 2006 r. Program koncentruje się na poprawie standardu życia populacji regionu kaliningradzkiego i zapewnieniu zrównoważonego wzrostu gospodarczego w regionie w oparciu o rozwój swojego potencjału.</w:t>
      </w:r>
      <w:r w:rsidR="004C7F50" w:rsidRPr="001268E7">
        <w:rPr>
          <w:rFonts w:asciiTheme="minorHAnsi" w:hAnsiTheme="minorHAnsi" w:cstheme="minorHAnsi"/>
        </w:rPr>
        <w:t xml:space="preserve"> </w:t>
      </w:r>
      <w:r w:rsidRPr="001268E7">
        <w:rPr>
          <w:rFonts w:asciiTheme="minorHAnsi" w:hAnsiTheme="minorHAnsi" w:cstheme="minorHAnsi"/>
        </w:rPr>
        <w:t>Program przew</w:t>
      </w:r>
      <w:r w:rsidR="002536F9" w:rsidRPr="001268E7">
        <w:rPr>
          <w:rFonts w:asciiTheme="minorHAnsi" w:hAnsiTheme="minorHAnsi" w:cstheme="minorHAnsi"/>
        </w:rPr>
        <w:t>iduje środki i działania na rzecz stworzenia</w:t>
      </w:r>
      <w:r w:rsidRPr="001268E7">
        <w:rPr>
          <w:rFonts w:asciiTheme="minorHAnsi" w:hAnsiTheme="minorHAnsi" w:cstheme="minorHAnsi"/>
        </w:rPr>
        <w:t xml:space="preserve"> korzystnego klimatu inwestycyjnego, biznesowego i spo</w:t>
      </w:r>
      <w:r w:rsidR="002536F9" w:rsidRPr="001268E7">
        <w:rPr>
          <w:rFonts w:asciiTheme="minorHAnsi" w:hAnsiTheme="minorHAnsi" w:cstheme="minorHAnsi"/>
        </w:rPr>
        <w:t xml:space="preserve">łecznego w regionie; </w:t>
      </w:r>
      <w:r w:rsidR="00563156" w:rsidRPr="001268E7">
        <w:rPr>
          <w:rFonts w:asciiTheme="minorHAnsi" w:hAnsiTheme="minorHAnsi" w:cstheme="minorHAnsi"/>
        </w:rPr>
        <w:t xml:space="preserve">na rzecz </w:t>
      </w:r>
      <w:r w:rsidR="002536F9" w:rsidRPr="001268E7">
        <w:rPr>
          <w:rFonts w:asciiTheme="minorHAnsi" w:hAnsiTheme="minorHAnsi" w:cstheme="minorHAnsi"/>
        </w:rPr>
        <w:t>prowadzenia</w:t>
      </w:r>
      <w:r w:rsidRPr="001268E7">
        <w:rPr>
          <w:rFonts w:asciiTheme="minorHAnsi" w:hAnsiTheme="minorHAnsi" w:cstheme="minorHAnsi"/>
        </w:rPr>
        <w:t xml:space="preserve"> skutecznej p</w:t>
      </w:r>
      <w:r w:rsidR="002536F9" w:rsidRPr="001268E7">
        <w:rPr>
          <w:rFonts w:asciiTheme="minorHAnsi" w:hAnsiTheme="minorHAnsi" w:cstheme="minorHAnsi"/>
        </w:rPr>
        <w:t xml:space="preserve">olityki przemysłowej; </w:t>
      </w:r>
      <w:r w:rsidR="00563156" w:rsidRPr="001268E7">
        <w:rPr>
          <w:rFonts w:asciiTheme="minorHAnsi" w:hAnsiTheme="minorHAnsi" w:cstheme="minorHAnsi"/>
        </w:rPr>
        <w:t xml:space="preserve">na rzecz </w:t>
      </w:r>
      <w:r w:rsidR="002536F9" w:rsidRPr="001268E7">
        <w:rPr>
          <w:rFonts w:asciiTheme="minorHAnsi" w:hAnsiTheme="minorHAnsi" w:cstheme="minorHAnsi"/>
        </w:rPr>
        <w:t>rozwijania</w:t>
      </w:r>
      <w:r w:rsidR="005F2C93" w:rsidRPr="001268E7">
        <w:rPr>
          <w:rFonts w:asciiTheme="minorHAnsi" w:hAnsiTheme="minorHAnsi" w:cstheme="minorHAnsi"/>
        </w:rPr>
        <w:t xml:space="preserve"> infrastruktury transportowej,</w:t>
      </w:r>
      <w:r w:rsidRPr="001268E7">
        <w:rPr>
          <w:rFonts w:asciiTheme="minorHAnsi" w:hAnsiTheme="minorHAnsi" w:cstheme="minorHAnsi"/>
        </w:rPr>
        <w:t xml:space="preserve"> energetyczne</w:t>
      </w:r>
      <w:r w:rsidR="005F2C93" w:rsidRPr="001268E7">
        <w:rPr>
          <w:rFonts w:asciiTheme="minorHAnsi" w:hAnsiTheme="minorHAnsi" w:cstheme="minorHAnsi"/>
        </w:rPr>
        <w:t>j oraz</w:t>
      </w:r>
      <w:r w:rsidRPr="001268E7">
        <w:rPr>
          <w:rFonts w:asciiTheme="minorHAnsi" w:hAnsiTheme="minorHAnsi" w:cstheme="minorHAnsi"/>
        </w:rPr>
        <w:t xml:space="preserve"> komunikacyjnej oraz dostęp</w:t>
      </w:r>
      <w:r w:rsidR="002536F9" w:rsidRPr="001268E7">
        <w:rPr>
          <w:rFonts w:asciiTheme="minorHAnsi" w:hAnsiTheme="minorHAnsi" w:cstheme="minorHAnsi"/>
        </w:rPr>
        <w:t>u</w:t>
      </w:r>
      <w:r w:rsidRPr="001268E7">
        <w:rPr>
          <w:rFonts w:asciiTheme="minorHAnsi" w:hAnsiTheme="minorHAnsi" w:cstheme="minorHAnsi"/>
        </w:rPr>
        <w:t xml:space="preserve"> do tech</w:t>
      </w:r>
      <w:r w:rsidR="005F2C93" w:rsidRPr="001268E7">
        <w:rPr>
          <w:rFonts w:asciiTheme="minorHAnsi" w:hAnsiTheme="minorHAnsi" w:cstheme="minorHAnsi"/>
        </w:rPr>
        <w:t>nologii teleinformatycznych stanowiących</w:t>
      </w:r>
      <w:r w:rsidRPr="001268E7">
        <w:rPr>
          <w:rFonts w:asciiTheme="minorHAnsi" w:hAnsiTheme="minorHAnsi" w:cstheme="minorHAnsi"/>
        </w:rPr>
        <w:t xml:space="preserve"> niezbędne ogniwo w relacjach międzyregionalnyc</w:t>
      </w:r>
      <w:r w:rsidR="002536F9" w:rsidRPr="001268E7">
        <w:rPr>
          <w:rFonts w:asciiTheme="minorHAnsi" w:hAnsiTheme="minorHAnsi" w:cstheme="minorHAnsi"/>
        </w:rPr>
        <w:t xml:space="preserve">h i międzynarodowych; </w:t>
      </w:r>
      <w:r w:rsidR="00563156" w:rsidRPr="001268E7">
        <w:rPr>
          <w:rFonts w:asciiTheme="minorHAnsi" w:hAnsiTheme="minorHAnsi" w:cstheme="minorHAnsi"/>
        </w:rPr>
        <w:t xml:space="preserve">na rzecz </w:t>
      </w:r>
      <w:r w:rsidR="002536F9" w:rsidRPr="001268E7">
        <w:rPr>
          <w:rFonts w:asciiTheme="minorHAnsi" w:hAnsiTheme="minorHAnsi" w:cstheme="minorHAnsi"/>
        </w:rPr>
        <w:t>wspierania</w:t>
      </w:r>
      <w:r w:rsidRPr="001268E7">
        <w:rPr>
          <w:rFonts w:asciiTheme="minorHAnsi" w:hAnsiTheme="minorHAnsi" w:cstheme="minorHAnsi"/>
        </w:rPr>
        <w:t xml:space="preserve"> branży turystyczne</w:t>
      </w:r>
      <w:r w:rsidR="005F2C93" w:rsidRPr="001268E7">
        <w:rPr>
          <w:rFonts w:asciiTheme="minorHAnsi" w:hAnsiTheme="minorHAnsi" w:cstheme="minorHAnsi"/>
        </w:rPr>
        <w:t>j i rekreacyjnej,</w:t>
      </w:r>
      <w:r w:rsidR="002536F9" w:rsidRPr="001268E7">
        <w:rPr>
          <w:rFonts w:asciiTheme="minorHAnsi" w:hAnsiTheme="minorHAnsi" w:cstheme="minorHAnsi"/>
        </w:rPr>
        <w:t xml:space="preserve"> infrastruktury hotelarskiej</w:t>
      </w:r>
      <w:r w:rsidR="005F2C93" w:rsidRPr="001268E7">
        <w:rPr>
          <w:rFonts w:asciiTheme="minorHAnsi" w:hAnsiTheme="minorHAnsi" w:cstheme="minorHAnsi"/>
        </w:rPr>
        <w:t>,</w:t>
      </w:r>
      <w:r w:rsidR="002536F9" w:rsidRPr="001268E7">
        <w:rPr>
          <w:rFonts w:asciiTheme="minorHAnsi" w:hAnsiTheme="minorHAnsi" w:cstheme="minorHAnsi"/>
        </w:rPr>
        <w:t xml:space="preserve"> oraz tworzenia</w:t>
      </w:r>
      <w:r w:rsidRPr="001268E7">
        <w:rPr>
          <w:rFonts w:asciiTheme="minorHAnsi" w:hAnsiTheme="minorHAnsi" w:cstheme="minorHAnsi"/>
        </w:rPr>
        <w:t xml:space="preserve"> atrakcyjnego wizerunku regionu.</w:t>
      </w:r>
    </w:p>
    <w:p w:rsidR="004C7F50" w:rsidRPr="001268E7" w:rsidRDefault="002E4F70" w:rsidP="00F713E1">
      <w:pPr>
        <w:jc w:val="both"/>
        <w:rPr>
          <w:rFonts w:asciiTheme="minorHAnsi" w:hAnsiTheme="minorHAnsi"/>
          <w:sz w:val="24"/>
          <w:szCs w:val="24"/>
        </w:rPr>
      </w:pPr>
      <w:r w:rsidRPr="001268E7">
        <w:rPr>
          <w:rFonts w:asciiTheme="minorHAnsi" w:hAnsiTheme="minorHAnsi"/>
          <w:i/>
          <w:iCs/>
          <w:sz w:val="24"/>
          <w:szCs w:val="24"/>
        </w:rPr>
        <w:t xml:space="preserve">Strategia </w:t>
      </w:r>
      <w:r w:rsidR="00362D08" w:rsidRPr="001268E7">
        <w:rPr>
          <w:rFonts w:asciiTheme="minorHAnsi" w:hAnsiTheme="minorHAnsi"/>
          <w:i/>
          <w:iCs/>
          <w:sz w:val="24"/>
          <w:szCs w:val="24"/>
        </w:rPr>
        <w:t xml:space="preserve">Społeczno-Gospodarczego </w:t>
      </w:r>
      <w:r w:rsidRPr="001268E7">
        <w:rPr>
          <w:rFonts w:asciiTheme="minorHAnsi" w:hAnsiTheme="minorHAnsi"/>
          <w:i/>
          <w:iCs/>
          <w:sz w:val="24"/>
          <w:szCs w:val="24"/>
        </w:rPr>
        <w:t xml:space="preserve">Rozwoju </w:t>
      </w:r>
      <w:r w:rsidR="00362D08" w:rsidRPr="001268E7">
        <w:rPr>
          <w:rFonts w:asciiTheme="minorHAnsi" w:hAnsiTheme="minorHAnsi"/>
          <w:i/>
          <w:iCs/>
          <w:sz w:val="24"/>
          <w:szCs w:val="24"/>
        </w:rPr>
        <w:t xml:space="preserve">Regionu Kaliningradzkiego w </w:t>
      </w:r>
      <w:r w:rsidR="005F2C93" w:rsidRPr="001268E7">
        <w:rPr>
          <w:rFonts w:asciiTheme="minorHAnsi" w:hAnsiTheme="minorHAnsi"/>
          <w:i/>
          <w:iCs/>
          <w:sz w:val="24"/>
          <w:szCs w:val="24"/>
        </w:rPr>
        <w:t>Perspektywie Długoterminowej</w:t>
      </w:r>
      <w:r w:rsidR="00362D08" w:rsidRPr="001268E7">
        <w:rPr>
          <w:rFonts w:asciiTheme="minorHAnsi" w:hAnsiTheme="minorHAnsi"/>
          <w:i/>
          <w:iCs/>
          <w:sz w:val="24"/>
          <w:szCs w:val="24"/>
        </w:rPr>
        <w:t xml:space="preserve"> </w:t>
      </w:r>
      <w:r w:rsidR="00362D08" w:rsidRPr="001268E7">
        <w:rPr>
          <w:rFonts w:asciiTheme="minorHAnsi" w:hAnsiTheme="minorHAnsi"/>
          <w:iCs/>
          <w:sz w:val="24"/>
          <w:szCs w:val="24"/>
        </w:rPr>
        <w:t>zatwierdzona w sierpniu 2012 r. Dokument określa priorytety rozwoju społeczno-gospodarczego regionu kaliningradzkiego oraz stanowi podstawę do opracowania programu rozwoju społeczno-gospodarczego regionu kaliningradzkiego, regionalnych programów docelowych, krótko i długoterminowych prognoz rozwoju regionu itp.</w:t>
      </w:r>
      <w:r w:rsidR="00650AC0" w:rsidRPr="001268E7">
        <w:rPr>
          <w:rFonts w:asciiTheme="minorHAnsi" w:hAnsiTheme="minorHAnsi"/>
          <w:sz w:val="24"/>
          <w:szCs w:val="24"/>
        </w:rPr>
        <w:t xml:space="preserve"> </w:t>
      </w:r>
      <w:r w:rsidR="00CC70B9" w:rsidRPr="001268E7">
        <w:rPr>
          <w:rFonts w:asciiTheme="minorHAnsi" w:hAnsiTheme="minorHAnsi"/>
          <w:sz w:val="24"/>
          <w:szCs w:val="24"/>
        </w:rPr>
        <w:t>Strategia definiuje długoterminowe cele do osiągnięcia, aby zapewnić lepszą jakość życia i stały rozwój gospodarczy w regionie kaliningradzkim.</w:t>
      </w:r>
      <w:r w:rsidR="004C7F50" w:rsidRPr="001268E7">
        <w:rPr>
          <w:rFonts w:asciiTheme="minorHAnsi" w:hAnsiTheme="minorHAnsi"/>
          <w:sz w:val="24"/>
          <w:szCs w:val="24"/>
        </w:rPr>
        <w:t xml:space="preserve"> </w:t>
      </w:r>
      <w:r w:rsidR="00CC70B9" w:rsidRPr="001268E7">
        <w:rPr>
          <w:rFonts w:asciiTheme="minorHAnsi" w:hAnsiTheme="minorHAnsi"/>
          <w:sz w:val="24"/>
          <w:szCs w:val="24"/>
        </w:rPr>
        <w:t>Cele te p</w:t>
      </w:r>
      <w:r w:rsidR="00F713E1" w:rsidRPr="001268E7">
        <w:rPr>
          <w:rFonts w:asciiTheme="minorHAnsi" w:hAnsiTheme="minorHAnsi"/>
          <w:sz w:val="24"/>
          <w:szCs w:val="24"/>
        </w:rPr>
        <w:t>rzewidują utworzenie</w:t>
      </w:r>
      <w:r w:rsidR="00CC70B9" w:rsidRPr="001268E7">
        <w:rPr>
          <w:rFonts w:asciiTheme="minorHAnsi" w:hAnsiTheme="minorHAnsi"/>
          <w:sz w:val="24"/>
          <w:szCs w:val="24"/>
        </w:rPr>
        <w:t xml:space="preserve"> środowiska społecznego</w:t>
      </w:r>
      <w:r w:rsidR="00F713E1" w:rsidRPr="001268E7">
        <w:rPr>
          <w:rFonts w:asciiTheme="minorHAnsi" w:hAnsiTheme="minorHAnsi"/>
          <w:sz w:val="24"/>
          <w:szCs w:val="24"/>
        </w:rPr>
        <w:t xml:space="preserve"> przyjaznego dla</w:t>
      </w:r>
      <w:r w:rsidR="00CC70B9" w:rsidRPr="001268E7">
        <w:rPr>
          <w:rFonts w:asciiTheme="minorHAnsi" w:hAnsiTheme="minorHAnsi"/>
          <w:sz w:val="24"/>
          <w:szCs w:val="24"/>
        </w:rPr>
        <w:t xml:space="preserve"> realizacji potencjału ludzkiego </w:t>
      </w:r>
      <w:r w:rsidR="00F713E1" w:rsidRPr="001268E7">
        <w:rPr>
          <w:rFonts w:asciiTheme="minorHAnsi" w:hAnsiTheme="minorHAnsi"/>
          <w:sz w:val="24"/>
          <w:szCs w:val="24"/>
        </w:rPr>
        <w:t>w oparciu o dynamiczny wzrost gospodarczy regionu (w tym rozwój demograficznego potencjału regionu, modernizacja zdrowia publicznego i edukacji, skuteczna ochrona środowiska, zachowanie i wspierania jego przyrodniczego i kulturowego dziedzictwa itp.)</w:t>
      </w:r>
      <w:r w:rsidR="005F2C93" w:rsidRPr="001268E7">
        <w:rPr>
          <w:rFonts w:asciiTheme="minorHAnsi" w:hAnsiTheme="minorHAnsi"/>
          <w:sz w:val="24"/>
          <w:szCs w:val="24"/>
        </w:rPr>
        <w:t>.</w:t>
      </w:r>
      <w:r w:rsidR="00F713E1" w:rsidRPr="001268E7">
        <w:rPr>
          <w:rFonts w:asciiTheme="minorHAnsi" w:hAnsiTheme="minorHAnsi"/>
          <w:sz w:val="24"/>
          <w:szCs w:val="24"/>
        </w:rPr>
        <w:t xml:space="preserve"> Strategia rozpoznaje również potrzebę rozwoju transportu regionalnego i sektora logistyki wraz z jego turystycznym i rekreacyjnym potencjałem.</w:t>
      </w:r>
    </w:p>
    <w:p w:rsidR="002537A4" w:rsidRPr="001268E7" w:rsidRDefault="00F713E1" w:rsidP="00F713E1">
      <w:p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Programy współpracy transgranicznej, w których obszar geograficzny co najmniej częściowo pokrywa się z Programem Współpracy Transgranicznej Polska-Rosja 2014-2020:</w:t>
      </w:r>
      <w:r w:rsidR="003B42AD" w:rsidRPr="001268E7">
        <w:rPr>
          <w:rFonts w:cstheme="minorHAnsi"/>
          <w:spacing w:val="4"/>
          <w:sz w:val="24"/>
          <w:szCs w:val="24"/>
        </w:rPr>
        <w:t xml:space="preserve"> </w:t>
      </w:r>
    </w:p>
    <w:p w:rsidR="00F713E1" w:rsidRPr="001268E7" w:rsidRDefault="00F713E1" w:rsidP="00C62170">
      <w:pPr>
        <w:pStyle w:val="Akapitzlist"/>
        <w:numPr>
          <w:ilvl w:val="0"/>
          <w:numId w:val="8"/>
        </w:num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 xml:space="preserve">Program Współpracy Transgranicznej Litwa-Rosja 2014-2020, </w:t>
      </w:r>
    </w:p>
    <w:p w:rsidR="00F713E1" w:rsidRPr="001268E7" w:rsidRDefault="00F713E1" w:rsidP="00C62170">
      <w:pPr>
        <w:pStyle w:val="Akapitzlist"/>
        <w:numPr>
          <w:ilvl w:val="0"/>
          <w:numId w:val="8"/>
        </w:num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 xml:space="preserve">Program Litwa-Polska 2014-2020, </w:t>
      </w:r>
    </w:p>
    <w:p w:rsidR="00F713E1" w:rsidRPr="001268E7" w:rsidRDefault="00F713E1" w:rsidP="00C62170">
      <w:pPr>
        <w:pStyle w:val="Akapitzlist"/>
        <w:numPr>
          <w:ilvl w:val="0"/>
          <w:numId w:val="8"/>
        </w:num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Polska-Białoruś-Ukraina 2014-2020,</w:t>
      </w:r>
    </w:p>
    <w:p w:rsidR="00F713E1" w:rsidRPr="001268E7" w:rsidRDefault="00F713E1" w:rsidP="00C62170">
      <w:pPr>
        <w:pStyle w:val="Akapitzlist"/>
        <w:numPr>
          <w:ilvl w:val="0"/>
          <w:numId w:val="8"/>
        </w:num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 xml:space="preserve">Programu Południowego Bałtyku 2014-2020, </w:t>
      </w:r>
    </w:p>
    <w:p w:rsidR="00F713E1" w:rsidRPr="001268E7" w:rsidRDefault="00F713E1" w:rsidP="00C62170">
      <w:pPr>
        <w:pStyle w:val="Akapitzlist"/>
        <w:numPr>
          <w:ilvl w:val="0"/>
          <w:numId w:val="8"/>
        </w:numPr>
        <w:spacing w:before="100" w:beforeAutospacing="1" w:after="100" w:afterAutospacing="1" w:line="240" w:lineRule="auto"/>
        <w:jc w:val="both"/>
        <w:rPr>
          <w:rFonts w:cs="Calibri"/>
          <w:spacing w:val="4"/>
          <w:sz w:val="24"/>
          <w:szCs w:val="24"/>
        </w:rPr>
      </w:pPr>
      <w:r w:rsidRPr="001268E7">
        <w:rPr>
          <w:rFonts w:cs="Calibri"/>
          <w:spacing w:val="4"/>
          <w:sz w:val="24"/>
          <w:szCs w:val="24"/>
        </w:rPr>
        <w:t>Program Interreg Regionu Morza Bałtyckiego 2014-2020,</w:t>
      </w:r>
    </w:p>
    <w:p w:rsidR="00F713E1" w:rsidRPr="001268E7" w:rsidRDefault="00F713E1" w:rsidP="00C62170">
      <w:pPr>
        <w:pStyle w:val="Akapitzlist"/>
        <w:numPr>
          <w:ilvl w:val="0"/>
          <w:numId w:val="8"/>
        </w:num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Europa Środkowa 2014-2020.</w:t>
      </w:r>
    </w:p>
    <w:p w:rsidR="003B42AD" w:rsidRPr="001268E7" w:rsidRDefault="005F2C93" w:rsidP="00F713E1">
      <w:p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Ponadto</w:t>
      </w:r>
      <w:r w:rsidR="00F713E1" w:rsidRPr="001268E7">
        <w:rPr>
          <w:rFonts w:cstheme="minorHAnsi"/>
          <w:spacing w:val="4"/>
          <w:sz w:val="24"/>
          <w:szCs w:val="24"/>
        </w:rPr>
        <w:t>, istnieją również europejskie programy szerokiej współpracy takie jak Interreg Europa.</w:t>
      </w:r>
      <w:r w:rsidR="00C052AF" w:rsidRPr="001268E7">
        <w:rPr>
          <w:rFonts w:cstheme="minorHAnsi"/>
          <w:spacing w:val="4"/>
          <w:sz w:val="24"/>
          <w:szCs w:val="24"/>
        </w:rPr>
        <w:t xml:space="preserve"> </w:t>
      </w:r>
      <w:r w:rsidR="00F713E1" w:rsidRPr="001268E7">
        <w:rPr>
          <w:rFonts w:cstheme="minorHAnsi"/>
          <w:spacing w:val="4"/>
          <w:sz w:val="24"/>
          <w:szCs w:val="24"/>
        </w:rPr>
        <w:t>Ze</w:t>
      </w:r>
      <w:r w:rsidRPr="001268E7">
        <w:rPr>
          <w:rFonts w:cstheme="minorHAnsi"/>
          <w:spacing w:val="4"/>
          <w:sz w:val="24"/>
          <w:szCs w:val="24"/>
        </w:rPr>
        <w:t xml:space="preserve"> względu na to, że na obszarze P</w:t>
      </w:r>
      <w:r w:rsidR="00F713E1" w:rsidRPr="001268E7">
        <w:rPr>
          <w:rFonts w:cstheme="minorHAnsi"/>
          <w:spacing w:val="4"/>
          <w:sz w:val="24"/>
          <w:szCs w:val="24"/>
        </w:rPr>
        <w:t xml:space="preserve">rogramu istnieje wspólnie wiele programów Funduszy Strukturalnych i Inwestycyjnych, zakres Programu zapewni synergię z innymi </w:t>
      </w:r>
      <w:r w:rsidR="00F713E1" w:rsidRPr="001268E7">
        <w:rPr>
          <w:rFonts w:cstheme="minorHAnsi"/>
          <w:spacing w:val="4"/>
          <w:sz w:val="24"/>
          <w:szCs w:val="24"/>
        </w:rPr>
        <w:lastRenderedPageBreak/>
        <w:t>programami (np. poprzez wybrane cele te</w:t>
      </w:r>
      <w:r w:rsidRPr="001268E7">
        <w:rPr>
          <w:rFonts w:cstheme="minorHAnsi"/>
          <w:spacing w:val="4"/>
          <w:sz w:val="24"/>
          <w:szCs w:val="24"/>
        </w:rPr>
        <w:t>matyczne) oraz pozwoli na</w:t>
      </w:r>
      <w:r w:rsidR="00F713E1" w:rsidRPr="001268E7">
        <w:rPr>
          <w:rFonts w:cstheme="minorHAnsi"/>
          <w:spacing w:val="4"/>
          <w:sz w:val="24"/>
          <w:szCs w:val="24"/>
        </w:rPr>
        <w:t xml:space="preserve"> uniknięcie ryzyka podwójnego finansowania.</w:t>
      </w:r>
      <w:r w:rsidR="00C052AF" w:rsidRPr="001268E7">
        <w:rPr>
          <w:rFonts w:cstheme="minorHAnsi"/>
          <w:spacing w:val="4"/>
          <w:sz w:val="24"/>
          <w:szCs w:val="24"/>
        </w:rPr>
        <w:t xml:space="preserve"> </w:t>
      </w:r>
    </w:p>
    <w:p w:rsidR="00D61551" w:rsidRDefault="00F713E1" w:rsidP="00F713E1">
      <w:pPr>
        <w:spacing w:before="100" w:beforeAutospacing="1" w:after="100" w:afterAutospacing="1" w:line="240" w:lineRule="auto"/>
        <w:jc w:val="both"/>
        <w:rPr>
          <w:rFonts w:cstheme="minorHAnsi"/>
          <w:spacing w:val="4"/>
          <w:sz w:val="24"/>
          <w:szCs w:val="24"/>
        </w:rPr>
      </w:pPr>
      <w:r w:rsidRPr="001268E7">
        <w:rPr>
          <w:rFonts w:cs="Calibri"/>
          <w:sz w:val="24"/>
          <w:szCs w:val="24"/>
          <w:lang w:eastAsia="pl-PL"/>
        </w:rPr>
        <w:t xml:space="preserve">Ponieważ budżet Programu jest ograniczony i niewystarczający dla realizacji wszystkich wspólnych wyzwań i problemów z obszaru Programu, Program koncentruje się na najważniejszych z nich za </w:t>
      </w:r>
      <w:r w:rsidR="005F2C93" w:rsidRPr="001268E7">
        <w:rPr>
          <w:rFonts w:cs="Calibri"/>
          <w:sz w:val="24"/>
          <w:szCs w:val="24"/>
          <w:lang w:eastAsia="pl-PL"/>
        </w:rPr>
        <w:t>pomocą osiągnięcia wybranych Celów T</w:t>
      </w:r>
      <w:r w:rsidRPr="001268E7">
        <w:rPr>
          <w:rFonts w:cs="Calibri"/>
          <w:sz w:val="24"/>
          <w:szCs w:val="24"/>
          <w:lang w:eastAsia="pl-PL"/>
        </w:rPr>
        <w:t>ematycznych odpowiadających zadaniom</w:t>
      </w:r>
      <w:r w:rsidR="00563156" w:rsidRPr="001268E7">
        <w:rPr>
          <w:rFonts w:cs="Calibri"/>
          <w:sz w:val="24"/>
          <w:szCs w:val="24"/>
          <w:lang w:eastAsia="pl-PL"/>
        </w:rPr>
        <w:t>, które zostały przewidziane</w:t>
      </w:r>
      <w:r w:rsidRPr="001268E7">
        <w:rPr>
          <w:rFonts w:cs="Calibri"/>
          <w:sz w:val="24"/>
          <w:szCs w:val="24"/>
          <w:lang w:eastAsia="pl-PL"/>
        </w:rPr>
        <w:t xml:space="preserve"> w Ro</w:t>
      </w:r>
      <w:r w:rsidR="00563156" w:rsidRPr="001268E7">
        <w:rPr>
          <w:rFonts w:cs="Calibri"/>
          <w:sz w:val="24"/>
          <w:szCs w:val="24"/>
          <w:lang w:eastAsia="pl-PL"/>
        </w:rPr>
        <w:t>zporządzeniu EIS i zmierzają</w:t>
      </w:r>
      <w:r w:rsidRPr="001268E7">
        <w:rPr>
          <w:rFonts w:cs="Calibri"/>
          <w:sz w:val="24"/>
          <w:szCs w:val="24"/>
          <w:lang w:eastAsia="pl-PL"/>
        </w:rPr>
        <w:t xml:space="preserve"> do rozwiązywania wspólnych problemów w obszarze przygranicznym charakterystycznych dla obszaru Programu i uznanych za ważne dla obydwu państw uczestniczących w Programie.</w:t>
      </w:r>
      <w:r w:rsidR="003B42AD" w:rsidRPr="001268E7">
        <w:rPr>
          <w:rFonts w:cstheme="minorHAnsi"/>
          <w:spacing w:val="4"/>
          <w:sz w:val="24"/>
          <w:szCs w:val="24"/>
        </w:rPr>
        <w:t xml:space="preserve"> </w:t>
      </w:r>
      <w:r w:rsidRPr="001268E7">
        <w:rPr>
          <w:rFonts w:cstheme="minorHAnsi"/>
          <w:spacing w:val="4"/>
          <w:sz w:val="24"/>
          <w:szCs w:val="24"/>
        </w:rPr>
        <w:t xml:space="preserve">Program </w:t>
      </w:r>
      <w:r w:rsidRPr="001268E7">
        <w:rPr>
          <w:rFonts w:cs="Calibri"/>
          <w:sz w:val="24"/>
          <w:szCs w:val="24"/>
          <w:lang w:eastAsia="pl-PL"/>
        </w:rPr>
        <w:t>również powinien przyczynić się do rozwiązania tych problemów zgodnie z innymi programami i strategiami realizowanymi na obszarze Programu.</w:t>
      </w:r>
      <w:r w:rsidR="003B42AD" w:rsidRPr="001268E7">
        <w:rPr>
          <w:rFonts w:cstheme="minorHAnsi"/>
          <w:spacing w:val="4"/>
          <w:sz w:val="24"/>
          <w:szCs w:val="24"/>
        </w:rPr>
        <w:t xml:space="preserve"> </w:t>
      </w:r>
    </w:p>
    <w:p w:rsidR="001C0071" w:rsidRPr="001268E7" w:rsidRDefault="001C0071" w:rsidP="00F713E1">
      <w:pPr>
        <w:spacing w:before="100" w:beforeAutospacing="1" w:after="100" w:afterAutospacing="1" w:line="240" w:lineRule="auto"/>
        <w:jc w:val="both"/>
        <w:rPr>
          <w:rFonts w:cstheme="minorHAnsi"/>
          <w:spacing w:val="4"/>
          <w:sz w:val="24"/>
          <w:szCs w:val="24"/>
        </w:rPr>
      </w:pPr>
    </w:p>
    <w:p w:rsidR="003B42AD" w:rsidRPr="00D61551" w:rsidRDefault="00F713E1" w:rsidP="00D61551">
      <w:pPr>
        <w:pStyle w:val="Nagwek3"/>
      </w:pPr>
      <w:bookmarkStart w:id="20" w:name="_Toc530737570"/>
      <w:r w:rsidRPr="00D61551">
        <w:t>2.2.4 Analiza zagrożeń i środki łagodzące</w:t>
      </w:r>
      <w:bookmarkEnd w:id="20"/>
    </w:p>
    <w:p w:rsidR="003B42AD" w:rsidRPr="001268E7" w:rsidRDefault="00F713E1" w:rsidP="00F713E1">
      <w:pPr>
        <w:spacing w:before="100" w:beforeAutospacing="1" w:after="100" w:afterAutospacing="1" w:line="240" w:lineRule="auto"/>
        <w:jc w:val="both"/>
        <w:rPr>
          <w:rFonts w:cstheme="minorHAnsi"/>
          <w:sz w:val="24"/>
          <w:szCs w:val="24"/>
        </w:rPr>
      </w:pPr>
      <w:r w:rsidRPr="001268E7">
        <w:rPr>
          <w:rFonts w:cs="Calibri"/>
          <w:sz w:val="24"/>
          <w:szCs w:val="24"/>
          <w:lang w:eastAsia="pl-PL"/>
        </w:rPr>
        <w:t>Dla Programu przygotowana została analiza potencjalnych zagrożeń.</w:t>
      </w:r>
      <w:r w:rsidR="003B42AD" w:rsidRPr="001268E7">
        <w:rPr>
          <w:rFonts w:cstheme="minorHAnsi"/>
          <w:sz w:val="24"/>
          <w:szCs w:val="24"/>
        </w:rPr>
        <w:t xml:space="preserve"> </w:t>
      </w:r>
      <w:r w:rsidRPr="001268E7">
        <w:rPr>
          <w:rFonts w:cs="Calibri"/>
          <w:sz w:val="24"/>
          <w:szCs w:val="24"/>
          <w:lang w:eastAsia="pl-PL"/>
        </w:rPr>
        <w:t>Zagrożenia i ich przyczyny zostały opisane oraz zdefiniowany ich wpływ.</w:t>
      </w:r>
      <w:r w:rsidR="003B42AD" w:rsidRPr="001268E7">
        <w:rPr>
          <w:rFonts w:cstheme="minorHAnsi"/>
          <w:sz w:val="24"/>
          <w:szCs w:val="24"/>
        </w:rPr>
        <w:t xml:space="preserve"> </w:t>
      </w:r>
      <w:r w:rsidRPr="001268E7">
        <w:rPr>
          <w:rFonts w:cs="Calibri"/>
          <w:sz w:val="24"/>
          <w:szCs w:val="24"/>
          <w:lang w:eastAsia="pl-PL"/>
        </w:rPr>
        <w:t>Następnie dokonano oceny znaczenia każdego czynnika ryzyka.</w:t>
      </w:r>
      <w:r w:rsidR="003B42AD" w:rsidRPr="001268E7">
        <w:rPr>
          <w:rFonts w:cstheme="minorHAnsi"/>
          <w:sz w:val="24"/>
          <w:szCs w:val="24"/>
        </w:rPr>
        <w:t xml:space="preserve"> </w:t>
      </w:r>
      <w:r w:rsidRPr="001268E7">
        <w:rPr>
          <w:rFonts w:cs="Calibri"/>
          <w:sz w:val="24"/>
          <w:szCs w:val="24"/>
          <w:lang w:eastAsia="pl-PL"/>
        </w:rPr>
        <w:t>Zagrożenia zostały ocenione według ich prawdopodobieństwa i oddziaływania (w skali wysokie, średnie, niskie).</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2303"/>
        <w:gridCol w:w="1910"/>
        <w:gridCol w:w="2696"/>
      </w:tblGrid>
      <w:tr w:rsidR="003B42AD" w:rsidRPr="001268E7" w:rsidTr="00563156">
        <w:tc>
          <w:tcPr>
            <w:tcW w:w="2303" w:type="dxa"/>
            <w:shd w:val="clear" w:color="auto" w:fill="BFBFBF"/>
          </w:tcPr>
          <w:p w:rsidR="00B71030" w:rsidRPr="001268E7" w:rsidRDefault="001F72CA" w:rsidP="00F713E1">
            <w:pPr>
              <w:spacing w:before="100" w:beforeAutospacing="1" w:after="100" w:afterAutospacing="1" w:line="240" w:lineRule="auto"/>
              <w:rPr>
                <w:rFonts w:cstheme="minorHAnsi"/>
                <w:b/>
              </w:rPr>
            </w:pPr>
            <w:r>
              <w:rPr>
                <w:rFonts w:cstheme="minorHAnsi"/>
                <w:b/>
              </w:rPr>
              <w:t>OPIS I PRZYCZYNA ROZPOZNANYCH ZAGROŻEŃ</w:t>
            </w:r>
          </w:p>
          <w:p w:rsidR="00660958" w:rsidRPr="001268E7" w:rsidRDefault="00660958">
            <w:pPr>
              <w:spacing w:before="100" w:beforeAutospacing="1" w:after="100" w:afterAutospacing="1" w:line="240" w:lineRule="auto"/>
              <w:rPr>
                <w:rFonts w:cstheme="minorHAnsi"/>
                <w:b/>
              </w:rPr>
            </w:pPr>
          </w:p>
        </w:tc>
        <w:tc>
          <w:tcPr>
            <w:tcW w:w="2303" w:type="dxa"/>
            <w:shd w:val="clear" w:color="auto" w:fill="BFBFBF"/>
          </w:tcPr>
          <w:p w:rsidR="00B71030" w:rsidRPr="001268E7" w:rsidRDefault="001F72CA" w:rsidP="001F72CA">
            <w:pPr>
              <w:spacing w:before="100" w:beforeAutospacing="1" w:after="100" w:afterAutospacing="1" w:line="240" w:lineRule="auto"/>
              <w:rPr>
                <w:rFonts w:cstheme="minorHAnsi"/>
                <w:b/>
              </w:rPr>
            </w:pPr>
            <w:r>
              <w:rPr>
                <w:rFonts w:cstheme="minorHAnsi"/>
                <w:b/>
              </w:rPr>
              <w:t>WPŁYW ROZPOZNANEGO ZAGROŻENIA</w:t>
            </w:r>
          </w:p>
        </w:tc>
        <w:tc>
          <w:tcPr>
            <w:tcW w:w="1910" w:type="dxa"/>
            <w:shd w:val="clear" w:color="auto" w:fill="BFBFBF"/>
          </w:tcPr>
          <w:p w:rsidR="00B71030" w:rsidRPr="001268E7" w:rsidRDefault="001F72CA" w:rsidP="001821B7">
            <w:pPr>
              <w:spacing w:before="100" w:beforeAutospacing="1" w:after="100" w:afterAutospacing="1" w:line="240" w:lineRule="auto"/>
              <w:rPr>
                <w:rFonts w:cstheme="minorHAnsi"/>
                <w:b/>
              </w:rPr>
            </w:pPr>
            <w:r>
              <w:rPr>
                <w:rFonts w:cstheme="minorHAnsi"/>
                <w:b/>
              </w:rPr>
              <w:t>OCENA ZNACZENIA ROZPOZNANEGO ZAGROŻENIA</w:t>
            </w:r>
          </w:p>
        </w:tc>
        <w:tc>
          <w:tcPr>
            <w:tcW w:w="2696" w:type="dxa"/>
            <w:shd w:val="clear" w:color="auto" w:fill="BFBFBF"/>
          </w:tcPr>
          <w:p w:rsidR="003B42AD" w:rsidRPr="001268E7" w:rsidRDefault="001F72CA" w:rsidP="005F2C93">
            <w:pPr>
              <w:spacing w:before="100" w:beforeAutospacing="1" w:after="100" w:afterAutospacing="1" w:line="240" w:lineRule="auto"/>
              <w:ind w:left="-55" w:right="-495"/>
              <w:rPr>
                <w:rFonts w:cstheme="minorHAnsi"/>
                <w:b/>
              </w:rPr>
            </w:pPr>
            <w:r>
              <w:rPr>
                <w:rFonts w:cstheme="minorHAnsi"/>
                <w:b/>
              </w:rPr>
              <w:t>PROPONOWANE ŚRODKI ŁAGODZĄCE</w:t>
            </w:r>
          </w:p>
        </w:tc>
      </w:tr>
      <w:tr w:rsidR="003B42AD" w:rsidRPr="001268E7" w:rsidTr="00563156">
        <w:tc>
          <w:tcPr>
            <w:tcW w:w="2303" w:type="dxa"/>
          </w:tcPr>
          <w:p w:rsidR="003B42AD" w:rsidRPr="001268E7" w:rsidRDefault="00B46AC4" w:rsidP="001821B7">
            <w:pPr>
              <w:spacing w:before="100" w:beforeAutospacing="1" w:after="100" w:afterAutospacing="1" w:line="240" w:lineRule="auto"/>
              <w:rPr>
                <w:rFonts w:cstheme="minorHAnsi"/>
              </w:rPr>
            </w:pPr>
            <w:r w:rsidRPr="001268E7">
              <w:rPr>
                <w:rFonts w:cs="Calibri"/>
                <w:lang w:eastAsia="pl-PL"/>
              </w:rPr>
              <w:t>Wspólne zasady realizacji Programu nie mogą być uzgodnione przez kraje partnerskie z powodu różnych wizji współpracy transgranicznej</w:t>
            </w:r>
          </w:p>
        </w:tc>
        <w:tc>
          <w:tcPr>
            <w:tcW w:w="2303" w:type="dxa"/>
          </w:tcPr>
          <w:p w:rsidR="003B42AD" w:rsidRPr="001268E7" w:rsidRDefault="00B46AC4" w:rsidP="001821B7">
            <w:pPr>
              <w:spacing w:before="100" w:beforeAutospacing="1" w:after="100" w:afterAutospacing="1" w:line="240" w:lineRule="auto"/>
              <w:rPr>
                <w:color w:val="000000"/>
              </w:rPr>
            </w:pPr>
            <w:r w:rsidRPr="001268E7">
              <w:rPr>
                <w:rFonts w:cs="Calibri"/>
                <w:lang w:eastAsia="pl-PL"/>
              </w:rPr>
              <w:t>Program nie może być uruchomiony lub rozpoczyna się z poważnym opóźnieniem.</w:t>
            </w:r>
            <w:r w:rsidR="00C052AF" w:rsidRPr="001268E7">
              <w:rPr>
                <w:rFonts w:cstheme="minorHAnsi"/>
              </w:rPr>
              <w:t xml:space="preserve"> </w:t>
            </w:r>
            <w:r w:rsidRPr="001268E7">
              <w:rPr>
                <w:rFonts w:cstheme="minorHAnsi"/>
              </w:rPr>
              <w:t>Środki Programu nie są wydawane, a alokacje utracone zgodnie ze stosownymi regulacjami UE.</w:t>
            </w:r>
          </w:p>
        </w:tc>
        <w:tc>
          <w:tcPr>
            <w:tcW w:w="1910" w:type="dxa"/>
          </w:tcPr>
          <w:p w:rsidR="003B42AD" w:rsidRPr="001268E7" w:rsidRDefault="00B46AC4" w:rsidP="001821B7">
            <w:pPr>
              <w:spacing w:before="100" w:beforeAutospacing="1" w:after="100" w:afterAutospacing="1" w:line="240" w:lineRule="auto"/>
              <w:rPr>
                <w:color w:val="000000"/>
              </w:rPr>
            </w:pPr>
            <w:r w:rsidRPr="001268E7">
              <w:rPr>
                <w:rFonts w:cstheme="minorHAnsi"/>
              </w:rPr>
              <w:t>Wysokie</w:t>
            </w:r>
          </w:p>
        </w:tc>
        <w:tc>
          <w:tcPr>
            <w:tcW w:w="2696" w:type="dxa"/>
          </w:tcPr>
          <w:p w:rsidR="003B42AD" w:rsidRPr="001268E7" w:rsidRDefault="00B46AC4" w:rsidP="00B46AC4">
            <w:pPr>
              <w:spacing w:before="100" w:beforeAutospacing="1" w:after="100" w:afterAutospacing="1" w:line="240" w:lineRule="auto"/>
              <w:rPr>
                <w:color w:val="000000"/>
              </w:rPr>
            </w:pPr>
            <w:r w:rsidRPr="001268E7">
              <w:rPr>
                <w:rFonts w:cs="Calibri"/>
                <w:lang w:eastAsia="pl-PL"/>
              </w:rPr>
              <w:t>Wspólne decyzje partnerów w zakresie celów Programu i mechanizmów jego wdrożenia.</w:t>
            </w:r>
          </w:p>
          <w:p w:rsidR="00622DA1" w:rsidRPr="001268E7" w:rsidRDefault="00BB7EC9" w:rsidP="00B46AC4">
            <w:pPr>
              <w:spacing w:before="100" w:beforeAutospacing="1" w:after="100" w:afterAutospacing="1" w:line="240" w:lineRule="auto"/>
              <w:rPr>
                <w:rFonts w:cstheme="minorHAnsi"/>
              </w:rPr>
            </w:pPr>
            <w:r w:rsidRPr="001268E7">
              <w:rPr>
                <w:rFonts w:cstheme="minorHAnsi"/>
              </w:rPr>
              <w:t>Szukanie</w:t>
            </w:r>
            <w:r w:rsidR="00B46AC4" w:rsidRPr="001268E7">
              <w:rPr>
                <w:rFonts w:cstheme="minorHAnsi"/>
              </w:rPr>
              <w:t xml:space="preserve"> kompromi</w:t>
            </w:r>
            <w:r w:rsidRPr="001268E7">
              <w:rPr>
                <w:rFonts w:cstheme="minorHAnsi"/>
              </w:rPr>
              <w:t>su w zakresie istotnych kwestii przez partnerów Programu.</w:t>
            </w:r>
          </w:p>
          <w:p w:rsidR="00622DA1" w:rsidRPr="001268E7" w:rsidRDefault="00B46AC4" w:rsidP="001821B7">
            <w:pPr>
              <w:spacing w:before="100" w:beforeAutospacing="1" w:after="100" w:afterAutospacing="1" w:line="240" w:lineRule="auto"/>
              <w:rPr>
                <w:rFonts w:cstheme="minorHAnsi"/>
              </w:rPr>
            </w:pPr>
            <w:r w:rsidRPr="001268E7">
              <w:rPr>
                <w:rFonts w:cstheme="minorHAnsi"/>
              </w:rPr>
              <w:t>Regularne spotkania przedstawicieli krajów partnerskich.</w:t>
            </w:r>
          </w:p>
        </w:tc>
      </w:tr>
      <w:tr w:rsidR="003B42AD" w:rsidRPr="001268E7" w:rsidTr="00563156">
        <w:tc>
          <w:tcPr>
            <w:tcW w:w="2303" w:type="dxa"/>
            <w:shd w:val="clear" w:color="auto" w:fill="auto"/>
          </w:tcPr>
          <w:p w:rsidR="003B42AD" w:rsidRPr="001268E7" w:rsidRDefault="00B46AC4" w:rsidP="00B46AC4">
            <w:pPr>
              <w:spacing w:before="100" w:beforeAutospacing="1" w:after="100" w:afterAutospacing="1" w:line="240" w:lineRule="auto"/>
              <w:rPr>
                <w:rFonts w:cstheme="minorHAnsi"/>
              </w:rPr>
            </w:pPr>
            <w:r w:rsidRPr="001268E7">
              <w:rPr>
                <w:rFonts w:cs="Calibri"/>
                <w:lang w:eastAsia="pl-PL"/>
              </w:rPr>
              <w:t>Niespójny system zarządzania i kontroli Programu wynikający z powołania nowych organ</w:t>
            </w:r>
            <w:r w:rsidR="00BB7EC9" w:rsidRPr="001268E7">
              <w:rPr>
                <w:rFonts w:cs="Calibri"/>
                <w:lang w:eastAsia="pl-PL"/>
              </w:rPr>
              <w:t xml:space="preserve">ów Programu wymaganych przez </w:t>
            </w:r>
            <w:r w:rsidR="00D833A3">
              <w:rPr>
                <w:rFonts w:cs="Calibri"/>
                <w:lang w:eastAsia="pl-PL"/>
              </w:rPr>
              <w:t>rozporządzenie wykonawcze</w:t>
            </w:r>
            <w:r w:rsidRPr="001268E7">
              <w:rPr>
                <w:rFonts w:cs="Calibri"/>
                <w:lang w:eastAsia="pl-PL"/>
              </w:rPr>
              <w:t xml:space="preserve"> EIS </w:t>
            </w:r>
          </w:p>
          <w:p w:rsidR="003B42AD" w:rsidRPr="001268E7" w:rsidRDefault="003B42AD" w:rsidP="00DB1AFC">
            <w:pPr>
              <w:spacing w:before="100" w:beforeAutospacing="1" w:after="100" w:afterAutospacing="1" w:line="240" w:lineRule="auto"/>
              <w:rPr>
                <w:rFonts w:cstheme="minorHAnsi"/>
              </w:rPr>
            </w:pPr>
          </w:p>
          <w:p w:rsidR="003B42AD" w:rsidRPr="001268E7" w:rsidRDefault="003B42AD" w:rsidP="00DB1AFC">
            <w:pPr>
              <w:spacing w:before="100" w:beforeAutospacing="1" w:after="100" w:afterAutospacing="1" w:line="240" w:lineRule="auto"/>
              <w:rPr>
                <w:rFonts w:cstheme="minorHAnsi"/>
              </w:rPr>
            </w:pPr>
          </w:p>
        </w:tc>
        <w:tc>
          <w:tcPr>
            <w:tcW w:w="2303" w:type="dxa"/>
            <w:shd w:val="clear" w:color="auto" w:fill="auto"/>
          </w:tcPr>
          <w:p w:rsidR="003B42AD" w:rsidRPr="001268E7" w:rsidRDefault="00B46AC4" w:rsidP="001821B7">
            <w:pPr>
              <w:spacing w:before="100" w:beforeAutospacing="1" w:after="100" w:afterAutospacing="1"/>
              <w:rPr>
                <w:rFonts w:cstheme="minorHAnsi"/>
              </w:rPr>
            </w:pPr>
            <w:r w:rsidRPr="001268E7">
              <w:rPr>
                <w:rFonts w:cs="Calibri"/>
                <w:lang w:eastAsia="pl-PL"/>
              </w:rPr>
              <w:lastRenderedPageBreak/>
              <w:t>Wydatki projektów są weryfikowane błędnie.</w:t>
            </w:r>
            <w:r w:rsidR="00650AC0" w:rsidRPr="001268E7">
              <w:rPr>
                <w:rFonts w:cstheme="minorHAnsi"/>
              </w:rPr>
              <w:t xml:space="preserve"> </w:t>
            </w:r>
            <w:r w:rsidRPr="001268E7">
              <w:rPr>
                <w:rFonts w:cs="Calibri"/>
                <w:lang w:eastAsia="pl-PL"/>
              </w:rPr>
              <w:t>Istnieje ryzyko środków niekwalifikowalnych, w tym także oszustwa.</w:t>
            </w:r>
          </w:p>
        </w:tc>
        <w:tc>
          <w:tcPr>
            <w:tcW w:w="1910" w:type="dxa"/>
            <w:shd w:val="clear" w:color="auto" w:fill="auto"/>
          </w:tcPr>
          <w:p w:rsidR="003B42AD" w:rsidRPr="001268E7" w:rsidRDefault="00B46AC4" w:rsidP="001821B7">
            <w:pPr>
              <w:spacing w:before="100" w:beforeAutospacing="1" w:after="100" w:afterAutospacing="1" w:line="240" w:lineRule="auto"/>
              <w:rPr>
                <w:rFonts w:cstheme="minorHAnsi"/>
              </w:rPr>
            </w:pPr>
            <w:r w:rsidRPr="001268E7">
              <w:rPr>
                <w:rFonts w:cstheme="minorHAnsi"/>
              </w:rPr>
              <w:t>Średnie</w:t>
            </w:r>
          </w:p>
        </w:tc>
        <w:tc>
          <w:tcPr>
            <w:tcW w:w="2696" w:type="dxa"/>
            <w:shd w:val="clear" w:color="auto" w:fill="auto"/>
          </w:tcPr>
          <w:p w:rsidR="00337494" w:rsidRPr="001268E7" w:rsidRDefault="00B46AC4" w:rsidP="001821B7">
            <w:pPr>
              <w:spacing w:before="100" w:beforeAutospacing="1" w:after="100" w:afterAutospacing="1" w:line="240" w:lineRule="auto"/>
              <w:rPr>
                <w:rFonts w:cstheme="minorHAnsi"/>
              </w:rPr>
            </w:pPr>
            <w:r w:rsidRPr="001268E7">
              <w:rPr>
                <w:rFonts w:cs="Calibri"/>
                <w:lang w:eastAsia="pl-PL"/>
              </w:rPr>
              <w:t>Powierzenie nowych funkcji organom posiadającym doświadczenie w dziedzinie zarządzania współpracą transgraniczną/funduszami UE.</w:t>
            </w:r>
            <w:r w:rsidR="00C052AF" w:rsidRPr="001268E7">
              <w:rPr>
                <w:rFonts w:cstheme="minorHAnsi"/>
              </w:rPr>
              <w:t xml:space="preserve"> </w:t>
            </w:r>
            <w:r w:rsidRPr="001268E7">
              <w:rPr>
                <w:rFonts w:cs="Calibri"/>
                <w:lang w:eastAsia="pl-PL"/>
              </w:rPr>
              <w:t>Działania skierowane na podnoszenie kwalifikacji/szkolenia z wymogów EIS dla organów Programu.</w:t>
            </w:r>
            <w:r w:rsidR="00C052AF" w:rsidRPr="001268E7">
              <w:rPr>
                <w:rFonts w:cstheme="minorHAnsi"/>
              </w:rPr>
              <w:t xml:space="preserve"> </w:t>
            </w:r>
            <w:r w:rsidRPr="001268E7">
              <w:rPr>
                <w:rFonts w:cs="Calibri"/>
                <w:lang w:eastAsia="pl-PL"/>
              </w:rPr>
              <w:t xml:space="preserve">Podział zadań i </w:t>
            </w:r>
            <w:r w:rsidRPr="001268E7">
              <w:rPr>
                <w:rFonts w:cs="Calibri"/>
                <w:lang w:eastAsia="pl-PL"/>
              </w:rPr>
              <w:lastRenderedPageBreak/>
              <w:t>obowiązków między krajami partnerskimi.</w:t>
            </w:r>
          </w:p>
        </w:tc>
      </w:tr>
      <w:tr w:rsidR="003B42AD" w:rsidRPr="001268E7" w:rsidTr="00563156">
        <w:tc>
          <w:tcPr>
            <w:tcW w:w="2303" w:type="dxa"/>
            <w:shd w:val="clear" w:color="auto" w:fill="auto"/>
          </w:tcPr>
          <w:p w:rsidR="003B42AD" w:rsidRPr="001268E7" w:rsidRDefault="00B46AC4" w:rsidP="00B46AC4">
            <w:pPr>
              <w:spacing w:before="100" w:beforeAutospacing="1" w:after="100" w:afterAutospacing="1" w:line="240" w:lineRule="auto"/>
              <w:rPr>
                <w:rFonts w:cstheme="minorHAnsi"/>
              </w:rPr>
            </w:pPr>
            <w:r w:rsidRPr="001268E7">
              <w:rPr>
                <w:rFonts w:cs="Calibri"/>
                <w:lang w:eastAsia="pl-PL"/>
              </w:rPr>
              <w:lastRenderedPageBreak/>
              <w:t>Brak porozumienia w sprawie wyboru projektów z powodu niezgodności z kryteriami wyboru i wynikami oceny projektów.</w:t>
            </w:r>
          </w:p>
          <w:p w:rsidR="003B42AD" w:rsidRPr="001268E7" w:rsidRDefault="003B42AD" w:rsidP="00DB1AFC">
            <w:pPr>
              <w:spacing w:before="100" w:beforeAutospacing="1" w:after="100" w:afterAutospacing="1" w:line="240" w:lineRule="auto"/>
              <w:rPr>
                <w:rFonts w:cstheme="minorHAnsi"/>
              </w:rPr>
            </w:pPr>
          </w:p>
        </w:tc>
        <w:tc>
          <w:tcPr>
            <w:tcW w:w="2303" w:type="dxa"/>
            <w:shd w:val="clear" w:color="auto" w:fill="auto"/>
          </w:tcPr>
          <w:p w:rsidR="003B42AD" w:rsidRPr="001268E7" w:rsidRDefault="00B46AC4" w:rsidP="001821B7">
            <w:pPr>
              <w:spacing w:before="100" w:beforeAutospacing="1" w:after="100" w:afterAutospacing="1" w:line="240" w:lineRule="auto"/>
              <w:rPr>
                <w:rFonts w:cstheme="minorHAnsi"/>
              </w:rPr>
            </w:pPr>
            <w:r w:rsidRPr="001268E7">
              <w:rPr>
                <w:rFonts w:cs="Calibri"/>
                <w:lang w:eastAsia="pl-PL"/>
              </w:rPr>
              <w:t>Wybór projektów o niskiej jakości i/lub ze słabym efektem transgranicznym.</w:t>
            </w:r>
            <w:r w:rsidR="00C052AF" w:rsidRPr="001268E7">
              <w:rPr>
                <w:rFonts w:cstheme="minorHAnsi"/>
              </w:rPr>
              <w:t xml:space="preserve"> </w:t>
            </w:r>
            <w:r w:rsidRPr="001268E7">
              <w:rPr>
                <w:rFonts w:cs="Calibri"/>
                <w:lang w:eastAsia="pl-PL"/>
              </w:rPr>
              <w:t>Opóźnienie w rozpoczęciu realizacji projektów.</w:t>
            </w:r>
            <w:r w:rsidR="00C052AF" w:rsidRPr="001268E7">
              <w:rPr>
                <w:rFonts w:cstheme="minorHAnsi"/>
              </w:rPr>
              <w:t xml:space="preserve"> </w:t>
            </w:r>
            <w:r w:rsidRPr="001268E7">
              <w:rPr>
                <w:rFonts w:cs="Calibri"/>
                <w:lang w:eastAsia="pl-PL"/>
              </w:rPr>
              <w:t>Osiągnięcie celów Programu jest zagrożone.</w:t>
            </w:r>
          </w:p>
        </w:tc>
        <w:tc>
          <w:tcPr>
            <w:tcW w:w="1910" w:type="dxa"/>
            <w:shd w:val="clear" w:color="auto" w:fill="auto"/>
          </w:tcPr>
          <w:p w:rsidR="003B42AD" w:rsidRPr="001268E7" w:rsidRDefault="00B46AC4" w:rsidP="001821B7">
            <w:pPr>
              <w:spacing w:before="100" w:beforeAutospacing="1" w:after="100" w:afterAutospacing="1" w:line="240" w:lineRule="auto"/>
              <w:rPr>
                <w:rFonts w:cstheme="minorHAnsi"/>
              </w:rPr>
            </w:pPr>
            <w:r w:rsidRPr="001268E7">
              <w:rPr>
                <w:rFonts w:cstheme="minorHAnsi"/>
              </w:rPr>
              <w:t>Średnie</w:t>
            </w:r>
          </w:p>
        </w:tc>
        <w:tc>
          <w:tcPr>
            <w:tcW w:w="2696" w:type="dxa"/>
            <w:shd w:val="clear" w:color="auto" w:fill="auto"/>
          </w:tcPr>
          <w:p w:rsidR="003B42AD" w:rsidRPr="001268E7" w:rsidRDefault="00B46AC4" w:rsidP="001821B7">
            <w:pPr>
              <w:spacing w:before="100" w:beforeAutospacing="1" w:after="100" w:afterAutospacing="1" w:line="240" w:lineRule="auto"/>
              <w:rPr>
                <w:rFonts w:cstheme="minorHAnsi"/>
              </w:rPr>
            </w:pPr>
            <w:r w:rsidRPr="001268E7">
              <w:rPr>
                <w:rFonts w:cs="Calibri"/>
                <w:lang w:eastAsia="pl-PL"/>
              </w:rPr>
              <w:t>Wybór projektów zgodnie z kryteriami wyboru.</w:t>
            </w:r>
            <w:r w:rsidR="00C052AF" w:rsidRPr="001268E7">
              <w:rPr>
                <w:rFonts w:cstheme="minorHAnsi"/>
              </w:rPr>
              <w:t xml:space="preserve"> </w:t>
            </w:r>
            <w:r w:rsidRPr="001268E7">
              <w:rPr>
                <w:rFonts w:cs="Calibri"/>
                <w:lang w:eastAsia="pl-PL"/>
              </w:rPr>
              <w:t>Przygotowanie przez asesorów listy rankingowej jako podstawa do wyboru projektów.</w:t>
            </w:r>
          </w:p>
        </w:tc>
      </w:tr>
      <w:tr w:rsidR="003B42AD" w:rsidRPr="001268E7" w:rsidTr="00563156">
        <w:tc>
          <w:tcPr>
            <w:tcW w:w="2303" w:type="dxa"/>
            <w:shd w:val="clear" w:color="auto" w:fill="auto"/>
          </w:tcPr>
          <w:p w:rsidR="003B42AD" w:rsidRPr="001268E7" w:rsidRDefault="00FE36AC" w:rsidP="001821B7">
            <w:pPr>
              <w:spacing w:before="100" w:beforeAutospacing="1" w:after="100" w:afterAutospacing="1" w:line="240" w:lineRule="auto"/>
              <w:rPr>
                <w:rFonts w:cstheme="minorHAnsi"/>
              </w:rPr>
            </w:pPr>
            <w:r w:rsidRPr="001268E7">
              <w:rPr>
                <w:rFonts w:cs="Calibri"/>
                <w:lang w:eastAsia="pl-PL"/>
              </w:rPr>
              <w:t>Mała ilość projektów projektowych aplikuje o dofinansowanie ze względu na skomplikowane wymogi Programu i niewielkie zainteresowanie interesariuszy</w:t>
            </w:r>
          </w:p>
        </w:tc>
        <w:tc>
          <w:tcPr>
            <w:tcW w:w="2303" w:type="dxa"/>
            <w:shd w:val="clear" w:color="auto" w:fill="auto"/>
          </w:tcPr>
          <w:p w:rsidR="003B42AD" w:rsidRPr="001268E7" w:rsidRDefault="00FE36AC" w:rsidP="001821B7">
            <w:pPr>
              <w:spacing w:before="100" w:beforeAutospacing="1" w:after="100" w:afterAutospacing="1" w:line="240" w:lineRule="auto"/>
              <w:rPr>
                <w:rFonts w:cstheme="minorHAnsi"/>
              </w:rPr>
            </w:pPr>
            <w:r w:rsidRPr="001268E7">
              <w:rPr>
                <w:rFonts w:cs="Calibri"/>
                <w:lang w:eastAsia="pl-PL"/>
              </w:rPr>
              <w:t>Wybór projektów niskiej jakości.</w:t>
            </w:r>
            <w:r w:rsidR="00C052AF" w:rsidRPr="001268E7">
              <w:rPr>
                <w:rFonts w:cstheme="minorHAnsi"/>
              </w:rPr>
              <w:t xml:space="preserve"> </w:t>
            </w:r>
            <w:r w:rsidRPr="001268E7">
              <w:rPr>
                <w:rFonts w:cs="Calibri"/>
                <w:lang w:eastAsia="pl-PL"/>
              </w:rPr>
              <w:t>Odrzucenie dużej liczby projektów ze względu na kryteria formalne.</w:t>
            </w:r>
            <w:r w:rsidR="00C052AF" w:rsidRPr="001268E7">
              <w:rPr>
                <w:rFonts w:cstheme="minorHAnsi"/>
              </w:rPr>
              <w:t xml:space="preserve"> </w:t>
            </w:r>
            <w:r w:rsidRPr="001268E7">
              <w:rPr>
                <w:rFonts w:cs="Calibri"/>
                <w:lang w:eastAsia="pl-PL"/>
              </w:rPr>
              <w:t>Ograniczenie kręgu beneficjentów głównie do beneficjentów z poprzedniego programu.</w:t>
            </w:r>
          </w:p>
        </w:tc>
        <w:tc>
          <w:tcPr>
            <w:tcW w:w="1910" w:type="dxa"/>
            <w:shd w:val="clear" w:color="auto" w:fill="auto"/>
          </w:tcPr>
          <w:p w:rsidR="003B42AD" w:rsidRPr="001268E7" w:rsidRDefault="00FE36AC" w:rsidP="001821B7">
            <w:pPr>
              <w:spacing w:before="100" w:beforeAutospacing="1" w:after="100" w:afterAutospacing="1" w:line="240" w:lineRule="auto"/>
              <w:rPr>
                <w:rFonts w:cstheme="minorHAnsi"/>
              </w:rPr>
            </w:pPr>
            <w:r w:rsidRPr="001268E7">
              <w:rPr>
                <w:rFonts w:cstheme="minorHAnsi"/>
              </w:rPr>
              <w:t>Średnie</w:t>
            </w:r>
          </w:p>
        </w:tc>
        <w:tc>
          <w:tcPr>
            <w:tcW w:w="2696" w:type="dxa"/>
            <w:shd w:val="clear" w:color="auto" w:fill="auto"/>
          </w:tcPr>
          <w:p w:rsidR="003B42AD" w:rsidRPr="001268E7" w:rsidRDefault="00FE36AC" w:rsidP="00FE36AC">
            <w:pPr>
              <w:spacing w:before="100" w:beforeAutospacing="1" w:after="100" w:afterAutospacing="1" w:line="240" w:lineRule="auto"/>
              <w:rPr>
                <w:rFonts w:cstheme="minorHAnsi"/>
              </w:rPr>
            </w:pPr>
            <w:r w:rsidRPr="001268E7">
              <w:rPr>
                <w:rFonts w:cs="Calibri"/>
                <w:lang w:eastAsia="pl-PL"/>
              </w:rPr>
              <w:t>Prowadzenie kampanii informacyjnych i szkoleń dla zainteresowanych stron.</w:t>
            </w:r>
            <w:r w:rsidR="00C052AF" w:rsidRPr="001268E7">
              <w:rPr>
                <w:rFonts w:cstheme="minorHAnsi"/>
              </w:rPr>
              <w:t xml:space="preserve"> </w:t>
            </w:r>
            <w:r w:rsidRPr="001268E7">
              <w:rPr>
                <w:rFonts w:cs="Calibri"/>
                <w:lang w:eastAsia="pl-PL"/>
              </w:rPr>
              <w:t>Stosowanie uproszczonych i przyjaznych beneficjentom procedur dla ubiegania się o środki Programu.</w:t>
            </w:r>
          </w:p>
          <w:p w:rsidR="003B42AD" w:rsidRPr="001268E7" w:rsidRDefault="003B42AD" w:rsidP="00DB1AFC">
            <w:pPr>
              <w:spacing w:before="100" w:beforeAutospacing="1" w:after="100" w:afterAutospacing="1" w:line="240" w:lineRule="auto"/>
              <w:rPr>
                <w:rFonts w:cstheme="minorHAnsi"/>
              </w:rPr>
            </w:pPr>
          </w:p>
        </w:tc>
      </w:tr>
      <w:tr w:rsidR="003B42AD" w:rsidRPr="001268E7" w:rsidTr="00563156">
        <w:tc>
          <w:tcPr>
            <w:tcW w:w="2303" w:type="dxa"/>
            <w:shd w:val="clear" w:color="auto" w:fill="auto"/>
          </w:tcPr>
          <w:p w:rsidR="003B42AD" w:rsidRPr="001268E7" w:rsidRDefault="00FE36AC" w:rsidP="001821B7">
            <w:pPr>
              <w:spacing w:before="100" w:beforeAutospacing="1" w:after="100" w:afterAutospacing="1" w:line="240" w:lineRule="auto"/>
              <w:rPr>
                <w:rFonts w:cstheme="minorHAnsi"/>
              </w:rPr>
            </w:pPr>
            <w:r w:rsidRPr="001268E7">
              <w:rPr>
                <w:rFonts w:cs="Calibri"/>
                <w:lang w:eastAsia="pl-PL"/>
              </w:rPr>
              <w:t>Powolna i słaba jakościowo realizacja zakontraktowanych projektów z powodu skomplikowanych i nieadekwatnych procedur.</w:t>
            </w:r>
          </w:p>
        </w:tc>
        <w:tc>
          <w:tcPr>
            <w:tcW w:w="2303" w:type="dxa"/>
            <w:shd w:val="clear" w:color="auto" w:fill="auto"/>
          </w:tcPr>
          <w:p w:rsidR="003B42AD" w:rsidRPr="001268E7" w:rsidRDefault="00FE36AC" w:rsidP="001821B7">
            <w:pPr>
              <w:spacing w:before="100" w:beforeAutospacing="1" w:after="100" w:afterAutospacing="1"/>
              <w:rPr>
                <w:rFonts w:cstheme="minorHAnsi"/>
              </w:rPr>
            </w:pPr>
            <w:r w:rsidRPr="001268E7">
              <w:rPr>
                <w:rFonts w:cs="Calibri"/>
                <w:lang w:eastAsia="pl-PL"/>
              </w:rPr>
              <w:t>Projekty nie otrzymują środków zgodnie z planami ich działań.</w:t>
            </w:r>
            <w:r w:rsidR="00C052AF" w:rsidRPr="001268E7">
              <w:rPr>
                <w:rFonts w:cstheme="minorHAnsi"/>
              </w:rPr>
              <w:t xml:space="preserve"> </w:t>
            </w:r>
            <w:r w:rsidRPr="001268E7">
              <w:rPr>
                <w:rFonts w:cs="Calibri"/>
                <w:lang w:eastAsia="pl-PL"/>
              </w:rPr>
              <w:t>Projekty tracą płynność finansową i wstrzymują realizację.</w:t>
            </w:r>
            <w:r w:rsidR="00C052AF" w:rsidRPr="001268E7">
              <w:rPr>
                <w:rFonts w:cstheme="minorHAnsi"/>
              </w:rPr>
              <w:t xml:space="preserve"> </w:t>
            </w:r>
            <w:r w:rsidRPr="001268E7">
              <w:rPr>
                <w:rFonts w:cstheme="minorHAnsi"/>
              </w:rPr>
              <w:t>Projekty nie osiągają swoich celów.</w:t>
            </w:r>
          </w:p>
        </w:tc>
        <w:tc>
          <w:tcPr>
            <w:tcW w:w="1910" w:type="dxa"/>
            <w:shd w:val="clear" w:color="auto" w:fill="auto"/>
          </w:tcPr>
          <w:p w:rsidR="003B42AD" w:rsidRPr="001268E7" w:rsidRDefault="00FE36AC" w:rsidP="001821B7">
            <w:pPr>
              <w:spacing w:before="100" w:beforeAutospacing="1" w:after="100" w:afterAutospacing="1" w:line="240" w:lineRule="auto"/>
              <w:rPr>
                <w:rFonts w:cstheme="minorHAnsi"/>
              </w:rPr>
            </w:pPr>
            <w:r w:rsidRPr="001268E7">
              <w:rPr>
                <w:rFonts w:cstheme="minorHAnsi"/>
              </w:rPr>
              <w:t>Średnie</w:t>
            </w:r>
          </w:p>
        </w:tc>
        <w:tc>
          <w:tcPr>
            <w:tcW w:w="2696" w:type="dxa"/>
            <w:shd w:val="clear" w:color="auto" w:fill="auto"/>
          </w:tcPr>
          <w:p w:rsidR="003B42AD" w:rsidRPr="001268E7" w:rsidRDefault="00FE36AC" w:rsidP="00BB7EC9">
            <w:pPr>
              <w:spacing w:before="100" w:beforeAutospacing="1" w:after="100" w:afterAutospacing="1" w:line="240" w:lineRule="auto"/>
              <w:rPr>
                <w:rFonts w:cstheme="minorHAnsi"/>
              </w:rPr>
            </w:pPr>
            <w:r w:rsidRPr="001268E7">
              <w:rPr>
                <w:rFonts w:cs="Calibri"/>
                <w:lang w:eastAsia="pl-PL"/>
              </w:rPr>
              <w:t>Przygotowanie prostych i przejrzystych procedur i dokumentów dotyczących sprawozdawczości i wnioskowania o wypłatę środków.</w:t>
            </w:r>
            <w:r w:rsidR="00C052AF" w:rsidRPr="001268E7">
              <w:rPr>
                <w:rFonts w:cstheme="minorHAnsi"/>
              </w:rPr>
              <w:t xml:space="preserve"> </w:t>
            </w:r>
            <w:r w:rsidR="00BB7EC9" w:rsidRPr="001268E7">
              <w:rPr>
                <w:rFonts w:cs="Calibri"/>
                <w:lang w:eastAsia="pl-PL"/>
              </w:rPr>
              <w:t>Podwyższanie kwalifikacji / prowadzenie szkoleń</w:t>
            </w:r>
            <w:r w:rsidRPr="001268E7">
              <w:rPr>
                <w:rFonts w:cs="Calibri"/>
                <w:lang w:eastAsia="pl-PL"/>
              </w:rPr>
              <w:t xml:space="preserve"> beneficjentów i organów Programu.</w:t>
            </w:r>
          </w:p>
        </w:tc>
      </w:tr>
    </w:tbl>
    <w:p w:rsidR="00BB5BC5" w:rsidRPr="00BB5BC5" w:rsidRDefault="00BB5BC5" w:rsidP="00BB5BC5">
      <w:pPr>
        <w:spacing w:after="0" w:line="240" w:lineRule="auto"/>
        <w:contextualSpacing/>
        <w:jc w:val="both"/>
        <w:rPr>
          <w:b/>
          <w:i/>
          <w:sz w:val="20"/>
          <w:lang w:val="en-US"/>
        </w:rPr>
      </w:pPr>
      <w:r w:rsidRPr="00BB5BC5">
        <w:rPr>
          <w:b/>
          <w:i/>
          <w:sz w:val="20"/>
          <w:lang w:val="en-US"/>
        </w:rPr>
        <w:t>Tabela 4. Zagrożenia Programu</w:t>
      </w:r>
    </w:p>
    <w:p w:rsidR="00996934" w:rsidRDefault="00FE36AC" w:rsidP="00FE36AC">
      <w:pPr>
        <w:spacing w:before="100" w:beforeAutospacing="1" w:after="100" w:afterAutospacing="1" w:line="240" w:lineRule="auto"/>
        <w:jc w:val="both"/>
        <w:rPr>
          <w:rFonts w:cstheme="minorHAnsi"/>
          <w:sz w:val="24"/>
          <w:szCs w:val="24"/>
        </w:rPr>
      </w:pPr>
      <w:r w:rsidRPr="001268E7">
        <w:rPr>
          <w:rFonts w:cs="Calibri"/>
          <w:sz w:val="24"/>
          <w:szCs w:val="24"/>
          <w:lang w:eastAsia="pl-PL"/>
        </w:rPr>
        <w:t>Na podstawie udokumentowanych przypadków i aktualizacji zarządzania ryzykiem i środków zarządzania ryzykiem, corocznie przeprowadzane będzie monitorowanie i ocena, które raportowane będą WKM wraz z opracowaniem raportu rocznego.</w:t>
      </w:r>
      <w:r w:rsidR="003B42AD" w:rsidRPr="001268E7">
        <w:rPr>
          <w:rFonts w:cstheme="minorHAnsi"/>
          <w:sz w:val="24"/>
          <w:szCs w:val="24"/>
        </w:rPr>
        <w:t xml:space="preserve"> </w:t>
      </w:r>
    </w:p>
    <w:p w:rsidR="007B6E78" w:rsidRPr="001268E7" w:rsidRDefault="007B6E78" w:rsidP="00D61551">
      <w:pPr>
        <w:pStyle w:val="Nagwek2"/>
      </w:pPr>
    </w:p>
    <w:p w:rsidR="003B42AD" w:rsidRPr="001268E7" w:rsidRDefault="00FE36AC" w:rsidP="00D61551">
      <w:pPr>
        <w:pStyle w:val="Nagwek2"/>
      </w:pPr>
      <w:bookmarkStart w:id="21" w:name="_Toc530737571"/>
      <w:r w:rsidRPr="001268E7">
        <w:t xml:space="preserve">2.3. </w:t>
      </w:r>
      <w:r w:rsidR="00196B7D" w:rsidRPr="001268E7">
        <w:t>Obiektywnie weryfikowalne wskaźniki</w:t>
      </w:r>
      <w:bookmarkEnd w:id="21"/>
    </w:p>
    <w:p w:rsidR="003B42AD" w:rsidRPr="001268E7" w:rsidRDefault="00196B7D" w:rsidP="00196B7D">
      <w:pPr>
        <w:rPr>
          <w:rFonts w:cstheme="minorHAnsi"/>
          <w:sz w:val="24"/>
          <w:szCs w:val="24"/>
        </w:rPr>
      </w:pPr>
      <w:r w:rsidRPr="001268E7">
        <w:rPr>
          <w:rFonts w:cstheme="minorHAnsi"/>
          <w:sz w:val="24"/>
          <w:szCs w:val="24"/>
        </w:rPr>
        <w:t>Realizacja Programu będzie mierzona za pomocą obiektywnie weryfikowalnych wskaźników.</w:t>
      </w:r>
      <w:r w:rsidR="003B42AD" w:rsidRPr="001268E7">
        <w:rPr>
          <w:rFonts w:cstheme="minorHAnsi"/>
          <w:sz w:val="24"/>
          <w:szCs w:val="24"/>
        </w:rPr>
        <w:t xml:space="preserve"> </w:t>
      </w:r>
      <w:r w:rsidRPr="001268E7">
        <w:rPr>
          <w:rFonts w:cstheme="minorHAnsi"/>
          <w:sz w:val="24"/>
          <w:szCs w:val="24"/>
        </w:rPr>
        <w:t>Biorąc pod uwagę postanowienia Rozporządzenia (UE) nr 897/2014, Program obejmuje, w szczególności:</w:t>
      </w:r>
    </w:p>
    <w:p w:rsidR="00196B7D" w:rsidRPr="001268E7" w:rsidRDefault="00196B7D" w:rsidP="00C62170">
      <w:pPr>
        <w:pStyle w:val="Akapitzlist"/>
        <w:numPr>
          <w:ilvl w:val="0"/>
          <w:numId w:val="36"/>
        </w:numPr>
        <w:spacing w:before="100" w:beforeAutospacing="1" w:after="100" w:afterAutospacing="1" w:line="240" w:lineRule="auto"/>
        <w:contextualSpacing w:val="0"/>
        <w:jc w:val="both"/>
        <w:rPr>
          <w:rFonts w:cstheme="minorHAnsi"/>
          <w:sz w:val="24"/>
          <w:szCs w:val="24"/>
        </w:rPr>
      </w:pPr>
      <w:r w:rsidRPr="001268E7">
        <w:rPr>
          <w:rFonts w:cstheme="minorHAnsi"/>
          <w:sz w:val="24"/>
          <w:szCs w:val="24"/>
        </w:rPr>
        <w:t>Spodziewane wyniki dla każdego priorytetu oraz odpowiednich wskaźników rezultatu wraz wartością bazową i wartością docelową;</w:t>
      </w:r>
    </w:p>
    <w:p w:rsidR="00196B7D" w:rsidRPr="001268E7" w:rsidRDefault="001F1AB2" w:rsidP="00C62170">
      <w:pPr>
        <w:pStyle w:val="Akapitzlist"/>
        <w:numPr>
          <w:ilvl w:val="0"/>
          <w:numId w:val="36"/>
        </w:numPr>
        <w:spacing w:before="100" w:beforeAutospacing="1" w:after="100" w:afterAutospacing="1" w:line="240" w:lineRule="auto"/>
        <w:contextualSpacing w:val="0"/>
        <w:jc w:val="both"/>
        <w:rPr>
          <w:rFonts w:cstheme="minorHAnsi"/>
          <w:sz w:val="24"/>
          <w:szCs w:val="24"/>
        </w:rPr>
      </w:pPr>
      <w:r w:rsidRPr="001268E7">
        <w:rPr>
          <w:sz w:val="24"/>
          <w:szCs w:val="24"/>
        </w:rPr>
        <w:lastRenderedPageBreak/>
        <w:t>Wskaźniki</w:t>
      </w:r>
      <w:r w:rsidR="00196B7D" w:rsidRPr="001268E7">
        <w:rPr>
          <w:sz w:val="24"/>
          <w:szCs w:val="24"/>
        </w:rPr>
        <w:t xml:space="preserve"> produktu dla każdego priorytetu, z uwzględnieniem wartości docelowej ujętej ilościowo, które mają przyczynić się do osiągnięcia wyników.</w:t>
      </w:r>
    </w:p>
    <w:p w:rsidR="002B1440" w:rsidRPr="001268E7" w:rsidRDefault="00196B7D" w:rsidP="002B4199">
      <w:pPr>
        <w:spacing w:before="100" w:beforeAutospacing="1" w:after="100" w:afterAutospacing="1" w:line="240" w:lineRule="auto"/>
        <w:jc w:val="both"/>
        <w:rPr>
          <w:rFonts w:cstheme="minorHAnsi"/>
          <w:sz w:val="24"/>
          <w:szCs w:val="24"/>
        </w:rPr>
      </w:pPr>
      <w:r w:rsidRPr="001268E7">
        <w:rPr>
          <w:rFonts w:cstheme="minorHAnsi"/>
          <w:sz w:val="24"/>
          <w:szCs w:val="24"/>
        </w:rPr>
        <w:t>Niektóre ze wskaźników produktu pochodzą ze "Ws</w:t>
      </w:r>
      <w:r w:rsidR="000E4A2C" w:rsidRPr="001268E7">
        <w:rPr>
          <w:rFonts w:cstheme="minorHAnsi"/>
          <w:sz w:val="24"/>
          <w:szCs w:val="24"/>
        </w:rPr>
        <w:t>pólnych Wskaźników Produktu" CBC</w:t>
      </w:r>
      <w:r w:rsidRPr="001268E7">
        <w:rPr>
          <w:rFonts w:cstheme="minorHAnsi"/>
          <w:sz w:val="24"/>
          <w:szCs w:val="24"/>
        </w:rPr>
        <w:t xml:space="preserve"> EIS opracowanych przez Europejską Służbę Działań Zewnętrznych (ESDZ) przy wsparciu projektu Interact</w:t>
      </w:r>
      <w:r w:rsidR="00650AC0" w:rsidRPr="001268E7">
        <w:rPr>
          <w:rFonts w:cstheme="minorHAnsi"/>
          <w:sz w:val="24"/>
          <w:szCs w:val="24"/>
        </w:rPr>
        <w:t xml:space="preserve"> </w:t>
      </w:r>
      <w:r w:rsidRPr="001268E7">
        <w:rPr>
          <w:rFonts w:cstheme="minorHAnsi"/>
          <w:sz w:val="24"/>
          <w:szCs w:val="24"/>
        </w:rPr>
        <w:t xml:space="preserve">EISP, aby </w:t>
      </w:r>
      <w:r w:rsidR="002B4199" w:rsidRPr="001268E7">
        <w:rPr>
          <w:rFonts w:cstheme="minorHAnsi"/>
          <w:sz w:val="24"/>
          <w:szCs w:val="24"/>
        </w:rPr>
        <w:t>zwiększyć odpowiedzialnoś</w:t>
      </w:r>
      <w:r w:rsidR="000E4A2C" w:rsidRPr="001268E7">
        <w:rPr>
          <w:rFonts w:cstheme="minorHAnsi"/>
          <w:sz w:val="24"/>
          <w:szCs w:val="24"/>
        </w:rPr>
        <w:t>ć i ułatwić sprawozdawczość</w:t>
      </w:r>
      <w:r w:rsidR="002B4199" w:rsidRPr="001268E7">
        <w:rPr>
          <w:rFonts w:cstheme="minorHAnsi"/>
          <w:sz w:val="24"/>
          <w:szCs w:val="24"/>
        </w:rPr>
        <w:t xml:space="preserve"> z postępu na poziomie instrumentu.</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518"/>
        <w:gridCol w:w="1690"/>
        <w:gridCol w:w="1602"/>
        <w:gridCol w:w="1985"/>
        <w:gridCol w:w="1383"/>
      </w:tblGrid>
      <w:tr w:rsidR="00EF3A80" w:rsidRPr="001268E7" w:rsidTr="002B1440">
        <w:tc>
          <w:tcPr>
            <w:tcW w:w="1569" w:type="dxa"/>
            <w:shd w:val="clear" w:color="auto" w:fill="BFBFBF" w:themeFill="background1" w:themeFillShade="BF"/>
          </w:tcPr>
          <w:p w:rsidR="003B42AD" w:rsidRPr="001268E7" w:rsidRDefault="002B4199" w:rsidP="001821B7">
            <w:pPr>
              <w:spacing w:after="0" w:line="240" w:lineRule="auto"/>
              <w:jc w:val="center"/>
              <w:rPr>
                <w:rFonts w:eastAsia="Times New Roman"/>
                <w:b/>
                <w:sz w:val="20"/>
                <w:szCs w:val="20"/>
              </w:rPr>
            </w:pPr>
            <w:r w:rsidRPr="001268E7">
              <w:rPr>
                <w:rFonts w:eastAsia="Times New Roman"/>
                <w:b/>
                <w:sz w:val="20"/>
                <w:szCs w:val="20"/>
              </w:rPr>
              <w:t>Cel Tematyczny</w:t>
            </w:r>
          </w:p>
        </w:tc>
        <w:tc>
          <w:tcPr>
            <w:tcW w:w="1518" w:type="dxa"/>
            <w:shd w:val="clear" w:color="auto" w:fill="BFBFBF" w:themeFill="background1" w:themeFillShade="BF"/>
          </w:tcPr>
          <w:p w:rsidR="003B42AD" w:rsidRPr="001268E7" w:rsidRDefault="002B4199" w:rsidP="001821B7">
            <w:pPr>
              <w:spacing w:after="0" w:line="240" w:lineRule="auto"/>
              <w:jc w:val="center"/>
              <w:rPr>
                <w:rFonts w:eastAsia="Times New Roman"/>
                <w:b/>
                <w:sz w:val="20"/>
                <w:szCs w:val="20"/>
              </w:rPr>
            </w:pPr>
            <w:r w:rsidRPr="001268E7">
              <w:rPr>
                <w:rFonts w:eastAsia="Times New Roman"/>
                <w:b/>
                <w:sz w:val="20"/>
                <w:szCs w:val="20"/>
              </w:rPr>
              <w:t>Priorytet</w:t>
            </w:r>
          </w:p>
        </w:tc>
        <w:tc>
          <w:tcPr>
            <w:tcW w:w="1690" w:type="dxa"/>
            <w:shd w:val="clear" w:color="auto" w:fill="BFBFBF" w:themeFill="background1" w:themeFillShade="BF"/>
          </w:tcPr>
          <w:p w:rsidR="003B42AD" w:rsidRPr="001268E7" w:rsidRDefault="002B4199" w:rsidP="001821B7">
            <w:pPr>
              <w:spacing w:after="0" w:line="240" w:lineRule="auto"/>
              <w:jc w:val="center"/>
              <w:rPr>
                <w:rFonts w:eastAsia="Times New Roman"/>
                <w:b/>
                <w:sz w:val="20"/>
                <w:szCs w:val="20"/>
              </w:rPr>
            </w:pPr>
            <w:r w:rsidRPr="001268E7">
              <w:rPr>
                <w:rFonts w:eastAsia="Times New Roman"/>
                <w:b/>
                <w:sz w:val="20"/>
                <w:szCs w:val="20"/>
              </w:rPr>
              <w:t>Wskaźnik Produktu</w:t>
            </w:r>
          </w:p>
        </w:tc>
        <w:tc>
          <w:tcPr>
            <w:tcW w:w="1602" w:type="dxa"/>
            <w:shd w:val="clear" w:color="auto" w:fill="BFBFBF" w:themeFill="background1" w:themeFillShade="BF"/>
          </w:tcPr>
          <w:p w:rsidR="003B42AD" w:rsidRPr="001268E7" w:rsidRDefault="002B4199" w:rsidP="002B1440">
            <w:pPr>
              <w:spacing w:after="0" w:line="240" w:lineRule="auto"/>
              <w:jc w:val="center"/>
              <w:rPr>
                <w:rFonts w:eastAsia="Times New Roman"/>
                <w:b/>
                <w:sz w:val="20"/>
                <w:szCs w:val="20"/>
              </w:rPr>
            </w:pPr>
            <w:r w:rsidRPr="001268E7">
              <w:rPr>
                <w:rFonts w:eastAsia="Times New Roman"/>
                <w:b/>
                <w:sz w:val="20"/>
                <w:szCs w:val="20"/>
              </w:rPr>
              <w:t>Wartość docelowa</w:t>
            </w:r>
          </w:p>
        </w:tc>
        <w:tc>
          <w:tcPr>
            <w:tcW w:w="1985" w:type="dxa"/>
            <w:shd w:val="clear" w:color="auto" w:fill="BFBFBF" w:themeFill="background1" w:themeFillShade="BF"/>
          </w:tcPr>
          <w:p w:rsidR="003B42AD" w:rsidRPr="001268E7" w:rsidRDefault="002B4199" w:rsidP="001821B7">
            <w:pPr>
              <w:spacing w:after="0" w:line="240" w:lineRule="auto"/>
              <w:jc w:val="center"/>
              <w:rPr>
                <w:rFonts w:eastAsia="Times New Roman"/>
                <w:b/>
                <w:sz w:val="20"/>
                <w:szCs w:val="20"/>
              </w:rPr>
            </w:pPr>
            <w:r w:rsidRPr="001268E7">
              <w:rPr>
                <w:rFonts w:eastAsia="Times New Roman"/>
                <w:b/>
                <w:sz w:val="20"/>
                <w:szCs w:val="20"/>
              </w:rPr>
              <w:t>Wskaźnik Wyniku</w:t>
            </w:r>
          </w:p>
        </w:tc>
        <w:tc>
          <w:tcPr>
            <w:tcW w:w="1383" w:type="dxa"/>
            <w:shd w:val="clear" w:color="auto" w:fill="BFBFBF" w:themeFill="background1" w:themeFillShade="BF"/>
          </w:tcPr>
          <w:p w:rsidR="003B42AD" w:rsidRPr="001268E7" w:rsidRDefault="002B4199" w:rsidP="002B1440">
            <w:pPr>
              <w:spacing w:after="0" w:line="240" w:lineRule="auto"/>
              <w:jc w:val="center"/>
              <w:rPr>
                <w:rFonts w:eastAsia="Times New Roman"/>
                <w:b/>
                <w:sz w:val="20"/>
                <w:szCs w:val="20"/>
              </w:rPr>
            </w:pPr>
            <w:r w:rsidRPr="001268E7">
              <w:rPr>
                <w:rFonts w:eastAsia="Times New Roman"/>
                <w:b/>
                <w:sz w:val="20"/>
                <w:szCs w:val="20"/>
              </w:rPr>
              <w:t>Wartość bazowa/wartość docelowa</w:t>
            </w:r>
          </w:p>
        </w:tc>
      </w:tr>
      <w:tr w:rsidR="00A9537E" w:rsidRPr="001268E7" w:rsidTr="002B1440">
        <w:trPr>
          <w:trHeight w:val="56"/>
        </w:trPr>
        <w:tc>
          <w:tcPr>
            <w:tcW w:w="1569" w:type="dxa"/>
            <w:vMerge w:val="restart"/>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b/>
                <w:sz w:val="20"/>
                <w:szCs w:val="20"/>
              </w:rPr>
              <w:t xml:space="preserve">CT 3. </w:t>
            </w:r>
            <w:r w:rsidRPr="001268E7">
              <w:rPr>
                <w:rFonts w:eastAsia="Times New Roman"/>
                <w:sz w:val="20"/>
                <w:szCs w:val="20"/>
              </w:rPr>
              <w:t>Promocja kultury lokalnej i zachowanie dziedzictwa historycznego</w:t>
            </w:r>
          </w:p>
        </w:tc>
        <w:tc>
          <w:tcPr>
            <w:tcW w:w="1518" w:type="dxa"/>
            <w:vMerge w:val="restart"/>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b/>
                <w:sz w:val="20"/>
                <w:szCs w:val="20"/>
              </w:rPr>
              <w:t xml:space="preserve">Priorytet 1. </w:t>
            </w:r>
            <w:r w:rsidRPr="001268E7">
              <w:rPr>
                <w:rFonts w:eastAsia="Times New Roman"/>
                <w:sz w:val="20"/>
                <w:szCs w:val="20"/>
              </w:rPr>
              <w:t>Współpraca w zakresie zachowania i transgranicznego rozwoju dziedzictwa historycznego, przyrodniczego i kulturowego</w:t>
            </w:r>
          </w:p>
        </w:tc>
        <w:tc>
          <w:tcPr>
            <w:tcW w:w="1690" w:type="dxa"/>
            <w:shd w:val="clear" w:color="auto" w:fill="auto"/>
            <w:vAlign w:val="center"/>
          </w:tcPr>
          <w:p w:rsidR="00A9537E" w:rsidRPr="001268E7" w:rsidRDefault="00A9537E" w:rsidP="001821B7">
            <w:pPr>
              <w:spacing w:after="0" w:line="240" w:lineRule="auto"/>
              <w:rPr>
                <w:rFonts w:eastAsia="Times New Roman"/>
                <w:b/>
                <w:sz w:val="20"/>
                <w:szCs w:val="20"/>
              </w:rPr>
            </w:pPr>
            <w:r w:rsidRPr="001268E7">
              <w:rPr>
                <w:rFonts w:eastAsia="Times New Roman"/>
                <w:b/>
                <w:sz w:val="20"/>
                <w:szCs w:val="20"/>
              </w:rPr>
              <w:t xml:space="preserve">EIS/CBC 6. </w:t>
            </w:r>
            <w:r w:rsidRPr="001268E7">
              <w:rPr>
                <w:rFonts w:eastAsia="Times New Roman"/>
                <w:sz w:val="20"/>
                <w:szCs w:val="20"/>
              </w:rPr>
              <w:t>Liczba organizacji korzystających ze wsparcia Programu na rzecz promowania kultury lokalnej i zachowania dziedzictwa historycznego</w:t>
            </w:r>
          </w:p>
        </w:tc>
        <w:tc>
          <w:tcPr>
            <w:tcW w:w="1602"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Liczba organizacji</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Większa liczba odwiedzających miejsca dziedzictwa historycznego i kulturowego</w:t>
            </w:r>
          </w:p>
        </w:tc>
        <w:tc>
          <w:tcPr>
            <w:tcW w:w="1383"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0%/2,7%</w:t>
            </w:r>
          </w:p>
        </w:tc>
      </w:tr>
      <w:tr w:rsidR="00A9537E" w:rsidRPr="001268E7" w:rsidTr="00A9537E">
        <w:trPr>
          <w:trHeight w:val="850"/>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602"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9(13*)</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383" w:type="dxa"/>
            <w:shd w:val="clear" w:color="auto" w:fill="auto"/>
            <w:vAlign w:val="center"/>
          </w:tcPr>
          <w:p w:rsidR="00A9537E" w:rsidRPr="001268E7" w:rsidRDefault="00A9537E" w:rsidP="00E50C2E">
            <w:pPr>
              <w:spacing w:after="0" w:line="240" w:lineRule="auto"/>
              <w:rPr>
                <w:rFonts w:eastAsia="Times New Roman"/>
                <w:sz w:val="20"/>
                <w:szCs w:val="20"/>
              </w:rPr>
            </w:pPr>
          </w:p>
        </w:tc>
      </w:tr>
      <w:tr w:rsidR="00A9537E" w:rsidRPr="001268E7" w:rsidTr="002B1440">
        <w:trPr>
          <w:trHeight w:val="1107"/>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Liczba ulepszonych miejsc kulturowych, historycznych, turystycznych i przyrodniczych bezpośrednio w wyniku wsparcia Programu</w:t>
            </w:r>
          </w:p>
        </w:tc>
        <w:tc>
          <w:tcPr>
            <w:tcW w:w="1602" w:type="dxa"/>
            <w:shd w:val="clear" w:color="auto" w:fill="auto"/>
            <w:vAlign w:val="center"/>
          </w:tcPr>
          <w:p w:rsidR="00A9537E" w:rsidRDefault="00A9537E" w:rsidP="00E50C2E">
            <w:pPr>
              <w:spacing w:after="0" w:line="240" w:lineRule="auto"/>
              <w:rPr>
                <w:rFonts w:eastAsia="Times New Roman"/>
                <w:sz w:val="20"/>
                <w:szCs w:val="20"/>
              </w:rPr>
            </w:pPr>
            <w:r>
              <w:rPr>
                <w:rFonts w:eastAsia="Times New Roman"/>
                <w:sz w:val="20"/>
                <w:szCs w:val="20"/>
              </w:rPr>
              <w:t>Miejsca kulturalne, historyczne, turystyc zne i przyrodnicze</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Większa liczba odwiedzających miejsca dziedzictwa historycznego i przyrodniczego oraz obiekty kulturowe</w:t>
            </w:r>
          </w:p>
        </w:tc>
        <w:tc>
          <w:tcPr>
            <w:tcW w:w="1383"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0%/6%</w:t>
            </w:r>
          </w:p>
        </w:tc>
      </w:tr>
      <w:tr w:rsidR="00A9537E" w:rsidRPr="001268E7" w:rsidTr="00A9537E">
        <w:trPr>
          <w:trHeight w:val="641"/>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602" w:type="dxa"/>
            <w:shd w:val="clear" w:color="auto" w:fill="auto"/>
            <w:vAlign w:val="center"/>
          </w:tcPr>
          <w:p w:rsidR="00A9537E" w:rsidRDefault="00A9537E" w:rsidP="00E50C2E">
            <w:pPr>
              <w:spacing w:after="0" w:line="240" w:lineRule="auto"/>
              <w:rPr>
                <w:rFonts w:eastAsia="Times New Roman"/>
                <w:sz w:val="20"/>
                <w:szCs w:val="20"/>
              </w:rPr>
            </w:pPr>
            <w:r>
              <w:rPr>
                <w:rFonts w:eastAsia="Times New Roman"/>
                <w:sz w:val="20"/>
                <w:szCs w:val="20"/>
              </w:rPr>
              <w:t>92(18*)</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383" w:type="dxa"/>
            <w:shd w:val="clear" w:color="auto" w:fill="auto"/>
            <w:vAlign w:val="center"/>
          </w:tcPr>
          <w:p w:rsidR="00A9537E" w:rsidRDefault="00A9537E" w:rsidP="00E50C2E">
            <w:pPr>
              <w:spacing w:after="0" w:line="240" w:lineRule="auto"/>
              <w:rPr>
                <w:rFonts w:eastAsia="Times New Roman"/>
                <w:sz w:val="20"/>
                <w:szCs w:val="20"/>
              </w:rPr>
            </w:pPr>
          </w:p>
        </w:tc>
      </w:tr>
      <w:tr w:rsidR="00A9537E" w:rsidRPr="001268E7" w:rsidTr="00A9537E">
        <w:trPr>
          <w:trHeight w:val="775"/>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 xml:space="preserve"> Liczba transgranicznych wydarzeń kulturalnych zorganizowanych dzięki wsparciu Programu</w:t>
            </w:r>
          </w:p>
        </w:tc>
        <w:tc>
          <w:tcPr>
            <w:tcW w:w="1602"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Wydarzenia kulturalne</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Większa liczba odwiedzających obiekty kulturowe</w:t>
            </w:r>
          </w:p>
        </w:tc>
        <w:tc>
          <w:tcPr>
            <w:tcW w:w="1383"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0%/2,5%</w:t>
            </w:r>
          </w:p>
        </w:tc>
      </w:tr>
      <w:tr w:rsidR="00A9537E" w:rsidRPr="001268E7" w:rsidTr="00A9537E">
        <w:trPr>
          <w:trHeight w:val="675"/>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602" w:type="dxa"/>
            <w:shd w:val="clear" w:color="auto" w:fill="auto"/>
            <w:vAlign w:val="center"/>
          </w:tcPr>
          <w:p w:rsidR="00A9537E" w:rsidRDefault="00A9537E" w:rsidP="00E50C2E">
            <w:pPr>
              <w:spacing w:after="0" w:line="240" w:lineRule="auto"/>
              <w:rPr>
                <w:rFonts w:eastAsia="Times New Roman"/>
                <w:sz w:val="20"/>
                <w:szCs w:val="20"/>
              </w:rPr>
            </w:pPr>
            <w:r>
              <w:rPr>
                <w:rFonts w:eastAsia="Times New Roman"/>
                <w:sz w:val="20"/>
                <w:szCs w:val="20"/>
              </w:rPr>
              <w:t>22(9*)</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383" w:type="dxa"/>
            <w:shd w:val="clear" w:color="auto" w:fill="auto"/>
            <w:vAlign w:val="center"/>
          </w:tcPr>
          <w:p w:rsidR="00A9537E" w:rsidRDefault="00A9537E" w:rsidP="00E50C2E">
            <w:pPr>
              <w:spacing w:after="0" w:line="240" w:lineRule="auto"/>
              <w:rPr>
                <w:rFonts w:eastAsia="Times New Roman"/>
                <w:sz w:val="20"/>
                <w:szCs w:val="20"/>
              </w:rPr>
            </w:pPr>
          </w:p>
        </w:tc>
      </w:tr>
      <w:tr w:rsidR="00A9537E" w:rsidRPr="001268E7" w:rsidTr="00A9537E">
        <w:trPr>
          <w:trHeight w:val="883"/>
        </w:trPr>
        <w:tc>
          <w:tcPr>
            <w:tcW w:w="1569" w:type="dxa"/>
            <w:vMerge w:val="restart"/>
            <w:shd w:val="clear" w:color="auto" w:fill="auto"/>
            <w:vAlign w:val="center"/>
          </w:tcPr>
          <w:p w:rsidR="00A9537E" w:rsidRPr="001268E7" w:rsidRDefault="00A9537E" w:rsidP="001821B7">
            <w:pPr>
              <w:spacing w:after="0" w:line="240" w:lineRule="auto"/>
              <w:rPr>
                <w:rFonts w:eastAsia="Times New Roman"/>
                <w:b/>
                <w:sz w:val="20"/>
                <w:szCs w:val="20"/>
              </w:rPr>
            </w:pPr>
            <w:r w:rsidRPr="001268E7">
              <w:rPr>
                <w:rFonts w:eastAsia="Times New Roman"/>
                <w:b/>
                <w:sz w:val="20"/>
                <w:szCs w:val="20"/>
              </w:rPr>
              <w:t xml:space="preserve">CT 6. </w:t>
            </w:r>
            <w:r w:rsidRPr="001268E7">
              <w:rPr>
                <w:rFonts w:eastAsia="Times New Roman"/>
                <w:sz w:val="20"/>
                <w:szCs w:val="20"/>
              </w:rPr>
              <w:t>Ochrona środowiska, łagodzenie zmian klimatycznych i adaptacja</w:t>
            </w:r>
          </w:p>
        </w:tc>
        <w:tc>
          <w:tcPr>
            <w:tcW w:w="1518" w:type="dxa"/>
            <w:vMerge w:val="restart"/>
            <w:shd w:val="clear" w:color="auto" w:fill="auto"/>
            <w:vAlign w:val="center"/>
          </w:tcPr>
          <w:p w:rsidR="00A9537E" w:rsidRPr="001268E7" w:rsidRDefault="00A9537E" w:rsidP="001821B7">
            <w:pPr>
              <w:spacing w:after="0" w:line="240" w:lineRule="auto"/>
              <w:rPr>
                <w:rFonts w:eastAsia="Times New Roman"/>
                <w:b/>
                <w:sz w:val="20"/>
                <w:szCs w:val="20"/>
              </w:rPr>
            </w:pPr>
            <w:r w:rsidRPr="001268E7">
              <w:rPr>
                <w:rFonts w:eastAsia="Times New Roman"/>
                <w:b/>
                <w:sz w:val="20"/>
                <w:szCs w:val="20"/>
              </w:rPr>
              <w:t xml:space="preserve">Priorytet 2. </w:t>
            </w:r>
            <w:r w:rsidRPr="001268E7">
              <w:rPr>
                <w:rFonts w:eastAsia="Times New Roman"/>
                <w:sz w:val="20"/>
                <w:szCs w:val="20"/>
              </w:rPr>
              <w:t>Współpraca na rzecz czystego środowiska naturalnego na obszarze transgraniczny</w:t>
            </w:r>
            <w:r w:rsidRPr="001268E7">
              <w:rPr>
                <w:rFonts w:eastAsia="Times New Roman"/>
                <w:sz w:val="20"/>
                <w:szCs w:val="20"/>
              </w:rPr>
              <w:lastRenderedPageBreak/>
              <w:t>m</w:t>
            </w: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lastRenderedPageBreak/>
              <w:t xml:space="preserve">Dodatkowa liczba osób korzystających z ulepszonej kanalizacji lub systemów oczyszczania </w:t>
            </w:r>
            <w:r w:rsidRPr="001268E7">
              <w:rPr>
                <w:rFonts w:eastAsia="Times New Roman"/>
                <w:sz w:val="20"/>
                <w:szCs w:val="20"/>
              </w:rPr>
              <w:lastRenderedPageBreak/>
              <w:t>ścieków</w:t>
            </w:r>
          </w:p>
        </w:tc>
        <w:tc>
          <w:tcPr>
            <w:tcW w:w="1602" w:type="dxa"/>
            <w:shd w:val="clear" w:color="auto" w:fill="auto"/>
            <w:vAlign w:val="center"/>
          </w:tcPr>
          <w:p w:rsidR="00A9537E" w:rsidRPr="001268E7" w:rsidRDefault="00A9537E" w:rsidP="00A9537E">
            <w:pPr>
              <w:spacing w:after="0" w:line="240" w:lineRule="auto"/>
              <w:rPr>
                <w:rFonts w:eastAsia="Times New Roman"/>
                <w:sz w:val="20"/>
                <w:szCs w:val="20"/>
              </w:rPr>
            </w:pPr>
            <w:r>
              <w:rPr>
                <w:rFonts w:eastAsia="Times New Roman"/>
                <w:sz w:val="20"/>
                <w:szCs w:val="20"/>
              </w:rPr>
              <w:lastRenderedPageBreak/>
              <w:t xml:space="preserve">Odpowiednik populacji </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Procent populacji korzystającej z ulepszonej kanalizacji lub systemów oczyszczania ścieków</w:t>
            </w:r>
          </w:p>
        </w:tc>
        <w:tc>
          <w:tcPr>
            <w:tcW w:w="1383"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0%/0,43% (0,13%*)</w:t>
            </w:r>
          </w:p>
        </w:tc>
      </w:tr>
      <w:tr w:rsidR="00A9537E" w:rsidRPr="001268E7" w:rsidTr="002B1440">
        <w:trPr>
          <w:trHeight w:val="883"/>
        </w:trPr>
        <w:tc>
          <w:tcPr>
            <w:tcW w:w="1569" w:type="dxa"/>
            <w:vMerge/>
            <w:shd w:val="clear" w:color="auto" w:fill="auto"/>
            <w:vAlign w:val="center"/>
          </w:tcPr>
          <w:p w:rsidR="00A9537E" w:rsidRPr="001268E7" w:rsidRDefault="00A9537E" w:rsidP="001821B7">
            <w:pPr>
              <w:spacing w:after="0" w:line="240" w:lineRule="auto"/>
              <w:rPr>
                <w:rFonts w:eastAsia="Times New Roman"/>
                <w:b/>
                <w:sz w:val="20"/>
                <w:szCs w:val="20"/>
              </w:rPr>
            </w:pPr>
          </w:p>
        </w:tc>
        <w:tc>
          <w:tcPr>
            <w:tcW w:w="1518" w:type="dxa"/>
            <w:vMerge/>
            <w:shd w:val="clear" w:color="auto" w:fill="auto"/>
            <w:vAlign w:val="center"/>
          </w:tcPr>
          <w:p w:rsidR="00A9537E" w:rsidRPr="001268E7" w:rsidRDefault="00A9537E" w:rsidP="001821B7">
            <w:pPr>
              <w:spacing w:after="0" w:line="240" w:lineRule="auto"/>
              <w:rPr>
                <w:rFonts w:eastAsia="Times New Roman"/>
                <w:b/>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602" w:type="dxa"/>
            <w:shd w:val="clear" w:color="auto" w:fill="auto"/>
            <w:vAlign w:val="center"/>
          </w:tcPr>
          <w:p w:rsidR="00A9537E" w:rsidRDefault="00A9537E" w:rsidP="00E50C2E">
            <w:pPr>
              <w:spacing w:after="0" w:line="240" w:lineRule="auto"/>
              <w:rPr>
                <w:rFonts w:eastAsia="Times New Roman"/>
                <w:sz w:val="20"/>
                <w:szCs w:val="20"/>
              </w:rPr>
            </w:pPr>
            <w:r>
              <w:rPr>
                <w:rFonts w:eastAsia="Times New Roman"/>
                <w:sz w:val="20"/>
                <w:szCs w:val="20"/>
              </w:rPr>
              <w:t>22 799 (6 805*)</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383" w:type="dxa"/>
            <w:shd w:val="clear" w:color="auto" w:fill="auto"/>
            <w:vAlign w:val="center"/>
          </w:tcPr>
          <w:p w:rsidR="00A9537E" w:rsidRDefault="00A9537E" w:rsidP="00E50C2E">
            <w:pPr>
              <w:spacing w:after="0" w:line="240" w:lineRule="auto"/>
              <w:rPr>
                <w:rFonts w:eastAsia="Times New Roman"/>
                <w:sz w:val="20"/>
                <w:szCs w:val="20"/>
              </w:rPr>
            </w:pPr>
          </w:p>
        </w:tc>
      </w:tr>
      <w:tr w:rsidR="00A9537E" w:rsidRPr="001268E7" w:rsidTr="00A9537E">
        <w:trPr>
          <w:trHeight w:val="1549"/>
        </w:trPr>
        <w:tc>
          <w:tcPr>
            <w:tcW w:w="1569" w:type="dxa"/>
            <w:vMerge/>
            <w:shd w:val="clear" w:color="auto" w:fill="auto"/>
            <w:vAlign w:val="center"/>
          </w:tcPr>
          <w:p w:rsidR="00A9537E" w:rsidRPr="001268E7" w:rsidRDefault="00A9537E" w:rsidP="001821B7">
            <w:pPr>
              <w:spacing w:after="0" w:line="240" w:lineRule="auto"/>
              <w:rPr>
                <w:rFonts w:eastAsia="Times New Roman"/>
                <w:b/>
                <w:sz w:val="20"/>
                <w:szCs w:val="20"/>
              </w:rPr>
            </w:pPr>
          </w:p>
        </w:tc>
        <w:tc>
          <w:tcPr>
            <w:tcW w:w="1518" w:type="dxa"/>
            <w:vMerge/>
            <w:shd w:val="clear" w:color="auto" w:fill="auto"/>
            <w:vAlign w:val="center"/>
          </w:tcPr>
          <w:p w:rsidR="00A9537E" w:rsidRPr="001268E7" w:rsidRDefault="00A9537E" w:rsidP="001821B7">
            <w:pPr>
              <w:spacing w:after="0" w:line="240" w:lineRule="auto"/>
              <w:rPr>
                <w:rFonts w:eastAsia="Times New Roman"/>
                <w:b/>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 xml:space="preserve">Dodatkowa zdolność do oczyszczalnia ścieków i przetwarzania odpadów </w:t>
            </w:r>
          </w:p>
        </w:tc>
        <w:tc>
          <w:tcPr>
            <w:tcW w:w="1602"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Odpowiednik</w:t>
            </w:r>
            <w:r w:rsidR="00343507">
              <w:rPr>
                <w:rFonts w:eastAsia="Times New Roman"/>
                <w:sz w:val="20"/>
                <w:szCs w:val="20"/>
              </w:rPr>
              <w:t xml:space="preserve"> populacja</w:t>
            </w:r>
            <w:r>
              <w:rPr>
                <w:rFonts w:eastAsia="Times New Roman"/>
                <w:sz w:val="20"/>
                <w:szCs w:val="20"/>
              </w:rPr>
              <w:t>/dzień lub tona/dzień</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 xml:space="preserve">Procent populacji korzystającej z rozbudowanych systemów oczyszczania ścieków lub przetwarzania odpadów / procentowa poprawa statusu/klasy wody. </w:t>
            </w:r>
          </w:p>
        </w:tc>
        <w:tc>
          <w:tcPr>
            <w:tcW w:w="1383"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0%/0,3%(0,0%*)</w:t>
            </w:r>
          </w:p>
        </w:tc>
      </w:tr>
      <w:tr w:rsidR="00A9537E" w:rsidRPr="001268E7" w:rsidTr="00A9537E">
        <w:trPr>
          <w:trHeight w:val="992"/>
        </w:trPr>
        <w:tc>
          <w:tcPr>
            <w:tcW w:w="1569" w:type="dxa"/>
            <w:vMerge/>
            <w:shd w:val="clear" w:color="auto" w:fill="auto"/>
            <w:vAlign w:val="center"/>
          </w:tcPr>
          <w:p w:rsidR="00A9537E" w:rsidRPr="001268E7" w:rsidRDefault="00A9537E" w:rsidP="001821B7">
            <w:pPr>
              <w:spacing w:after="0" w:line="240" w:lineRule="auto"/>
              <w:rPr>
                <w:rFonts w:eastAsia="Times New Roman"/>
                <w:b/>
                <w:sz w:val="20"/>
                <w:szCs w:val="20"/>
              </w:rPr>
            </w:pPr>
          </w:p>
        </w:tc>
        <w:tc>
          <w:tcPr>
            <w:tcW w:w="1518" w:type="dxa"/>
            <w:vMerge/>
            <w:shd w:val="clear" w:color="auto" w:fill="auto"/>
            <w:vAlign w:val="center"/>
          </w:tcPr>
          <w:p w:rsidR="00A9537E" w:rsidRPr="001268E7" w:rsidRDefault="00A9537E" w:rsidP="001821B7">
            <w:pPr>
              <w:spacing w:after="0" w:line="240" w:lineRule="auto"/>
              <w:rPr>
                <w:rFonts w:eastAsia="Times New Roman"/>
                <w:b/>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602" w:type="dxa"/>
            <w:shd w:val="clear" w:color="auto" w:fill="auto"/>
            <w:vAlign w:val="center"/>
          </w:tcPr>
          <w:p w:rsidR="00A9537E" w:rsidRDefault="00A9537E" w:rsidP="00E50C2E">
            <w:pPr>
              <w:spacing w:after="0" w:line="240" w:lineRule="auto"/>
              <w:rPr>
                <w:rFonts w:eastAsia="Times New Roman"/>
                <w:sz w:val="20"/>
                <w:szCs w:val="20"/>
              </w:rPr>
            </w:pPr>
            <w:r>
              <w:rPr>
                <w:rFonts w:eastAsia="Times New Roman"/>
                <w:sz w:val="20"/>
                <w:szCs w:val="20"/>
              </w:rPr>
              <w:t>3 220</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p>
        </w:tc>
        <w:tc>
          <w:tcPr>
            <w:tcW w:w="1383" w:type="dxa"/>
            <w:shd w:val="clear" w:color="auto" w:fill="auto"/>
            <w:vAlign w:val="center"/>
          </w:tcPr>
          <w:p w:rsidR="00A9537E" w:rsidRDefault="00A9537E" w:rsidP="00E50C2E">
            <w:pPr>
              <w:spacing w:after="0" w:line="240" w:lineRule="auto"/>
              <w:rPr>
                <w:rFonts w:eastAsia="Times New Roman"/>
                <w:sz w:val="20"/>
                <w:szCs w:val="20"/>
              </w:rPr>
            </w:pPr>
          </w:p>
        </w:tc>
      </w:tr>
      <w:tr w:rsidR="00A9537E" w:rsidRPr="001268E7" w:rsidTr="00A9537E">
        <w:trPr>
          <w:trHeight w:val="1549"/>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Liczba projektów mających na celu poprawę zaopatrzenia w wodę</w:t>
            </w:r>
          </w:p>
        </w:tc>
        <w:tc>
          <w:tcPr>
            <w:tcW w:w="1602"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Projekt</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r w:rsidRPr="001268E7">
              <w:rPr>
                <w:rFonts w:eastAsia="Times New Roman"/>
                <w:sz w:val="20"/>
                <w:szCs w:val="20"/>
              </w:rPr>
              <w:t>Procent populacji korzystającej z ulepszonego zaopatrzenia w wodę</w:t>
            </w:r>
          </w:p>
        </w:tc>
        <w:tc>
          <w:tcPr>
            <w:tcW w:w="1383" w:type="dxa"/>
            <w:shd w:val="clear" w:color="auto" w:fill="auto"/>
            <w:vAlign w:val="center"/>
          </w:tcPr>
          <w:p w:rsidR="00A9537E" w:rsidRPr="001268E7" w:rsidRDefault="00A9537E" w:rsidP="00E50C2E">
            <w:pPr>
              <w:spacing w:after="0" w:line="240" w:lineRule="auto"/>
              <w:rPr>
                <w:rFonts w:eastAsia="Times New Roman"/>
                <w:sz w:val="20"/>
                <w:szCs w:val="20"/>
              </w:rPr>
            </w:pPr>
            <w:r>
              <w:rPr>
                <w:rFonts w:eastAsia="Times New Roman"/>
                <w:sz w:val="20"/>
                <w:szCs w:val="20"/>
              </w:rPr>
              <w:t>0%/1,7%(0,6%)</w:t>
            </w:r>
          </w:p>
        </w:tc>
      </w:tr>
      <w:tr w:rsidR="00A9537E" w:rsidRPr="001268E7" w:rsidTr="00A9537E">
        <w:trPr>
          <w:trHeight w:val="679"/>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tcPr>
          <w:p w:rsidR="00A9537E" w:rsidRPr="001268E7" w:rsidRDefault="00A9537E" w:rsidP="00A9537E">
            <w:pPr>
              <w:spacing w:after="0" w:line="240" w:lineRule="auto"/>
              <w:jc w:val="center"/>
              <w:rPr>
                <w:rFonts w:eastAsia="Times New Roman"/>
                <w:sz w:val="20"/>
                <w:szCs w:val="20"/>
              </w:rPr>
            </w:pPr>
          </w:p>
        </w:tc>
        <w:tc>
          <w:tcPr>
            <w:tcW w:w="1602" w:type="dxa"/>
            <w:shd w:val="clear" w:color="auto" w:fill="auto"/>
          </w:tcPr>
          <w:p w:rsidR="00A9537E" w:rsidRDefault="00A9537E" w:rsidP="00A9537E">
            <w:pPr>
              <w:spacing w:after="0" w:line="240" w:lineRule="auto"/>
              <w:jc w:val="center"/>
              <w:rPr>
                <w:rFonts w:eastAsia="Times New Roman"/>
                <w:sz w:val="20"/>
                <w:szCs w:val="20"/>
              </w:rPr>
            </w:pPr>
          </w:p>
          <w:p w:rsidR="00A9537E" w:rsidRDefault="00A9537E" w:rsidP="00A9537E">
            <w:pPr>
              <w:spacing w:after="0" w:line="240" w:lineRule="auto"/>
              <w:rPr>
                <w:rFonts w:eastAsia="Times New Roman"/>
                <w:sz w:val="20"/>
                <w:szCs w:val="20"/>
              </w:rPr>
            </w:pPr>
            <w:r>
              <w:rPr>
                <w:rFonts w:eastAsia="Times New Roman"/>
                <w:sz w:val="20"/>
                <w:szCs w:val="20"/>
              </w:rPr>
              <w:t>2(1*)</w:t>
            </w:r>
          </w:p>
        </w:tc>
        <w:tc>
          <w:tcPr>
            <w:tcW w:w="1985" w:type="dxa"/>
            <w:shd w:val="clear" w:color="auto" w:fill="auto"/>
          </w:tcPr>
          <w:p w:rsidR="00A9537E" w:rsidRPr="001268E7" w:rsidRDefault="00A9537E" w:rsidP="00A9537E">
            <w:pPr>
              <w:spacing w:after="0" w:line="240" w:lineRule="auto"/>
              <w:jc w:val="center"/>
              <w:rPr>
                <w:rFonts w:eastAsia="Times New Roman"/>
                <w:sz w:val="20"/>
                <w:szCs w:val="20"/>
              </w:rPr>
            </w:pPr>
          </w:p>
        </w:tc>
        <w:tc>
          <w:tcPr>
            <w:tcW w:w="1383" w:type="dxa"/>
            <w:shd w:val="clear" w:color="auto" w:fill="auto"/>
          </w:tcPr>
          <w:p w:rsidR="00A9537E" w:rsidRDefault="00A9537E" w:rsidP="00A9537E">
            <w:pPr>
              <w:spacing w:after="0" w:line="240" w:lineRule="auto"/>
              <w:jc w:val="center"/>
              <w:rPr>
                <w:rFonts w:eastAsia="Times New Roman"/>
                <w:sz w:val="20"/>
                <w:szCs w:val="20"/>
              </w:rPr>
            </w:pPr>
          </w:p>
        </w:tc>
      </w:tr>
      <w:tr w:rsidR="00A9537E" w:rsidRPr="001268E7" w:rsidTr="00A9537E">
        <w:trPr>
          <w:trHeight w:val="1325"/>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Pr="001268E7" w:rsidRDefault="00A9537E" w:rsidP="001821B7">
            <w:pPr>
              <w:spacing w:after="0" w:line="240" w:lineRule="auto"/>
              <w:rPr>
                <w:rFonts w:eastAsia="Times New Roman"/>
                <w:sz w:val="20"/>
                <w:szCs w:val="20"/>
              </w:rPr>
            </w:pPr>
            <w:r>
              <w:rPr>
                <w:rFonts w:eastAsia="Times New Roman"/>
                <w:sz w:val="20"/>
                <w:szCs w:val="20"/>
              </w:rPr>
              <w:t>Liczba wspólnych działań mających na celu ochronę środowiska lub przeciwdziałanie zmianom klimatu</w:t>
            </w:r>
          </w:p>
        </w:tc>
        <w:tc>
          <w:tcPr>
            <w:tcW w:w="1602" w:type="dxa"/>
            <w:shd w:val="clear" w:color="auto" w:fill="auto"/>
            <w:vAlign w:val="center"/>
          </w:tcPr>
          <w:p w:rsidR="00A9537E" w:rsidRPr="001268E7" w:rsidRDefault="00343507" w:rsidP="00E50C2E">
            <w:pPr>
              <w:spacing w:after="0" w:line="240" w:lineRule="auto"/>
              <w:rPr>
                <w:rFonts w:eastAsia="Times New Roman"/>
                <w:sz w:val="20"/>
                <w:szCs w:val="20"/>
              </w:rPr>
            </w:pPr>
            <w:r>
              <w:rPr>
                <w:rFonts w:eastAsia="Times New Roman"/>
                <w:sz w:val="20"/>
                <w:szCs w:val="20"/>
              </w:rPr>
              <w:t>Projekt/działanie</w:t>
            </w:r>
          </w:p>
        </w:tc>
        <w:tc>
          <w:tcPr>
            <w:tcW w:w="1985" w:type="dxa"/>
            <w:shd w:val="clear" w:color="auto" w:fill="auto"/>
            <w:vAlign w:val="center"/>
          </w:tcPr>
          <w:p w:rsidR="00A9537E" w:rsidRPr="001268E7" w:rsidRDefault="00A9537E" w:rsidP="001821B7">
            <w:pPr>
              <w:spacing w:after="0" w:line="240" w:lineRule="auto"/>
              <w:rPr>
                <w:rFonts w:eastAsia="Times New Roman"/>
                <w:sz w:val="20"/>
                <w:szCs w:val="20"/>
              </w:rPr>
            </w:pPr>
            <w:r>
              <w:rPr>
                <w:rFonts w:eastAsia="Times New Roman"/>
                <w:sz w:val="20"/>
                <w:szCs w:val="20"/>
              </w:rPr>
              <w:t>Procent populacji korzystających z działań chroniących środowisko lub przeciwdziałających zmianom klimatu</w:t>
            </w:r>
          </w:p>
        </w:tc>
        <w:tc>
          <w:tcPr>
            <w:tcW w:w="1383" w:type="dxa"/>
            <w:shd w:val="clear" w:color="auto" w:fill="auto"/>
            <w:vAlign w:val="center"/>
          </w:tcPr>
          <w:p w:rsidR="00A9537E" w:rsidRPr="001268E7" w:rsidRDefault="00343507" w:rsidP="00E50C2E">
            <w:pPr>
              <w:spacing w:after="0" w:line="240" w:lineRule="auto"/>
              <w:rPr>
                <w:rFonts w:eastAsia="Times New Roman"/>
                <w:sz w:val="20"/>
                <w:szCs w:val="20"/>
              </w:rPr>
            </w:pPr>
            <w:r>
              <w:rPr>
                <w:rFonts w:eastAsia="Times New Roman"/>
                <w:sz w:val="20"/>
                <w:szCs w:val="20"/>
              </w:rPr>
              <w:t>0%/1,7%(0,6%*)</w:t>
            </w:r>
          </w:p>
        </w:tc>
      </w:tr>
      <w:tr w:rsidR="00A9537E" w:rsidRPr="001268E7" w:rsidTr="00A9537E">
        <w:trPr>
          <w:trHeight w:val="864"/>
        </w:trPr>
        <w:tc>
          <w:tcPr>
            <w:tcW w:w="1569"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518" w:type="dxa"/>
            <w:vMerge/>
            <w:shd w:val="clear" w:color="auto" w:fill="auto"/>
            <w:vAlign w:val="center"/>
          </w:tcPr>
          <w:p w:rsidR="00A9537E" w:rsidRPr="001268E7" w:rsidRDefault="00A9537E" w:rsidP="00E50C2E">
            <w:pPr>
              <w:spacing w:after="0" w:line="240" w:lineRule="auto"/>
              <w:rPr>
                <w:rFonts w:eastAsia="Times New Roman"/>
                <w:sz w:val="20"/>
                <w:szCs w:val="20"/>
              </w:rPr>
            </w:pPr>
          </w:p>
        </w:tc>
        <w:tc>
          <w:tcPr>
            <w:tcW w:w="1690" w:type="dxa"/>
            <w:shd w:val="clear" w:color="auto" w:fill="auto"/>
            <w:vAlign w:val="center"/>
          </w:tcPr>
          <w:p w:rsidR="00A9537E" w:rsidRDefault="00A9537E" w:rsidP="001821B7">
            <w:pPr>
              <w:spacing w:after="0" w:line="240" w:lineRule="auto"/>
              <w:rPr>
                <w:rFonts w:eastAsia="Times New Roman"/>
                <w:sz w:val="20"/>
                <w:szCs w:val="20"/>
              </w:rPr>
            </w:pPr>
          </w:p>
        </w:tc>
        <w:tc>
          <w:tcPr>
            <w:tcW w:w="1602" w:type="dxa"/>
            <w:shd w:val="clear" w:color="auto" w:fill="auto"/>
            <w:vAlign w:val="center"/>
          </w:tcPr>
          <w:p w:rsidR="00A9537E" w:rsidRDefault="00343507" w:rsidP="00E50C2E">
            <w:pPr>
              <w:spacing w:after="0" w:line="240" w:lineRule="auto"/>
              <w:rPr>
                <w:rFonts w:eastAsia="Times New Roman"/>
                <w:sz w:val="20"/>
                <w:szCs w:val="20"/>
              </w:rPr>
            </w:pPr>
            <w:r>
              <w:rPr>
                <w:rFonts w:eastAsia="Times New Roman"/>
                <w:sz w:val="20"/>
                <w:szCs w:val="20"/>
              </w:rPr>
              <w:t>3</w:t>
            </w:r>
          </w:p>
        </w:tc>
        <w:tc>
          <w:tcPr>
            <w:tcW w:w="1985" w:type="dxa"/>
            <w:shd w:val="clear" w:color="auto" w:fill="auto"/>
            <w:vAlign w:val="center"/>
          </w:tcPr>
          <w:p w:rsidR="00A9537E" w:rsidRDefault="00A9537E" w:rsidP="001821B7">
            <w:pPr>
              <w:spacing w:after="0" w:line="240" w:lineRule="auto"/>
              <w:rPr>
                <w:rFonts w:eastAsia="Times New Roman"/>
                <w:sz w:val="20"/>
                <w:szCs w:val="20"/>
              </w:rPr>
            </w:pPr>
          </w:p>
        </w:tc>
        <w:tc>
          <w:tcPr>
            <w:tcW w:w="1383" w:type="dxa"/>
            <w:shd w:val="clear" w:color="auto" w:fill="auto"/>
            <w:vAlign w:val="center"/>
          </w:tcPr>
          <w:p w:rsidR="00A9537E" w:rsidRDefault="00A9537E" w:rsidP="00E50C2E">
            <w:pPr>
              <w:spacing w:after="0" w:line="240" w:lineRule="auto"/>
              <w:rPr>
                <w:rFonts w:eastAsia="Times New Roman"/>
                <w:sz w:val="20"/>
                <w:szCs w:val="20"/>
              </w:rPr>
            </w:pPr>
          </w:p>
        </w:tc>
      </w:tr>
      <w:tr w:rsidR="00343507" w:rsidRPr="001268E7" w:rsidTr="002B1440">
        <w:trPr>
          <w:trHeight w:val="810"/>
        </w:trPr>
        <w:tc>
          <w:tcPr>
            <w:tcW w:w="1569" w:type="dxa"/>
            <w:vMerge w:val="restart"/>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b/>
                <w:sz w:val="20"/>
                <w:szCs w:val="20"/>
              </w:rPr>
              <w:t xml:space="preserve">CT 7. </w:t>
            </w:r>
            <w:r w:rsidRPr="001268E7">
              <w:rPr>
                <w:rFonts w:eastAsia="Times New Roman"/>
                <w:sz w:val="20"/>
                <w:szCs w:val="20"/>
              </w:rPr>
              <w:t>Poprawa dostępności regionów, rozwoju trwałego i odpornego na klimat transportu oraz sieci i systemów komunikacyjnych</w:t>
            </w:r>
          </w:p>
        </w:tc>
        <w:tc>
          <w:tcPr>
            <w:tcW w:w="1518" w:type="dxa"/>
            <w:vMerge w:val="restart"/>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b/>
                <w:sz w:val="20"/>
                <w:szCs w:val="20"/>
              </w:rPr>
              <w:t xml:space="preserve">Priorytet 3. </w:t>
            </w:r>
            <w:r w:rsidRPr="001268E7">
              <w:rPr>
                <w:rFonts w:eastAsia="Times New Roman"/>
                <w:sz w:val="20"/>
                <w:szCs w:val="20"/>
              </w:rPr>
              <w:t>Dostępne regiony oraz trwały transgraniczny transport i komunikacja</w:t>
            </w:r>
          </w:p>
        </w:tc>
        <w:tc>
          <w:tcPr>
            <w:tcW w:w="1690" w:type="dxa"/>
            <w:shd w:val="clear" w:color="auto" w:fill="auto"/>
            <w:vAlign w:val="center"/>
          </w:tcPr>
          <w:p w:rsidR="00343507" w:rsidRPr="001268E7" w:rsidRDefault="00343507" w:rsidP="001821B7">
            <w:pPr>
              <w:spacing w:after="0" w:line="240" w:lineRule="auto"/>
              <w:rPr>
                <w:rFonts w:eastAsia="Times New Roman"/>
                <w:b/>
                <w:sz w:val="20"/>
                <w:szCs w:val="20"/>
              </w:rPr>
            </w:pPr>
            <w:r w:rsidRPr="001268E7">
              <w:rPr>
                <w:rFonts w:eastAsia="Times New Roman"/>
                <w:b/>
                <w:sz w:val="20"/>
                <w:szCs w:val="20"/>
              </w:rPr>
              <w:t xml:space="preserve">EIS / CBC 27 </w:t>
            </w:r>
            <w:r w:rsidRPr="001268E7">
              <w:rPr>
                <w:rFonts w:eastAsia="Times New Roman"/>
                <w:sz w:val="20"/>
                <w:szCs w:val="20"/>
              </w:rPr>
              <w:t>Łączna długość przebudowanych lub zmodernizowanych dróg</w:t>
            </w:r>
          </w:p>
        </w:tc>
        <w:tc>
          <w:tcPr>
            <w:tcW w:w="1602" w:type="dxa"/>
            <w:shd w:val="clear" w:color="auto" w:fill="auto"/>
            <w:vAlign w:val="center"/>
          </w:tcPr>
          <w:p w:rsidR="00343507" w:rsidRPr="001268E7" w:rsidRDefault="00343507" w:rsidP="00E50C2E">
            <w:pPr>
              <w:spacing w:after="0" w:line="240" w:lineRule="auto"/>
              <w:rPr>
                <w:rFonts w:eastAsia="Times New Roman"/>
                <w:sz w:val="20"/>
                <w:szCs w:val="20"/>
              </w:rPr>
            </w:pPr>
            <w:r>
              <w:rPr>
                <w:rFonts w:eastAsia="Times New Roman"/>
                <w:sz w:val="20"/>
                <w:szCs w:val="20"/>
              </w:rPr>
              <w:t>km</w:t>
            </w:r>
          </w:p>
        </w:tc>
        <w:tc>
          <w:tcPr>
            <w:tcW w:w="1985" w:type="dxa"/>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sz w:val="20"/>
                <w:szCs w:val="20"/>
              </w:rPr>
              <w:t>Zwiększone bezpieczeństwo/zmniejszona ilość wypadków w ruchu transgranicznym</w:t>
            </w:r>
          </w:p>
        </w:tc>
        <w:tc>
          <w:tcPr>
            <w:tcW w:w="1383" w:type="dxa"/>
            <w:shd w:val="clear" w:color="auto" w:fill="auto"/>
            <w:vAlign w:val="center"/>
          </w:tcPr>
          <w:p w:rsidR="00343507" w:rsidRPr="001268E7" w:rsidRDefault="00343507" w:rsidP="00343507">
            <w:pPr>
              <w:spacing w:before="240" w:after="0" w:line="360" w:lineRule="auto"/>
              <w:rPr>
                <w:rFonts w:eastAsia="Times New Roman"/>
                <w:sz w:val="20"/>
                <w:szCs w:val="20"/>
              </w:rPr>
            </w:pPr>
            <w:r>
              <w:rPr>
                <w:rFonts w:eastAsia="Times New Roman"/>
                <w:sz w:val="20"/>
                <w:szCs w:val="20"/>
              </w:rPr>
              <w:t>0/0,006%(0,011%*)</w:t>
            </w:r>
          </w:p>
        </w:tc>
      </w:tr>
      <w:tr w:rsidR="00343507" w:rsidRPr="001268E7" w:rsidTr="00343507">
        <w:trPr>
          <w:trHeight w:val="992"/>
        </w:trPr>
        <w:tc>
          <w:tcPr>
            <w:tcW w:w="1569" w:type="dxa"/>
            <w:vMerge/>
            <w:shd w:val="clear" w:color="auto" w:fill="auto"/>
            <w:vAlign w:val="center"/>
          </w:tcPr>
          <w:p w:rsidR="00343507" w:rsidRPr="001268E7" w:rsidRDefault="00343507" w:rsidP="00E50C2E">
            <w:pPr>
              <w:spacing w:after="0" w:line="240" w:lineRule="auto"/>
              <w:rPr>
                <w:rFonts w:eastAsia="Times New Roman"/>
                <w:b/>
                <w:sz w:val="20"/>
                <w:szCs w:val="20"/>
              </w:rPr>
            </w:pPr>
          </w:p>
        </w:tc>
        <w:tc>
          <w:tcPr>
            <w:tcW w:w="1518" w:type="dxa"/>
            <w:vMerge/>
            <w:shd w:val="clear" w:color="auto" w:fill="auto"/>
            <w:vAlign w:val="center"/>
          </w:tcPr>
          <w:p w:rsidR="00343507" w:rsidRPr="001268E7" w:rsidRDefault="00343507" w:rsidP="00E50C2E">
            <w:pPr>
              <w:spacing w:after="0" w:line="240" w:lineRule="auto"/>
              <w:rPr>
                <w:rFonts w:eastAsia="Times New Roman"/>
                <w:b/>
                <w:sz w:val="20"/>
                <w:szCs w:val="20"/>
              </w:rPr>
            </w:pPr>
          </w:p>
        </w:tc>
        <w:tc>
          <w:tcPr>
            <w:tcW w:w="1690" w:type="dxa"/>
            <w:shd w:val="clear" w:color="auto" w:fill="auto"/>
            <w:vAlign w:val="center"/>
          </w:tcPr>
          <w:p w:rsidR="00343507" w:rsidRPr="001268E7" w:rsidDel="00792D7A" w:rsidRDefault="00343507" w:rsidP="001821B7">
            <w:pPr>
              <w:spacing w:after="0" w:line="240" w:lineRule="auto"/>
              <w:rPr>
                <w:rFonts w:eastAsia="Times New Roman"/>
                <w:sz w:val="20"/>
                <w:szCs w:val="20"/>
              </w:rPr>
            </w:pPr>
            <w:r w:rsidRPr="001268E7">
              <w:rPr>
                <w:rFonts w:eastAsia="Times New Roman"/>
                <w:sz w:val="20"/>
                <w:szCs w:val="20"/>
              </w:rPr>
              <w:t xml:space="preserve">Liczba organizacji korzystających ze wsparcia Programu na rzecz rozwoju technologii informacyjnych i komunikacyjnych (ITC) </w:t>
            </w:r>
          </w:p>
        </w:tc>
        <w:tc>
          <w:tcPr>
            <w:tcW w:w="1602" w:type="dxa"/>
            <w:shd w:val="clear" w:color="auto" w:fill="auto"/>
            <w:vAlign w:val="center"/>
          </w:tcPr>
          <w:p w:rsidR="00343507" w:rsidRPr="001268E7" w:rsidRDefault="00343507" w:rsidP="00E50C2E">
            <w:pPr>
              <w:spacing w:after="0" w:line="240" w:lineRule="auto"/>
              <w:rPr>
                <w:rFonts w:eastAsia="Times New Roman"/>
                <w:sz w:val="20"/>
                <w:szCs w:val="20"/>
              </w:rPr>
            </w:pPr>
          </w:p>
        </w:tc>
        <w:tc>
          <w:tcPr>
            <w:tcW w:w="1985" w:type="dxa"/>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sz w:val="20"/>
                <w:szCs w:val="20"/>
              </w:rPr>
              <w:t xml:space="preserve">Zwiększona liczba osób korzystających z technologii informacyjnych i komunikacyjnych (ITC) </w:t>
            </w:r>
          </w:p>
        </w:tc>
        <w:tc>
          <w:tcPr>
            <w:tcW w:w="1383" w:type="dxa"/>
            <w:shd w:val="clear" w:color="auto" w:fill="auto"/>
            <w:vAlign w:val="center"/>
          </w:tcPr>
          <w:p w:rsidR="00343507" w:rsidRPr="001268E7" w:rsidRDefault="00343507" w:rsidP="00E50C2E">
            <w:pPr>
              <w:spacing w:after="0" w:line="240" w:lineRule="auto"/>
              <w:rPr>
                <w:rFonts w:eastAsia="Times New Roman"/>
                <w:sz w:val="20"/>
                <w:szCs w:val="20"/>
              </w:rPr>
            </w:pPr>
          </w:p>
        </w:tc>
      </w:tr>
      <w:tr w:rsidR="00343507" w:rsidRPr="001268E7" w:rsidTr="002B1440">
        <w:trPr>
          <w:trHeight w:val="991"/>
        </w:trPr>
        <w:tc>
          <w:tcPr>
            <w:tcW w:w="1569" w:type="dxa"/>
            <w:vMerge/>
            <w:shd w:val="clear" w:color="auto" w:fill="auto"/>
            <w:vAlign w:val="center"/>
          </w:tcPr>
          <w:p w:rsidR="00343507" w:rsidRPr="001268E7" w:rsidRDefault="00343507" w:rsidP="00E50C2E">
            <w:pPr>
              <w:spacing w:after="0" w:line="240" w:lineRule="auto"/>
              <w:rPr>
                <w:rFonts w:eastAsia="Times New Roman"/>
                <w:b/>
                <w:sz w:val="20"/>
                <w:szCs w:val="20"/>
              </w:rPr>
            </w:pPr>
          </w:p>
        </w:tc>
        <w:tc>
          <w:tcPr>
            <w:tcW w:w="1518" w:type="dxa"/>
            <w:vMerge/>
            <w:shd w:val="clear" w:color="auto" w:fill="auto"/>
            <w:vAlign w:val="center"/>
          </w:tcPr>
          <w:p w:rsidR="00343507" w:rsidRPr="001268E7" w:rsidRDefault="00343507" w:rsidP="00E50C2E">
            <w:pPr>
              <w:spacing w:after="0" w:line="240" w:lineRule="auto"/>
              <w:rPr>
                <w:rFonts w:eastAsia="Times New Roman"/>
                <w:b/>
                <w:sz w:val="20"/>
                <w:szCs w:val="20"/>
              </w:rPr>
            </w:pPr>
          </w:p>
        </w:tc>
        <w:tc>
          <w:tcPr>
            <w:tcW w:w="1690" w:type="dxa"/>
            <w:shd w:val="clear" w:color="auto" w:fill="auto"/>
            <w:vAlign w:val="center"/>
          </w:tcPr>
          <w:p w:rsidR="00343507" w:rsidRPr="001268E7" w:rsidRDefault="00343507" w:rsidP="001821B7">
            <w:pPr>
              <w:spacing w:after="0" w:line="240" w:lineRule="auto"/>
              <w:rPr>
                <w:rFonts w:eastAsia="Times New Roman"/>
                <w:sz w:val="20"/>
                <w:szCs w:val="20"/>
              </w:rPr>
            </w:pPr>
          </w:p>
        </w:tc>
        <w:tc>
          <w:tcPr>
            <w:tcW w:w="1602" w:type="dxa"/>
            <w:shd w:val="clear" w:color="auto" w:fill="auto"/>
            <w:vAlign w:val="center"/>
          </w:tcPr>
          <w:p w:rsidR="00343507" w:rsidRPr="001268E7" w:rsidRDefault="00343507" w:rsidP="00E50C2E">
            <w:pPr>
              <w:spacing w:after="0" w:line="240" w:lineRule="auto"/>
              <w:rPr>
                <w:rFonts w:eastAsia="Times New Roman"/>
                <w:sz w:val="20"/>
                <w:szCs w:val="20"/>
              </w:rPr>
            </w:pPr>
            <w:r>
              <w:rPr>
                <w:rFonts w:eastAsia="Times New Roman"/>
                <w:sz w:val="20"/>
                <w:szCs w:val="20"/>
              </w:rPr>
              <w:t>8(16*)</w:t>
            </w:r>
          </w:p>
        </w:tc>
        <w:tc>
          <w:tcPr>
            <w:tcW w:w="1985" w:type="dxa"/>
            <w:shd w:val="clear" w:color="auto" w:fill="auto"/>
            <w:vAlign w:val="center"/>
          </w:tcPr>
          <w:p w:rsidR="00343507" w:rsidRPr="001268E7" w:rsidRDefault="00343507" w:rsidP="001821B7">
            <w:pPr>
              <w:spacing w:after="0" w:line="240" w:lineRule="auto"/>
              <w:rPr>
                <w:rFonts w:eastAsia="Times New Roman"/>
                <w:sz w:val="20"/>
                <w:szCs w:val="20"/>
              </w:rPr>
            </w:pPr>
          </w:p>
        </w:tc>
        <w:tc>
          <w:tcPr>
            <w:tcW w:w="1383" w:type="dxa"/>
            <w:shd w:val="clear" w:color="auto" w:fill="auto"/>
            <w:vAlign w:val="center"/>
          </w:tcPr>
          <w:p w:rsidR="00343507" w:rsidRPr="001268E7" w:rsidRDefault="00343507" w:rsidP="00E50C2E">
            <w:pPr>
              <w:spacing w:after="0" w:line="240" w:lineRule="auto"/>
              <w:rPr>
                <w:rFonts w:eastAsia="Times New Roman"/>
                <w:sz w:val="20"/>
                <w:szCs w:val="20"/>
              </w:rPr>
            </w:pPr>
          </w:p>
        </w:tc>
      </w:tr>
      <w:tr w:rsidR="00343507" w:rsidRPr="001268E7" w:rsidTr="00343507">
        <w:trPr>
          <w:trHeight w:val="992"/>
        </w:trPr>
        <w:tc>
          <w:tcPr>
            <w:tcW w:w="1569" w:type="dxa"/>
            <w:vMerge w:val="restart"/>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b/>
                <w:sz w:val="20"/>
                <w:szCs w:val="20"/>
              </w:rPr>
              <w:t xml:space="preserve">CT 10. </w:t>
            </w:r>
            <w:r w:rsidRPr="001268E7">
              <w:rPr>
                <w:rFonts w:eastAsia="Times New Roman"/>
                <w:sz w:val="20"/>
                <w:szCs w:val="20"/>
              </w:rPr>
              <w:t>Wspieranie zarządzania granicami oraz bezpieczeństwem na granicach, zarządzanie mobilnością i migracjami</w:t>
            </w:r>
          </w:p>
        </w:tc>
        <w:tc>
          <w:tcPr>
            <w:tcW w:w="1518" w:type="dxa"/>
            <w:vMerge w:val="restart"/>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b/>
                <w:sz w:val="20"/>
                <w:szCs w:val="20"/>
              </w:rPr>
              <w:t>Priorytet 4.</w:t>
            </w:r>
            <w:r w:rsidRPr="001268E7">
              <w:rPr>
                <w:rFonts w:eastAsia="Times New Roman"/>
                <w:sz w:val="20"/>
                <w:szCs w:val="20"/>
              </w:rPr>
              <w:t xml:space="preserve"> Wspólne działania na rzecz efektywności i bezpieczeństwa na granicach</w:t>
            </w:r>
          </w:p>
        </w:tc>
        <w:tc>
          <w:tcPr>
            <w:tcW w:w="1690" w:type="dxa"/>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b/>
                <w:sz w:val="20"/>
                <w:szCs w:val="20"/>
              </w:rPr>
              <w:t xml:space="preserve">EIS/CBC 38. </w:t>
            </w:r>
            <w:r w:rsidRPr="001268E7">
              <w:rPr>
                <w:rFonts w:eastAsia="Times New Roman"/>
                <w:sz w:val="20"/>
                <w:szCs w:val="20"/>
              </w:rPr>
              <w:t xml:space="preserve">Zwiększona przepustowość lądowych przejść granicznych </w:t>
            </w:r>
          </w:p>
        </w:tc>
        <w:tc>
          <w:tcPr>
            <w:tcW w:w="1602" w:type="dxa"/>
            <w:shd w:val="clear" w:color="auto" w:fill="auto"/>
            <w:vAlign w:val="center"/>
          </w:tcPr>
          <w:p w:rsidR="00343507" w:rsidRPr="001268E7" w:rsidRDefault="00343507" w:rsidP="00E50C2E">
            <w:pPr>
              <w:spacing w:after="0" w:line="240" w:lineRule="auto"/>
              <w:rPr>
                <w:rFonts w:eastAsia="Times New Roman"/>
                <w:sz w:val="20"/>
                <w:szCs w:val="20"/>
              </w:rPr>
            </w:pPr>
            <w:r>
              <w:rPr>
                <w:rFonts w:eastAsia="Times New Roman"/>
                <w:sz w:val="20"/>
                <w:szCs w:val="20"/>
              </w:rPr>
              <w:t>Liczba osób/dzień</w:t>
            </w:r>
          </w:p>
        </w:tc>
        <w:tc>
          <w:tcPr>
            <w:tcW w:w="1985" w:type="dxa"/>
            <w:shd w:val="clear" w:color="auto" w:fill="auto"/>
            <w:vAlign w:val="center"/>
          </w:tcPr>
          <w:p w:rsidR="00343507" w:rsidRPr="001268E7" w:rsidRDefault="00343507" w:rsidP="001821B7">
            <w:pPr>
              <w:spacing w:after="0" w:line="240" w:lineRule="auto"/>
              <w:rPr>
                <w:rFonts w:eastAsia="Times New Roman"/>
                <w:sz w:val="20"/>
                <w:szCs w:val="20"/>
              </w:rPr>
            </w:pPr>
            <w:r w:rsidRPr="001268E7">
              <w:rPr>
                <w:rFonts w:eastAsia="Times New Roman"/>
                <w:sz w:val="20"/>
                <w:szCs w:val="20"/>
              </w:rPr>
              <w:t xml:space="preserve">Zwiększona skuteczność odprawy granicznej </w:t>
            </w:r>
          </w:p>
        </w:tc>
        <w:tc>
          <w:tcPr>
            <w:tcW w:w="1383" w:type="dxa"/>
            <w:shd w:val="clear" w:color="auto" w:fill="auto"/>
            <w:vAlign w:val="center"/>
          </w:tcPr>
          <w:p w:rsidR="00343507" w:rsidRPr="001268E7" w:rsidRDefault="00343507" w:rsidP="00E50C2E">
            <w:pPr>
              <w:spacing w:after="0" w:line="240" w:lineRule="auto"/>
              <w:rPr>
                <w:rFonts w:eastAsia="Times New Roman"/>
                <w:sz w:val="20"/>
                <w:szCs w:val="20"/>
              </w:rPr>
            </w:pPr>
            <w:r>
              <w:rPr>
                <w:rFonts w:eastAsia="Times New Roman"/>
                <w:sz w:val="20"/>
                <w:szCs w:val="20"/>
              </w:rPr>
              <w:t>0%/17%</w:t>
            </w:r>
          </w:p>
        </w:tc>
      </w:tr>
      <w:tr w:rsidR="00343507" w:rsidRPr="001268E7" w:rsidTr="002B1440">
        <w:trPr>
          <w:trHeight w:val="991"/>
        </w:trPr>
        <w:tc>
          <w:tcPr>
            <w:tcW w:w="1569" w:type="dxa"/>
            <w:vMerge/>
            <w:shd w:val="clear" w:color="auto" w:fill="auto"/>
            <w:vAlign w:val="center"/>
          </w:tcPr>
          <w:p w:rsidR="00343507" w:rsidRPr="001268E7" w:rsidRDefault="00343507" w:rsidP="001821B7">
            <w:pPr>
              <w:spacing w:after="0" w:line="240" w:lineRule="auto"/>
              <w:rPr>
                <w:rFonts w:eastAsia="Times New Roman"/>
                <w:b/>
                <w:sz w:val="20"/>
                <w:szCs w:val="20"/>
              </w:rPr>
            </w:pPr>
          </w:p>
        </w:tc>
        <w:tc>
          <w:tcPr>
            <w:tcW w:w="1518" w:type="dxa"/>
            <w:vMerge/>
            <w:shd w:val="clear" w:color="auto" w:fill="auto"/>
            <w:vAlign w:val="center"/>
          </w:tcPr>
          <w:p w:rsidR="00343507" w:rsidRPr="001268E7" w:rsidRDefault="00343507" w:rsidP="001821B7">
            <w:pPr>
              <w:spacing w:after="0" w:line="240" w:lineRule="auto"/>
              <w:rPr>
                <w:rFonts w:eastAsia="Times New Roman"/>
                <w:b/>
                <w:sz w:val="20"/>
                <w:szCs w:val="20"/>
              </w:rPr>
            </w:pPr>
          </w:p>
        </w:tc>
        <w:tc>
          <w:tcPr>
            <w:tcW w:w="1690" w:type="dxa"/>
            <w:shd w:val="clear" w:color="auto" w:fill="auto"/>
            <w:vAlign w:val="center"/>
          </w:tcPr>
          <w:p w:rsidR="00343507" w:rsidRPr="001268E7" w:rsidRDefault="00343507" w:rsidP="001821B7">
            <w:pPr>
              <w:spacing w:after="0" w:line="240" w:lineRule="auto"/>
              <w:rPr>
                <w:rFonts w:eastAsia="Times New Roman"/>
                <w:b/>
                <w:sz w:val="20"/>
                <w:szCs w:val="20"/>
              </w:rPr>
            </w:pPr>
          </w:p>
        </w:tc>
        <w:tc>
          <w:tcPr>
            <w:tcW w:w="1602" w:type="dxa"/>
            <w:shd w:val="clear" w:color="auto" w:fill="auto"/>
            <w:vAlign w:val="center"/>
          </w:tcPr>
          <w:p w:rsidR="00343507" w:rsidRDefault="00343507" w:rsidP="00E50C2E">
            <w:pPr>
              <w:spacing w:after="0" w:line="240" w:lineRule="auto"/>
              <w:rPr>
                <w:rFonts w:eastAsia="Times New Roman"/>
                <w:sz w:val="20"/>
                <w:szCs w:val="20"/>
              </w:rPr>
            </w:pPr>
            <w:r>
              <w:rPr>
                <w:rFonts w:eastAsia="Times New Roman"/>
                <w:sz w:val="20"/>
                <w:szCs w:val="20"/>
              </w:rPr>
              <w:t>9632</w:t>
            </w:r>
          </w:p>
        </w:tc>
        <w:tc>
          <w:tcPr>
            <w:tcW w:w="1985" w:type="dxa"/>
            <w:shd w:val="clear" w:color="auto" w:fill="auto"/>
            <w:vAlign w:val="center"/>
          </w:tcPr>
          <w:p w:rsidR="00343507" w:rsidRPr="001268E7" w:rsidRDefault="00343507" w:rsidP="001821B7">
            <w:pPr>
              <w:spacing w:after="0" w:line="240" w:lineRule="auto"/>
              <w:rPr>
                <w:rFonts w:eastAsia="Times New Roman"/>
                <w:sz w:val="20"/>
                <w:szCs w:val="20"/>
              </w:rPr>
            </w:pPr>
          </w:p>
        </w:tc>
        <w:tc>
          <w:tcPr>
            <w:tcW w:w="1383" w:type="dxa"/>
            <w:shd w:val="clear" w:color="auto" w:fill="auto"/>
            <w:vAlign w:val="center"/>
          </w:tcPr>
          <w:p w:rsidR="00343507" w:rsidRDefault="00343507" w:rsidP="00E50C2E">
            <w:pPr>
              <w:spacing w:after="0" w:line="240" w:lineRule="auto"/>
              <w:rPr>
                <w:rFonts w:eastAsia="Times New Roman"/>
                <w:sz w:val="20"/>
                <w:szCs w:val="20"/>
              </w:rPr>
            </w:pPr>
          </w:p>
        </w:tc>
      </w:tr>
    </w:tbl>
    <w:p w:rsidR="003B42AD" w:rsidRDefault="00C42722" w:rsidP="006957FA">
      <w:pPr>
        <w:spacing w:after="0" w:line="240" w:lineRule="auto"/>
        <w:contextualSpacing/>
        <w:jc w:val="both"/>
        <w:rPr>
          <w:b/>
          <w:i/>
          <w:sz w:val="20"/>
          <w:lang w:val="en-US"/>
        </w:rPr>
      </w:pPr>
      <w:r w:rsidRPr="006957FA">
        <w:rPr>
          <w:b/>
          <w:i/>
          <w:sz w:val="20"/>
          <w:lang w:val="en-US"/>
        </w:rPr>
        <w:t>Tabela 5. Wskaźniki Programu</w:t>
      </w:r>
    </w:p>
    <w:p w:rsidR="00343507" w:rsidRDefault="00343507" w:rsidP="006957FA">
      <w:pPr>
        <w:spacing w:after="0" w:line="240" w:lineRule="auto"/>
        <w:contextualSpacing/>
        <w:jc w:val="both"/>
        <w:rPr>
          <w:b/>
          <w:i/>
          <w:sz w:val="20"/>
          <w:lang w:val="en-US"/>
        </w:rPr>
      </w:pPr>
    </w:p>
    <w:p w:rsidR="00343507" w:rsidRPr="00BA15BE" w:rsidRDefault="00343507" w:rsidP="006957FA">
      <w:pPr>
        <w:spacing w:after="0" w:line="240" w:lineRule="auto"/>
        <w:contextualSpacing/>
        <w:jc w:val="both"/>
        <w:rPr>
          <w:b/>
          <w:sz w:val="20"/>
          <w:lang w:val="en-US"/>
        </w:rPr>
      </w:pPr>
      <w:r w:rsidRPr="00BA15BE">
        <w:rPr>
          <w:b/>
          <w:sz w:val="20"/>
          <w:lang w:val="en-US"/>
        </w:rPr>
        <w:t>*w przypadku niewdrożenia DPI</w:t>
      </w:r>
    </w:p>
    <w:p w:rsidR="00C42722" w:rsidRPr="001268E7" w:rsidRDefault="00C42722" w:rsidP="003B42AD"/>
    <w:p w:rsidR="003B42AD" w:rsidRPr="00D61551" w:rsidRDefault="00285846" w:rsidP="00D61551">
      <w:pPr>
        <w:pStyle w:val="Nagwek2"/>
      </w:pPr>
      <w:bookmarkStart w:id="22" w:name="_Toc530737572"/>
      <w:r w:rsidRPr="00D61551">
        <w:t>2.4. Uwzględnienie kwestii przekrojowych</w:t>
      </w:r>
      <w:bookmarkEnd w:id="22"/>
    </w:p>
    <w:p w:rsidR="003B42AD" w:rsidRPr="001268E7" w:rsidRDefault="00285846" w:rsidP="00285846">
      <w:pPr>
        <w:spacing w:before="100" w:beforeAutospacing="1" w:after="100" w:afterAutospacing="1" w:line="240" w:lineRule="auto"/>
        <w:jc w:val="both"/>
        <w:rPr>
          <w:rFonts w:cstheme="minorHAnsi"/>
          <w:spacing w:val="4"/>
          <w:sz w:val="24"/>
          <w:szCs w:val="24"/>
        </w:rPr>
      </w:pPr>
      <w:r w:rsidRPr="001268E7">
        <w:rPr>
          <w:rFonts w:cs="Calibri"/>
          <w:sz w:val="24"/>
          <w:szCs w:val="24"/>
          <w:lang w:eastAsia="pl-PL"/>
        </w:rPr>
        <w:t xml:space="preserve">Trwałość środowiska jest ważnym zagadnieniem przekrojowym w realizacji Programu. </w:t>
      </w:r>
      <w:r w:rsidRPr="001268E7">
        <w:rPr>
          <w:rFonts w:cstheme="minorHAnsi"/>
          <w:spacing w:val="4"/>
          <w:sz w:val="24"/>
          <w:szCs w:val="24"/>
        </w:rPr>
        <w:t xml:space="preserve">Powinna </w:t>
      </w:r>
      <w:r w:rsidRPr="001268E7">
        <w:rPr>
          <w:rFonts w:cs="Calibri"/>
          <w:sz w:val="24"/>
          <w:szCs w:val="24"/>
          <w:lang w:eastAsia="pl-PL"/>
        </w:rPr>
        <w:t>ona być widoczna na wszystkich etapach realizacji Programu, począwszy od oceny wniosków i wyboru po fazę realizacji projektów.</w:t>
      </w:r>
      <w:r w:rsidR="003B42AD" w:rsidRPr="001268E7">
        <w:rPr>
          <w:rFonts w:cstheme="minorHAnsi"/>
          <w:spacing w:val="4"/>
          <w:sz w:val="24"/>
          <w:szCs w:val="24"/>
        </w:rPr>
        <w:t xml:space="preserve"> </w:t>
      </w:r>
      <w:r w:rsidRPr="001268E7">
        <w:rPr>
          <w:rFonts w:cs="Calibri"/>
          <w:sz w:val="24"/>
          <w:szCs w:val="24"/>
          <w:lang w:eastAsia="pl-PL"/>
        </w:rPr>
        <w:t>Projekty z bezpośrednim negatywnym wpływem na środowisko nie będą finansowane w ramach Programu Współpracy Transgranicznej Polska-Rosja.</w:t>
      </w:r>
    </w:p>
    <w:p w:rsidR="003B42AD" w:rsidRPr="001268E7" w:rsidRDefault="00D44599" w:rsidP="00285846">
      <w:pPr>
        <w:spacing w:before="100" w:beforeAutospacing="1" w:after="100" w:afterAutospacing="1" w:line="240" w:lineRule="auto"/>
        <w:jc w:val="both"/>
        <w:rPr>
          <w:rFonts w:cstheme="minorHAnsi"/>
          <w:spacing w:val="4"/>
          <w:sz w:val="24"/>
          <w:szCs w:val="24"/>
        </w:rPr>
      </w:pPr>
      <w:r w:rsidRPr="001268E7">
        <w:rPr>
          <w:rFonts w:cs="Calibri"/>
          <w:sz w:val="24"/>
          <w:szCs w:val="24"/>
          <w:lang w:eastAsia="pl-PL"/>
        </w:rPr>
        <w:t>Strategiczna Ocena Oddziaływania na Ś</w:t>
      </w:r>
      <w:r w:rsidR="00285846" w:rsidRPr="001268E7">
        <w:rPr>
          <w:rFonts w:cs="Calibri"/>
          <w:sz w:val="24"/>
          <w:szCs w:val="24"/>
          <w:lang w:eastAsia="pl-PL"/>
        </w:rPr>
        <w:t>rodowisko została przygotowana równolegle z przygotowaniem Wspólnego Programu Operacyjnego, aby umożliwić ocenę i uwzględnienie wpływu na środowisko podczas przygotowania Programu Współpracy Transgranicznej Polska-Rosja 2014-2020.</w:t>
      </w:r>
    </w:p>
    <w:p w:rsidR="003B42AD" w:rsidRPr="001268E7" w:rsidRDefault="00285846" w:rsidP="00285846">
      <w:pPr>
        <w:spacing w:before="100" w:beforeAutospacing="1" w:after="100" w:afterAutospacing="1" w:line="240" w:lineRule="auto"/>
        <w:jc w:val="both"/>
        <w:rPr>
          <w:rFonts w:cstheme="minorHAnsi"/>
          <w:spacing w:val="4"/>
          <w:sz w:val="24"/>
          <w:szCs w:val="24"/>
        </w:rPr>
      </w:pPr>
      <w:r w:rsidRPr="001268E7">
        <w:rPr>
          <w:rFonts w:cstheme="minorHAnsi"/>
          <w:spacing w:val="4"/>
          <w:sz w:val="24"/>
          <w:szCs w:val="24"/>
        </w:rPr>
        <w:t xml:space="preserve">Rozporządzenie (UE) nr 897/2014 </w:t>
      </w:r>
      <w:r w:rsidRPr="001268E7">
        <w:rPr>
          <w:rFonts w:cs="Calibri"/>
          <w:sz w:val="24"/>
          <w:szCs w:val="24"/>
          <w:lang w:eastAsia="pl-PL"/>
        </w:rPr>
        <w:t>stanowi, że każdy program powinien określać sposób uwzględnienia istotnej kwestii przekrojowej jaką jest HIV/AIDS.</w:t>
      </w:r>
      <w:r w:rsidR="003B42AD" w:rsidRPr="001268E7">
        <w:rPr>
          <w:rFonts w:cstheme="minorHAnsi"/>
          <w:spacing w:val="4"/>
          <w:sz w:val="24"/>
          <w:szCs w:val="24"/>
        </w:rPr>
        <w:t xml:space="preserve"> </w:t>
      </w:r>
      <w:r w:rsidRPr="001268E7">
        <w:rPr>
          <w:rFonts w:cs="Calibri"/>
          <w:sz w:val="24"/>
          <w:szCs w:val="24"/>
          <w:lang w:eastAsia="pl-PL"/>
        </w:rPr>
        <w:t>Program Współpracy Transgranicznej Polska-Rosja 2014-2020 podczas całego okresu jego trwania powinien skupiać się na wzroście świadomości społeczeństwa w zakresie zdrowia.</w:t>
      </w:r>
      <w:r w:rsidR="003B42AD" w:rsidRPr="001268E7">
        <w:rPr>
          <w:rFonts w:cstheme="minorHAnsi"/>
          <w:spacing w:val="4"/>
          <w:sz w:val="24"/>
          <w:szCs w:val="24"/>
        </w:rPr>
        <w:t xml:space="preserve"> </w:t>
      </w:r>
      <w:r w:rsidRPr="001268E7">
        <w:rPr>
          <w:rFonts w:cs="Calibri"/>
          <w:sz w:val="24"/>
          <w:szCs w:val="24"/>
          <w:lang w:eastAsia="pl-PL"/>
        </w:rPr>
        <w:t>Program jest w stanie osiągnąć ten cel między innymi poprzez wspieranie rozwoju gospodarczego na swoim obszarze kwalifikowalnym.</w:t>
      </w:r>
      <w:r w:rsidR="003B42AD" w:rsidRPr="001268E7">
        <w:rPr>
          <w:rFonts w:cstheme="minorHAnsi"/>
          <w:spacing w:val="4"/>
          <w:sz w:val="24"/>
          <w:szCs w:val="24"/>
        </w:rPr>
        <w:t xml:space="preserve"> </w:t>
      </w:r>
      <w:r w:rsidRPr="001268E7">
        <w:rPr>
          <w:rFonts w:cs="Calibri"/>
          <w:sz w:val="24"/>
          <w:szCs w:val="24"/>
          <w:lang w:eastAsia="pl-PL"/>
        </w:rPr>
        <w:t>Społeczeństwo bardziej gospodarczo rozwinięte ma większe skłonności do dbania o stan swojego zdrowia.</w:t>
      </w:r>
      <w:r w:rsidR="003B42AD" w:rsidRPr="001268E7">
        <w:rPr>
          <w:rFonts w:cstheme="minorHAnsi"/>
          <w:spacing w:val="4"/>
          <w:sz w:val="24"/>
          <w:szCs w:val="24"/>
        </w:rPr>
        <w:t xml:space="preserve"> </w:t>
      </w:r>
      <w:r w:rsidRPr="001268E7">
        <w:rPr>
          <w:rFonts w:cs="Calibri"/>
          <w:sz w:val="24"/>
          <w:szCs w:val="24"/>
          <w:lang w:eastAsia="pl-PL"/>
        </w:rPr>
        <w:t>Element ten powinien być uwzględniany na wszystkich etapach realizacji Programu.</w:t>
      </w:r>
      <w:r w:rsidR="003B42AD" w:rsidRPr="001268E7">
        <w:rPr>
          <w:rFonts w:cstheme="minorHAnsi"/>
          <w:spacing w:val="4"/>
          <w:sz w:val="24"/>
          <w:szCs w:val="24"/>
        </w:rPr>
        <w:t xml:space="preserve"> </w:t>
      </w:r>
      <w:r w:rsidRPr="001268E7">
        <w:rPr>
          <w:rFonts w:cs="Calibri"/>
          <w:sz w:val="24"/>
          <w:szCs w:val="24"/>
          <w:lang w:eastAsia="pl-PL"/>
        </w:rPr>
        <w:t xml:space="preserve">Projekty z negatywnym wpływem na wyżej wspomniane kwestie nie będą finansowane w ramach Programu Współpracy Transgranicznej </w:t>
      </w:r>
      <w:r w:rsidR="00C87C61" w:rsidRPr="001268E7">
        <w:rPr>
          <w:rFonts w:cs="Calibri"/>
          <w:sz w:val="24"/>
          <w:szCs w:val="24"/>
          <w:lang w:eastAsia="pl-PL"/>
        </w:rPr>
        <w:t xml:space="preserve">Polska-Rosja </w:t>
      </w:r>
      <w:r w:rsidRPr="001268E7">
        <w:rPr>
          <w:rFonts w:cs="Calibri"/>
          <w:sz w:val="24"/>
          <w:szCs w:val="24"/>
          <w:lang w:eastAsia="pl-PL"/>
        </w:rPr>
        <w:t>2014-2020.</w:t>
      </w:r>
      <w:r w:rsidR="003B42AD" w:rsidRPr="001268E7">
        <w:rPr>
          <w:rFonts w:cstheme="minorHAnsi"/>
          <w:spacing w:val="4"/>
          <w:sz w:val="24"/>
          <w:szCs w:val="24"/>
        </w:rPr>
        <w:t xml:space="preserve"> </w:t>
      </w:r>
    </w:p>
    <w:p w:rsidR="00B71030" w:rsidRDefault="00285846" w:rsidP="00285846">
      <w:pPr>
        <w:spacing w:after="0" w:line="240" w:lineRule="auto"/>
        <w:jc w:val="both"/>
        <w:rPr>
          <w:rFonts w:cstheme="minorHAnsi"/>
          <w:spacing w:val="4"/>
          <w:sz w:val="24"/>
          <w:szCs w:val="24"/>
        </w:rPr>
      </w:pPr>
      <w:r w:rsidRPr="001268E7">
        <w:rPr>
          <w:rFonts w:cs="Calibri"/>
          <w:sz w:val="24"/>
          <w:szCs w:val="24"/>
          <w:lang w:eastAsia="pl-PL"/>
        </w:rPr>
        <w:t>Innym</w:t>
      </w:r>
      <w:r w:rsidR="00C87C61" w:rsidRPr="001268E7">
        <w:rPr>
          <w:rFonts w:cs="Calibri"/>
          <w:sz w:val="24"/>
          <w:szCs w:val="24"/>
          <w:lang w:eastAsia="pl-PL"/>
        </w:rPr>
        <w:t>i</w:t>
      </w:r>
      <w:r w:rsidRPr="001268E7">
        <w:rPr>
          <w:rFonts w:cs="Calibri"/>
          <w:sz w:val="24"/>
          <w:szCs w:val="24"/>
          <w:lang w:eastAsia="pl-PL"/>
        </w:rPr>
        <w:t xml:space="preserve"> ważnym</w:t>
      </w:r>
      <w:r w:rsidR="00C87C61" w:rsidRPr="001268E7">
        <w:rPr>
          <w:rFonts w:cs="Calibri"/>
          <w:sz w:val="24"/>
          <w:szCs w:val="24"/>
          <w:lang w:eastAsia="pl-PL"/>
        </w:rPr>
        <w:t>i elementami, które powinny</w:t>
      </w:r>
      <w:r w:rsidRPr="001268E7">
        <w:rPr>
          <w:rFonts w:cs="Calibri"/>
          <w:sz w:val="24"/>
          <w:szCs w:val="24"/>
          <w:lang w:eastAsia="pl-PL"/>
        </w:rPr>
        <w:t xml:space="preserve"> znaleźć odzwierciedlenie w trakcie przygotowania i </w:t>
      </w:r>
      <w:r w:rsidR="00C87C61" w:rsidRPr="001268E7">
        <w:rPr>
          <w:rFonts w:cs="Calibri"/>
          <w:sz w:val="24"/>
          <w:szCs w:val="24"/>
          <w:lang w:eastAsia="pl-PL"/>
        </w:rPr>
        <w:t>okresie realizacji Programu są</w:t>
      </w:r>
      <w:r w:rsidR="00BA15BE">
        <w:rPr>
          <w:rFonts w:cs="Calibri"/>
          <w:sz w:val="24"/>
          <w:szCs w:val="24"/>
          <w:lang w:eastAsia="pl-PL"/>
        </w:rPr>
        <w:t xml:space="preserve"> równe szanse i niedyskryminacja,</w:t>
      </w:r>
      <w:r w:rsidRPr="001268E7">
        <w:rPr>
          <w:rFonts w:cs="Calibri"/>
          <w:sz w:val="24"/>
          <w:szCs w:val="24"/>
          <w:lang w:eastAsia="pl-PL"/>
        </w:rPr>
        <w:t xml:space="preserve"> równość płci i demokracja.</w:t>
      </w:r>
      <w:r w:rsidR="003B42AD" w:rsidRPr="001268E7">
        <w:rPr>
          <w:rFonts w:cstheme="minorHAnsi"/>
          <w:spacing w:val="4"/>
          <w:sz w:val="24"/>
          <w:szCs w:val="24"/>
        </w:rPr>
        <w:t xml:space="preserve"> </w:t>
      </w:r>
      <w:r w:rsidRPr="001268E7">
        <w:rPr>
          <w:rFonts w:cs="Calibri"/>
          <w:sz w:val="24"/>
          <w:szCs w:val="24"/>
          <w:lang w:eastAsia="pl-PL"/>
        </w:rPr>
        <w:t>W celu wypełnienia idei demokracji konsultacje społeczne projektu Wspólnego Programu Operacyjnego zostały zorganizowane w obydwu krajach.</w:t>
      </w:r>
      <w:r w:rsidR="003B42AD" w:rsidRPr="001268E7">
        <w:rPr>
          <w:rFonts w:cstheme="minorHAnsi"/>
          <w:spacing w:val="4"/>
          <w:sz w:val="24"/>
          <w:szCs w:val="24"/>
        </w:rPr>
        <w:t xml:space="preserve"> </w:t>
      </w:r>
      <w:r w:rsidRPr="001268E7">
        <w:rPr>
          <w:rFonts w:cs="Calibri"/>
          <w:sz w:val="24"/>
          <w:szCs w:val="24"/>
          <w:lang w:eastAsia="pl-PL"/>
        </w:rPr>
        <w:t>Program na wszystkich jego etapach będzie pr</w:t>
      </w:r>
      <w:r w:rsidR="00C87C61" w:rsidRPr="001268E7">
        <w:rPr>
          <w:rFonts w:cs="Calibri"/>
          <w:sz w:val="24"/>
          <w:szCs w:val="24"/>
          <w:lang w:eastAsia="pl-PL"/>
        </w:rPr>
        <w:t>omować ideę demokracji</w:t>
      </w:r>
      <w:r w:rsidR="00BA15BE">
        <w:rPr>
          <w:rFonts w:cs="Calibri"/>
          <w:sz w:val="24"/>
          <w:szCs w:val="24"/>
          <w:lang w:eastAsia="pl-PL"/>
        </w:rPr>
        <w:t>, równych szans, niedyskryminacji</w:t>
      </w:r>
      <w:r w:rsidR="00C87C61" w:rsidRPr="001268E7">
        <w:rPr>
          <w:rFonts w:cs="Calibri"/>
          <w:sz w:val="24"/>
          <w:szCs w:val="24"/>
          <w:lang w:eastAsia="pl-PL"/>
        </w:rPr>
        <w:t xml:space="preserve"> i równości</w:t>
      </w:r>
      <w:r w:rsidRPr="001268E7">
        <w:rPr>
          <w:rFonts w:cs="Calibri"/>
          <w:sz w:val="24"/>
          <w:szCs w:val="24"/>
          <w:lang w:eastAsia="pl-PL"/>
        </w:rPr>
        <w:t xml:space="preserve"> płci</w:t>
      </w:r>
      <w:r w:rsidR="00C87C61" w:rsidRPr="001268E7">
        <w:rPr>
          <w:rFonts w:cs="Calibri"/>
          <w:sz w:val="24"/>
          <w:szCs w:val="24"/>
          <w:lang w:eastAsia="pl-PL"/>
        </w:rPr>
        <w:t>,</w:t>
      </w:r>
      <w:r w:rsidRPr="001268E7">
        <w:rPr>
          <w:rFonts w:cs="Calibri"/>
          <w:sz w:val="24"/>
          <w:szCs w:val="24"/>
          <w:lang w:eastAsia="pl-PL"/>
        </w:rPr>
        <w:t xml:space="preserve"> między innymi poprzez zachęcenie wszystkich zainteresowanych stron do aktywnego uczestnictwa w programie i realizacji projektów.</w:t>
      </w:r>
      <w:r w:rsidR="003B42AD" w:rsidRPr="001268E7">
        <w:rPr>
          <w:rFonts w:cstheme="minorHAnsi"/>
          <w:spacing w:val="4"/>
          <w:sz w:val="24"/>
          <w:szCs w:val="24"/>
        </w:rPr>
        <w:t xml:space="preserve"> </w:t>
      </w:r>
      <w:r w:rsidR="00C87C61" w:rsidRPr="001268E7">
        <w:rPr>
          <w:rFonts w:cstheme="minorHAnsi"/>
          <w:spacing w:val="4"/>
          <w:sz w:val="24"/>
          <w:szCs w:val="24"/>
        </w:rPr>
        <w:t>Te same prawa</w:t>
      </w:r>
      <w:r w:rsidRPr="001268E7">
        <w:rPr>
          <w:rFonts w:cstheme="minorHAnsi"/>
          <w:spacing w:val="4"/>
          <w:sz w:val="24"/>
          <w:szCs w:val="24"/>
        </w:rPr>
        <w:t xml:space="preserve">, możliwości i obowiązki we wszystkich dziedzinach społeczeństwa będą odzwierciedlone w realizacji </w:t>
      </w:r>
      <w:r w:rsidRPr="001268E7">
        <w:rPr>
          <w:rFonts w:cstheme="minorHAnsi"/>
          <w:spacing w:val="4"/>
          <w:sz w:val="24"/>
          <w:szCs w:val="24"/>
        </w:rPr>
        <w:lastRenderedPageBreak/>
        <w:t>Programu. Program na wszystkich etapach będzie również promować ideę aktywnego uczestnictwa, przejrzystości, współpracy i odpowiedzialności różnych zainteresowanych stron.</w:t>
      </w:r>
      <w:r w:rsidR="00BA15BE">
        <w:rPr>
          <w:rFonts w:cstheme="minorHAnsi"/>
          <w:spacing w:val="4"/>
          <w:sz w:val="24"/>
          <w:szCs w:val="24"/>
        </w:rPr>
        <w:t xml:space="preserve"> Beneficjenci projektów powinni zapewnić poszanowanie i promowanie zasady równości szans i niedyskryminacji podczas realizacji działań.</w:t>
      </w:r>
    </w:p>
    <w:p w:rsidR="00F12662" w:rsidRDefault="00F12662">
      <w:pPr>
        <w:spacing w:after="0" w:line="240" w:lineRule="auto"/>
        <w:rPr>
          <w:rFonts w:cstheme="minorHAnsi"/>
          <w:spacing w:val="4"/>
          <w:sz w:val="24"/>
          <w:szCs w:val="24"/>
        </w:rPr>
      </w:pPr>
    </w:p>
    <w:p w:rsidR="00285846" w:rsidRPr="001268E7" w:rsidRDefault="00D41593" w:rsidP="00285846">
      <w:pPr>
        <w:pStyle w:val="Nagwek1"/>
        <w:numPr>
          <w:ilvl w:val="0"/>
          <w:numId w:val="3"/>
        </w:numPr>
        <w:ind w:left="426"/>
        <w:jc w:val="both"/>
      </w:pPr>
      <w:bookmarkStart w:id="23" w:name="_Toc530737573"/>
      <w:r>
        <w:t>Struktury właściwych władz i organów zarządzających</w:t>
      </w:r>
      <w:bookmarkEnd w:id="23"/>
    </w:p>
    <w:p w:rsidR="004B654C" w:rsidRPr="001268E7" w:rsidRDefault="00285846" w:rsidP="00285846">
      <w:pPr>
        <w:autoSpaceDE w:val="0"/>
        <w:autoSpaceDN w:val="0"/>
        <w:adjustRightInd w:val="0"/>
        <w:spacing w:before="100" w:beforeAutospacing="1" w:after="100" w:afterAutospacing="1" w:line="240" w:lineRule="auto"/>
        <w:jc w:val="both"/>
        <w:rPr>
          <w:sz w:val="24"/>
          <w:szCs w:val="24"/>
        </w:rPr>
      </w:pPr>
      <w:r w:rsidRPr="001268E7">
        <w:rPr>
          <w:rFonts w:cs="Calibri"/>
          <w:sz w:val="24"/>
          <w:szCs w:val="24"/>
          <w:lang w:eastAsia="pl-PL"/>
        </w:rPr>
        <w:t xml:space="preserve">Zgodnie z podstawą prawną Programu, przedstawiciele uczestniczących państw podjęli decyzję o ustanowieniu następującej struktury na potrzeby wdrażania Programu, składającej się zarówno z elementów wspólnych, jak i z </w:t>
      </w:r>
      <w:r w:rsidR="00C87C61" w:rsidRPr="001268E7">
        <w:rPr>
          <w:rFonts w:cs="Calibri"/>
          <w:sz w:val="24"/>
          <w:szCs w:val="24"/>
          <w:lang w:eastAsia="pl-PL"/>
        </w:rPr>
        <w:t>krajowych instytucji</w:t>
      </w:r>
      <w:r w:rsidRPr="001268E7">
        <w:rPr>
          <w:rFonts w:cs="Calibri"/>
          <w:sz w:val="24"/>
          <w:szCs w:val="24"/>
          <w:lang w:eastAsia="pl-PL"/>
        </w:rPr>
        <w:t>.</w:t>
      </w:r>
      <w:r w:rsidR="004B654C" w:rsidRPr="001268E7">
        <w:rPr>
          <w:sz w:val="24"/>
          <w:szCs w:val="24"/>
        </w:rPr>
        <w:t xml:space="preserve"> </w:t>
      </w:r>
    </w:p>
    <w:p w:rsidR="004B654C" w:rsidRPr="001268E7" w:rsidRDefault="00285846" w:rsidP="00285846">
      <w:p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Funkcje zarządzania realizowane będą przez następujące instytucje:</w:t>
      </w:r>
      <w:r w:rsidR="004B654C" w:rsidRPr="001268E7">
        <w:rPr>
          <w:rFonts w:cs="Calibri"/>
          <w:color w:val="000000"/>
          <w:sz w:val="24"/>
          <w:szCs w:val="24"/>
        </w:rPr>
        <w:t xml:space="preserve"> </w:t>
      </w:r>
    </w:p>
    <w:p w:rsidR="00285846" w:rsidRPr="001268E7" w:rsidRDefault="00285846" w:rsidP="00C62170">
      <w:pPr>
        <w:pStyle w:val="Akapitzlist"/>
        <w:numPr>
          <w:ilvl w:val="0"/>
          <w:numId w:val="37"/>
        </w:numPr>
        <w:spacing w:before="100" w:beforeAutospacing="1" w:after="100" w:afterAutospacing="1" w:line="240" w:lineRule="auto"/>
        <w:contextualSpacing w:val="0"/>
        <w:jc w:val="both"/>
        <w:rPr>
          <w:rFonts w:cs="Calibri"/>
          <w:sz w:val="24"/>
          <w:szCs w:val="24"/>
        </w:rPr>
      </w:pPr>
      <w:r w:rsidRPr="001268E7">
        <w:rPr>
          <w:rFonts w:cs="Calibri"/>
          <w:sz w:val="24"/>
          <w:szCs w:val="24"/>
        </w:rPr>
        <w:t>Wspólny Komitet Monitorujący (WKM);</w:t>
      </w:r>
    </w:p>
    <w:p w:rsidR="00285846" w:rsidRPr="001268E7" w:rsidRDefault="00285846" w:rsidP="00C62170">
      <w:pPr>
        <w:pStyle w:val="Akapitzlist"/>
        <w:numPr>
          <w:ilvl w:val="0"/>
          <w:numId w:val="37"/>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Instytucję Zarządzającą (IZ) mieszczącą się w Min</w:t>
      </w:r>
      <w:r w:rsidR="00C87C61" w:rsidRPr="001268E7">
        <w:rPr>
          <w:rFonts w:cs="Calibri"/>
          <w:sz w:val="24"/>
          <w:szCs w:val="24"/>
          <w:lang w:eastAsia="pl-PL"/>
        </w:rPr>
        <w:t>isterstwie Rozwoju</w:t>
      </w:r>
      <w:r w:rsidRPr="001268E7">
        <w:rPr>
          <w:rFonts w:cs="Calibri"/>
          <w:sz w:val="24"/>
          <w:szCs w:val="24"/>
          <w:lang w:eastAsia="pl-PL"/>
        </w:rPr>
        <w:t xml:space="preserve"> Rzeczypospolitej Polskiej;</w:t>
      </w:r>
    </w:p>
    <w:p w:rsidR="00285846" w:rsidRPr="001268E7" w:rsidRDefault="00285846" w:rsidP="00C62170">
      <w:pPr>
        <w:pStyle w:val="Akapitzlist"/>
        <w:numPr>
          <w:ilvl w:val="0"/>
          <w:numId w:val="37"/>
        </w:numPr>
        <w:jc w:val="both"/>
        <w:rPr>
          <w:rFonts w:cs="Calibri"/>
          <w:sz w:val="24"/>
          <w:szCs w:val="24"/>
        </w:rPr>
      </w:pPr>
      <w:r w:rsidRPr="001268E7">
        <w:rPr>
          <w:rFonts w:cs="Calibri"/>
          <w:sz w:val="24"/>
          <w:szCs w:val="24"/>
        </w:rPr>
        <w:t>Instytucję</w:t>
      </w:r>
      <w:r w:rsidR="00C87C61" w:rsidRPr="001268E7">
        <w:rPr>
          <w:rFonts w:cs="Calibri"/>
          <w:sz w:val="24"/>
          <w:szCs w:val="24"/>
        </w:rPr>
        <w:t xml:space="preserve"> Krajową</w:t>
      </w:r>
      <w:r w:rsidRPr="001268E7">
        <w:rPr>
          <w:rFonts w:cs="Calibri"/>
          <w:sz w:val="24"/>
          <w:szCs w:val="24"/>
        </w:rPr>
        <w:t xml:space="preserve"> (IK) w Federacji Rosyjskiej, mieszczącą się w Ministerstwie Rozwoju Gospodarczego Federacji Rosyjskiej; </w:t>
      </w:r>
    </w:p>
    <w:p w:rsidR="00285846" w:rsidRPr="001268E7" w:rsidRDefault="005C57AE" w:rsidP="00C62170">
      <w:pPr>
        <w:pStyle w:val="Akapitzlist"/>
        <w:numPr>
          <w:ilvl w:val="0"/>
          <w:numId w:val="37"/>
        </w:numPr>
        <w:jc w:val="both"/>
        <w:rPr>
          <w:rFonts w:cs="Calibri"/>
          <w:sz w:val="24"/>
          <w:szCs w:val="24"/>
        </w:rPr>
      </w:pPr>
      <w:r w:rsidRPr="001268E7">
        <w:rPr>
          <w:rFonts w:cs="Calibri"/>
          <w:sz w:val="24"/>
          <w:szCs w:val="24"/>
        </w:rPr>
        <w:t>Instytucję Krajową (IK)</w:t>
      </w:r>
      <w:r w:rsidR="00C87C61" w:rsidRPr="001268E7">
        <w:rPr>
          <w:rFonts w:cs="Calibri"/>
          <w:sz w:val="24"/>
          <w:szCs w:val="24"/>
        </w:rPr>
        <w:t xml:space="preserve"> w Polsce</w:t>
      </w:r>
      <w:r w:rsidRPr="001268E7">
        <w:rPr>
          <w:rFonts w:cs="Calibri"/>
          <w:sz w:val="24"/>
          <w:szCs w:val="24"/>
        </w:rPr>
        <w:t>, mieszczącą się w Mini</w:t>
      </w:r>
      <w:r w:rsidR="00C87C61" w:rsidRPr="001268E7">
        <w:rPr>
          <w:rFonts w:cs="Calibri"/>
          <w:sz w:val="24"/>
          <w:szCs w:val="24"/>
        </w:rPr>
        <w:t xml:space="preserve">sterstwie Rozwoju </w:t>
      </w:r>
      <w:r w:rsidRPr="001268E7">
        <w:rPr>
          <w:rFonts w:cs="Calibri"/>
          <w:sz w:val="24"/>
          <w:szCs w:val="24"/>
        </w:rPr>
        <w:t>Rzeczypospolitej Polskiej;</w:t>
      </w:r>
    </w:p>
    <w:p w:rsidR="005C57AE" w:rsidRPr="001268E7" w:rsidRDefault="005C57AE" w:rsidP="00C62170">
      <w:pPr>
        <w:pStyle w:val="Akapitzlist"/>
        <w:numPr>
          <w:ilvl w:val="0"/>
          <w:numId w:val="37"/>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Wspólny Sekretariat Techniczny (WST)</w:t>
      </w:r>
      <w:r w:rsidR="008E36AE">
        <w:rPr>
          <w:rFonts w:cs="Calibri"/>
          <w:sz w:val="24"/>
          <w:szCs w:val="24"/>
          <w:lang w:eastAsia="pl-PL"/>
        </w:rPr>
        <w:t xml:space="preserve"> powołany jako Instytucja Pośrednicząca (IP)</w:t>
      </w:r>
      <w:r w:rsidRPr="001268E7">
        <w:rPr>
          <w:rFonts w:cs="Calibri"/>
          <w:sz w:val="24"/>
          <w:szCs w:val="24"/>
          <w:lang w:eastAsia="pl-PL"/>
        </w:rPr>
        <w:t>, m</w:t>
      </w:r>
      <w:r w:rsidR="001F1AB2" w:rsidRPr="001268E7">
        <w:rPr>
          <w:rFonts w:cs="Calibri"/>
          <w:sz w:val="24"/>
          <w:szCs w:val="24"/>
          <w:lang w:eastAsia="pl-PL"/>
        </w:rPr>
        <w:t>ieszcząc</w:t>
      </w:r>
      <w:r w:rsidR="000259C3">
        <w:rPr>
          <w:rFonts w:cs="Calibri"/>
          <w:sz w:val="24"/>
          <w:szCs w:val="24"/>
          <w:lang w:eastAsia="pl-PL"/>
        </w:rPr>
        <w:t>y</w:t>
      </w:r>
      <w:r w:rsidRPr="001268E7">
        <w:rPr>
          <w:rFonts w:cs="Calibri"/>
          <w:sz w:val="24"/>
          <w:szCs w:val="24"/>
          <w:lang w:eastAsia="pl-PL"/>
        </w:rPr>
        <w:t xml:space="preserve"> się w</w:t>
      </w:r>
      <w:r w:rsidR="008E36AE">
        <w:rPr>
          <w:rFonts w:cs="Calibri"/>
          <w:sz w:val="24"/>
          <w:szCs w:val="24"/>
          <w:lang w:eastAsia="pl-PL"/>
        </w:rPr>
        <w:t xml:space="preserve"> Olsztynie w ramach struktur</w:t>
      </w:r>
      <w:r w:rsidRPr="001268E7">
        <w:rPr>
          <w:rFonts w:cs="Calibri"/>
          <w:sz w:val="24"/>
          <w:szCs w:val="24"/>
          <w:lang w:eastAsia="pl-PL"/>
        </w:rPr>
        <w:t xml:space="preserve"> Centrum Projektów Europejskich;</w:t>
      </w:r>
    </w:p>
    <w:p w:rsidR="005C57AE" w:rsidRPr="001268E7" w:rsidRDefault="005C57AE" w:rsidP="00C62170">
      <w:pPr>
        <w:pStyle w:val="Akapitzlist"/>
        <w:numPr>
          <w:ilvl w:val="0"/>
          <w:numId w:val="37"/>
        </w:numPr>
        <w:spacing w:before="100" w:beforeAutospacing="1" w:after="100" w:afterAutospacing="1" w:line="240" w:lineRule="auto"/>
        <w:contextualSpacing w:val="0"/>
        <w:jc w:val="both"/>
        <w:rPr>
          <w:rFonts w:cs="Calibri"/>
          <w:sz w:val="24"/>
          <w:szCs w:val="24"/>
        </w:rPr>
      </w:pPr>
      <w:r w:rsidRPr="001268E7">
        <w:rPr>
          <w:rFonts w:cs="Calibri"/>
          <w:sz w:val="24"/>
          <w:szCs w:val="24"/>
        </w:rPr>
        <w:t>Oddział w Kaliningradzie (Federacja Rosyjska).</w:t>
      </w:r>
    </w:p>
    <w:p w:rsidR="004B654C" w:rsidRPr="001268E7" w:rsidRDefault="005C57AE" w:rsidP="005C57AE">
      <w:pPr>
        <w:spacing w:before="100" w:beforeAutospacing="1" w:after="100" w:afterAutospacing="1" w:line="240" w:lineRule="auto"/>
        <w:jc w:val="both"/>
        <w:rPr>
          <w:rFonts w:cs="Calibri"/>
          <w:color w:val="000000"/>
          <w:sz w:val="24"/>
          <w:szCs w:val="24"/>
        </w:rPr>
      </w:pPr>
      <w:r w:rsidRPr="001268E7">
        <w:rPr>
          <w:rFonts w:cs="Calibri"/>
          <w:sz w:val="24"/>
          <w:szCs w:val="24"/>
          <w:lang w:eastAsia="pl-PL"/>
        </w:rPr>
        <w:t>Funkcje kontrolne realizowane będą na następujących poziomach:</w:t>
      </w:r>
    </w:p>
    <w:p w:rsidR="005C57AE" w:rsidRPr="001268E7" w:rsidRDefault="005C57AE" w:rsidP="00C62170">
      <w:pPr>
        <w:pStyle w:val="Akapitzlist"/>
        <w:numPr>
          <w:ilvl w:val="0"/>
          <w:numId w:val="38"/>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Niezależni audytorzy, którzy będą wybierani przez beneficjentów projektów i którzy będą odpowiedzialni za weryfikację wydatków na poziomie projektu;</w:t>
      </w:r>
    </w:p>
    <w:p w:rsidR="00BA15BE" w:rsidRPr="00BA15BE" w:rsidRDefault="00250751" w:rsidP="00BA15BE">
      <w:pPr>
        <w:pStyle w:val="Akapitzlist"/>
        <w:numPr>
          <w:ilvl w:val="1"/>
          <w:numId w:val="38"/>
        </w:numPr>
        <w:spacing w:before="100" w:beforeAutospacing="1" w:after="100" w:afterAutospacing="1" w:line="240" w:lineRule="auto"/>
        <w:contextualSpacing w:val="0"/>
        <w:jc w:val="both"/>
        <w:rPr>
          <w:vanish/>
          <w:sz w:val="24"/>
        </w:rPr>
      </w:pPr>
      <w:r w:rsidRPr="001268E7">
        <w:rPr>
          <w:rFonts w:cs="Calibri"/>
          <w:sz w:val="24"/>
          <w:szCs w:val="24"/>
          <w:lang w:eastAsia="pl-PL"/>
        </w:rPr>
        <w:t>IZ i WST, które będą wspomagane przez Kontrolne Punkty Kontaktowe (KPK) w każdym kraju:</w:t>
      </w:r>
      <w:r w:rsidRPr="001268E7">
        <w:rPr>
          <w:rFonts w:cs="Calibri"/>
          <w:sz w:val="24"/>
          <w:szCs w:val="24"/>
        </w:rPr>
        <w:t xml:space="preserve"> </w:t>
      </w:r>
      <w:r w:rsidR="00BA15BE" w:rsidRPr="00BA15BE">
        <w:rPr>
          <w:sz w:val="24"/>
          <w:szCs w:val="24"/>
        </w:rPr>
        <w:t xml:space="preserve">w Polsce: </w:t>
      </w:r>
    </w:p>
    <w:p w:rsidR="00BA15BE" w:rsidRPr="00BA15BE" w:rsidRDefault="00BA15BE" w:rsidP="00BA15BE">
      <w:pPr>
        <w:pStyle w:val="Akapitzlist"/>
        <w:numPr>
          <w:ilvl w:val="0"/>
          <w:numId w:val="39"/>
        </w:numPr>
        <w:autoSpaceDE w:val="0"/>
        <w:autoSpaceDN w:val="0"/>
        <w:adjustRightInd w:val="0"/>
        <w:spacing w:after="0" w:line="240" w:lineRule="auto"/>
        <w:jc w:val="both"/>
        <w:rPr>
          <w:vanish/>
          <w:sz w:val="24"/>
        </w:rPr>
      </w:pPr>
    </w:p>
    <w:p w:rsidR="00BA15BE" w:rsidRPr="00BA15BE" w:rsidRDefault="00BA15BE" w:rsidP="00BA15BE">
      <w:pPr>
        <w:pStyle w:val="Akapitzlist"/>
        <w:numPr>
          <w:ilvl w:val="0"/>
          <w:numId w:val="39"/>
        </w:numPr>
        <w:autoSpaceDE w:val="0"/>
        <w:autoSpaceDN w:val="0"/>
        <w:adjustRightInd w:val="0"/>
        <w:spacing w:after="0" w:line="240" w:lineRule="auto"/>
        <w:jc w:val="both"/>
        <w:rPr>
          <w:vanish/>
          <w:sz w:val="24"/>
        </w:rPr>
      </w:pPr>
    </w:p>
    <w:p w:rsidR="00BA15BE" w:rsidRPr="00BA15BE" w:rsidRDefault="00BA15BE" w:rsidP="00BA15BE">
      <w:pPr>
        <w:pStyle w:val="Akapitzlist"/>
        <w:numPr>
          <w:ilvl w:val="0"/>
          <w:numId w:val="39"/>
        </w:numPr>
        <w:autoSpaceDE w:val="0"/>
        <w:autoSpaceDN w:val="0"/>
        <w:adjustRightInd w:val="0"/>
        <w:spacing w:after="0" w:line="240" w:lineRule="auto"/>
        <w:jc w:val="both"/>
        <w:rPr>
          <w:vanish/>
          <w:sz w:val="24"/>
        </w:rPr>
      </w:pPr>
      <w:r w:rsidRPr="001268E7">
        <w:rPr>
          <w:sz w:val="24"/>
          <w:szCs w:val="24"/>
        </w:rPr>
        <w:t>Centrum</w:t>
      </w:r>
    </w:p>
    <w:p w:rsidR="00BA15BE" w:rsidRPr="00BA15BE" w:rsidRDefault="00BA15BE" w:rsidP="00BA15BE">
      <w:pPr>
        <w:pStyle w:val="Akapitzlist"/>
        <w:numPr>
          <w:ilvl w:val="1"/>
          <w:numId w:val="38"/>
        </w:numPr>
        <w:spacing w:before="100" w:beforeAutospacing="1" w:after="100" w:afterAutospacing="1" w:line="240" w:lineRule="auto"/>
        <w:contextualSpacing w:val="0"/>
        <w:jc w:val="both"/>
        <w:rPr>
          <w:rFonts w:cs="Calibri"/>
          <w:sz w:val="24"/>
          <w:szCs w:val="24"/>
        </w:rPr>
      </w:pPr>
      <w:r w:rsidRPr="001268E7">
        <w:rPr>
          <w:sz w:val="24"/>
          <w:szCs w:val="24"/>
        </w:rPr>
        <w:t xml:space="preserve"> Projektów Europejskich</w:t>
      </w:r>
    </w:p>
    <w:p w:rsidR="00BA15BE" w:rsidRPr="00BA15BE" w:rsidRDefault="00BA15BE" w:rsidP="00BA15BE">
      <w:pPr>
        <w:pStyle w:val="Akapitzlist"/>
        <w:numPr>
          <w:ilvl w:val="1"/>
          <w:numId w:val="38"/>
        </w:numPr>
        <w:autoSpaceDE w:val="0"/>
        <w:autoSpaceDN w:val="0"/>
        <w:adjustRightInd w:val="0"/>
        <w:spacing w:after="0" w:line="240" w:lineRule="auto"/>
        <w:jc w:val="both"/>
        <w:rPr>
          <w:sz w:val="24"/>
          <w:szCs w:val="24"/>
        </w:rPr>
      </w:pPr>
      <w:r w:rsidRPr="00BA15BE">
        <w:rPr>
          <w:sz w:val="24"/>
          <w:szCs w:val="24"/>
        </w:rPr>
        <w:t xml:space="preserve">w Federacji Rosyjskiej: Ministerstwo Rozwoju Gospodarczego Federacji Rosyjskiej. </w:t>
      </w:r>
    </w:p>
    <w:p w:rsidR="004B654C" w:rsidRPr="001268E7" w:rsidRDefault="00250751" w:rsidP="00BA15BE">
      <w:pPr>
        <w:pStyle w:val="Akapitzlist1"/>
        <w:autoSpaceDE w:val="0"/>
        <w:autoSpaceDN w:val="0"/>
        <w:adjustRightInd w:val="0"/>
        <w:spacing w:before="100" w:beforeAutospacing="1" w:after="100" w:afterAutospacing="1" w:line="240" w:lineRule="auto"/>
        <w:ind w:left="0" w:firstLine="360"/>
        <w:jc w:val="both"/>
        <w:rPr>
          <w:rFonts w:cs="Calibri"/>
          <w:color w:val="000000"/>
          <w:sz w:val="24"/>
          <w:szCs w:val="24"/>
        </w:rPr>
      </w:pPr>
      <w:r w:rsidRPr="001268E7">
        <w:rPr>
          <w:rFonts w:cs="Calibri"/>
          <w:color w:val="000000"/>
          <w:sz w:val="24"/>
          <w:szCs w:val="24"/>
        </w:rPr>
        <w:t>Funkcje audytowe realizowane będą przez następujące instytucje:</w:t>
      </w:r>
    </w:p>
    <w:p w:rsidR="00250751" w:rsidRPr="001268E7" w:rsidRDefault="00250751" w:rsidP="00C62170">
      <w:pPr>
        <w:pStyle w:val="Akapitzlist"/>
        <w:numPr>
          <w:ilvl w:val="0"/>
          <w:numId w:val="40"/>
        </w:numPr>
        <w:spacing w:before="100" w:beforeAutospacing="1" w:after="100" w:afterAutospacing="1" w:line="240" w:lineRule="auto"/>
        <w:contextualSpacing w:val="0"/>
        <w:jc w:val="both"/>
        <w:rPr>
          <w:rFonts w:cs="Calibri"/>
          <w:color w:val="000000"/>
          <w:sz w:val="24"/>
          <w:szCs w:val="24"/>
        </w:rPr>
      </w:pPr>
      <w:r w:rsidRPr="001268E7">
        <w:rPr>
          <w:rFonts w:cs="Calibri"/>
          <w:sz w:val="24"/>
          <w:szCs w:val="24"/>
          <w:lang w:eastAsia="pl-PL"/>
        </w:rPr>
        <w:t>Instytucję Audytową (IA) – Generalny Inspektor Kontroli Skarbowej w Ministerstwie Finansów Rzeczypospolitej Polskiej;</w:t>
      </w:r>
      <w:r w:rsidRPr="001268E7">
        <w:rPr>
          <w:rFonts w:cs="Calibri"/>
          <w:sz w:val="24"/>
          <w:szCs w:val="24"/>
        </w:rPr>
        <w:t xml:space="preserve"> </w:t>
      </w:r>
    </w:p>
    <w:p w:rsidR="00250751" w:rsidRPr="001268E7" w:rsidRDefault="00250751" w:rsidP="00C62170">
      <w:pPr>
        <w:pStyle w:val="Akapitzlist"/>
        <w:numPr>
          <w:ilvl w:val="0"/>
          <w:numId w:val="40"/>
        </w:numPr>
        <w:spacing w:after="0" w:line="240" w:lineRule="auto"/>
        <w:contextualSpacing w:val="0"/>
        <w:jc w:val="both"/>
        <w:rPr>
          <w:rFonts w:cs="Calibri"/>
          <w:sz w:val="24"/>
          <w:szCs w:val="24"/>
        </w:rPr>
      </w:pPr>
      <w:r w:rsidRPr="001268E7">
        <w:rPr>
          <w:rFonts w:cs="Calibri"/>
          <w:sz w:val="24"/>
          <w:szCs w:val="24"/>
          <w:lang w:eastAsia="pl-PL"/>
        </w:rPr>
        <w:t>Grupę Audytorów (GA), składającą się z przedstawicieli następujących instytucji:</w:t>
      </w:r>
    </w:p>
    <w:p w:rsidR="00250751" w:rsidRPr="001268E7" w:rsidRDefault="00250751" w:rsidP="00C62170">
      <w:pPr>
        <w:pStyle w:val="Akapitzlist"/>
        <w:numPr>
          <w:ilvl w:val="0"/>
          <w:numId w:val="41"/>
        </w:numPr>
        <w:autoSpaceDE w:val="0"/>
        <w:autoSpaceDN w:val="0"/>
        <w:adjustRightInd w:val="0"/>
        <w:spacing w:after="0" w:line="240" w:lineRule="auto"/>
        <w:jc w:val="both"/>
        <w:rPr>
          <w:sz w:val="24"/>
          <w:szCs w:val="24"/>
        </w:rPr>
      </w:pPr>
      <w:r w:rsidRPr="001268E7">
        <w:rPr>
          <w:sz w:val="24"/>
          <w:szCs w:val="24"/>
        </w:rPr>
        <w:t>Ministerstwa Finansów ze strony polskiej;</w:t>
      </w:r>
      <w:r w:rsidRPr="001268E7">
        <w:rPr>
          <w:rFonts w:cs="Calibri"/>
          <w:color w:val="000000"/>
          <w:sz w:val="24"/>
          <w:szCs w:val="24"/>
        </w:rPr>
        <w:t xml:space="preserve"> </w:t>
      </w:r>
    </w:p>
    <w:p w:rsidR="004B654C" w:rsidRPr="00BA15BE" w:rsidRDefault="00250751" w:rsidP="00BA15BE">
      <w:pPr>
        <w:pStyle w:val="Akapitzlist"/>
        <w:autoSpaceDE w:val="0"/>
        <w:autoSpaceDN w:val="0"/>
        <w:adjustRightInd w:val="0"/>
        <w:spacing w:before="100" w:beforeAutospacing="1" w:after="100" w:afterAutospacing="1" w:line="240" w:lineRule="auto"/>
        <w:ind w:left="1068"/>
        <w:jc w:val="both"/>
        <w:rPr>
          <w:rStyle w:val="Wyrnieniedelikatne"/>
          <w:b w:val="0"/>
          <w:i w:val="0"/>
          <w:u w:val="none"/>
        </w:rPr>
      </w:pPr>
      <w:r w:rsidRPr="001268E7">
        <w:rPr>
          <w:rFonts w:cs="Calibri"/>
          <w:color w:val="000000"/>
          <w:sz w:val="24"/>
          <w:szCs w:val="24"/>
        </w:rPr>
        <w:t>Ministerstwa Finansów Federacji Rosyjskiej ze strony rosyjskiej.</w:t>
      </w:r>
    </w:p>
    <w:p w:rsidR="004B654C" w:rsidRPr="001268E7" w:rsidRDefault="00250751" w:rsidP="00250751">
      <w:pPr>
        <w:autoSpaceDE w:val="0"/>
        <w:autoSpaceDN w:val="0"/>
        <w:adjustRightInd w:val="0"/>
        <w:spacing w:before="100" w:beforeAutospacing="1" w:after="100" w:afterAutospacing="1" w:line="240" w:lineRule="auto"/>
        <w:jc w:val="both"/>
        <w:rPr>
          <w:rStyle w:val="Wyrnieniedelikatne"/>
        </w:rPr>
      </w:pPr>
      <w:r w:rsidRPr="001268E7">
        <w:rPr>
          <w:rStyle w:val="Wyrnieniedelikatne"/>
        </w:rPr>
        <w:t>Struktura zarządzania Programem</w:t>
      </w:r>
    </w:p>
    <w:p w:rsidR="004B654C" w:rsidRPr="001268E7" w:rsidRDefault="00250751" w:rsidP="00D65A0E">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lastRenderedPageBreak/>
        <w:t>WKM odpowiada za jakość i efektywność realizacji Programu.</w:t>
      </w:r>
      <w:r w:rsidR="004B654C" w:rsidRPr="001268E7">
        <w:rPr>
          <w:rFonts w:cs="Calibri"/>
          <w:sz w:val="24"/>
          <w:szCs w:val="24"/>
        </w:rPr>
        <w:t xml:space="preserve"> </w:t>
      </w:r>
      <w:r w:rsidRPr="001268E7">
        <w:rPr>
          <w:rFonts w:cs="Calibri"/>
          <w:bCs/>
          <w:sz w:val="24"/>
          <w:szCs w:val="24"/>
        </w:rPr>
        <w:t>IZ odpowiada za zarządzanie Programem i zapewnienie, że decyzje WKM będą zgodne z obowiązującymi regulacjami i przepisami.</w:t>
      </w:r>
      <w:r w:rsidR="004B654C" w:rsidRPr="001268E7">
        <w:rPr>
          <w:rFonts w:cs="Calibri"/>
          <w:sz w:val="24"/>
          <w:szCs w:val="24"/>
        </w:rPr>
        <w:t xml:space="preserve"> </w:t>
      </w:r>
      <w:r w:rsidR="00D65A0E" w:rsidRPr="001268E7">
        <w:rPr>
          <w:rFonts w:cs="Calibri"/>
          <w:sz w:val="24"/>
          <w:szCs w:val="24"/>
        </w:rPr>
        <w:t>IK wspiera IZ w zakresie zarządzania Programem na swoim terytorium.</w:t>
      </w:r>
      <w:r w:rsidR="004B654C" w:rsidRPr="001268E7">
        <w:rPr>
          <w:rFonts w:cs="Calibri"/>
          <w:sz w:val="24"/>
          <w:szCs w:val="24"/>
        </w:rPr>
        <w:t xml:space="preserve"> </w:t>
      </w:r>
      <w:r w:rsidR="00D65A0E" w:rsidRPr="001268E7">
        <w:rPr>
          <w:rFonts w:cs="Calibri"/>
          <w:sz w:val="24"/>
          <w:szCs w:val="24"/>
        </w:rPr>
        <w:t>WST i Oddziały będą wspierać IZ i WKM w zakresie realizowania ich właściwych funkcji.</w:t>
      </w:r>
    </w:p>
    <w:p w:rsidR="004B654C" w:rsidRPr="001268E7" w:rsidRDefault="001F72CA" w:rsidP="004B654C">
      <w:pPr>
        <w:autoSpaceDE w:val="0"/>
        <w:autoSpaceDN w:val="0"/>
        <w:adjustRightInd w:val="0"/>
        <w:spacing w:before="100" w:beforeAutospacing="1" w:after="100" w:afterAutospacing="1" w:line="240" w:lineRule="auto"/>
        <w:jc w:val="both"/>
        <w:rPr>
          <w:rFonts w:cs="Calibri"/>
          <w:sz w:val="24"/>
          <w:szCs w:val="24"/>
        </w:rPr>
      </w:pPr>
      <w:r>
        <w:rPr>
          <w:rFonts w:cs="Calibri"/>
          <w:noProof/>
          <w:sz w:val="24"/>
          <w:szCs w:val="24"/>
          <w:lang w:eastAsia="pl-PL"/>
        </w:rPr>
        <mc:AlternateContent>
          <mc:Choice Requires="wps">
            <w:drawing>
              <wp:anchor distT="0" distB="0" distL="114300" distR="114300" simplePos="0" relativeHeight="251664384" behindDoc="0" locked="0" layoutInCell="1" allowOverlap="1" wp14:anchorId="24E18CF5" wp14:editId="7BE94B1F">
                <wp:simplePos x="0" y="0"/>
                <wp:positionH relativeFrom="column">
                  <wp:posOffset>4568825</wp:posOffset>
                </wp:positionH>
                <wp:positionV relativeFrom="paragraph">
                  <wp:posOffset>5029835</wp:posOffset>
                </wp:positionV>
                <wp:extent cx="8890" cy="440055"/>
                <wp:effectExtent l="76200" t="76200" r="29210" b="17145"/>
                <wp:wrapNone/>
                <wp:docPr id="1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440055"/>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margin-left:359.75pt;margin-top:396.05pt;width:.7pt;height:34.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">
                <v:shadow on="t" opacity=".5" offset="-6pt,-6pt"/>
              </v:shape>
            </w:pict>
          </mc:Fallback>
        </mc:AlternateContent>
      </w:r>
      <w:r>
        <w:rPr>
          <w:rFonts w:cs="Calibri"/>
          <w:noProof/>
          <w:sz w:val="24"/>
          <w:szCs w:val="24"/>
          <w:lang w:eastAsia="pl-PL"/>
        </w:rPr>
        <mc:AlternateContent>
          <mc:Choice Requires="wps">
            <w:drawing>
              <wp:anchor distT="0" distB="0" distL="114300" distR="114300" simplePos="0" relativeHeight="251661312" behindDoc="0" locked="0" layoutInCell="1" allowOverlap="1" wp14:anchorId="3FF3E656" wp14:editId="0AD857AC">
                <wp:simplePos x="0" y="0"/>
                <wp:positionH relativeFrom="column">
                  <wp:posOffset>3557905</wp:posOffset>
                </wp:positionH>
                <wp:positionV relativeFrom="paragraph">
                  <wp:posOffset>3372485</wp:posOffset>
                </wp:positionV>
                <wp:extent cx="90805" cy="440055"/>
                <wp:effectExtent l="95250" t="95250" r="42545" b="17145"/>
                <wp:wrapNone/>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40055"/>
                        </a:xfrm>
                        <a:prstGeom prst="upArrow">
                          <a:avLst>
                            <a:gd name="adj1" fmla="val 50000"/>
                            <a:gd name="adj2" fmla="val 121154"/>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2" o:spid="_x0000_s1026" type="#_x0000_t68" style="position:absolute;margin-left:280.15pt;margin-top:265.55pt;width:7.1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">
                <v:shadow on="t" opacity=".5" offset="-6pt,-6pt"/>
              </v:shape>
            </w:pict>
          </mc:Fallback>
        </mc:AlternateContent>
      </w:r>
      <w:r>
        <w:rPr>
          <w:rFonts w:cs="Calibri"/>
          <w:noProof/>
          <w:sz w:val="24"/>
          <w:szCs w:val="24"/>
          <w:lang w:eastAsia="pl-PL"/>
        </w:rPr>
        <mc:AlternateContent>
          <mc:Choice Requires="wps">
            <w:drawing>
              <wp:anchor distT="0" distB="0" distL="114300" distR="114300" simplePos="0" relativeHeight="251660288" behindDoc="0" locked="0" layoutInCell="1" allowOverlap="1" wp14:anchorId="28A82093" wp14:editId="54F67EFE">
                <wp:simplePos x="0" y="0"/>
                <wp:positionH relativeFrom="column">
                  <wp:posOffset>2416810</wp:posOffset>
                </wp:positionH>
                <wp:positionV relativeFrom="paragraph">
                  <wp:posOffset>3372485</wp:posOffset>
                </wp:positionV>
                <wp:extent cx="90805" cy="440055"/>
                <wp:effectExtent l="95250" t="95250" r="42545" b="17145"/>
                <wp:wrapNone/>
                <wp:docPr id="1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40055"/>
                        </a:xfrm>
                        <a:prstGeom prst="upArrow">
                          <a:avLst>
                            <a:gd name="adj1" fmla="val 50000"/>
                            <a:gd name="adj2" fmla="val 121154"/>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8" style="position:absolute;margin-left:190.3pt;margin-top:265.55pt;width:7.15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">
                <v:shadow on="t" opacity=".5" offset="-6pt,-6pt"/>
              </v:shape>
            </w:pict>
          </mc:Fallback>
        </mc:AlternateContent>
      </w:r>
      <w:r>
        <w:rPr>
          <w:rFonts w:cs="Calibri"/>
          <w:noProof/>
          <w:sz w:val="24"/>
          <w:szCs w:val="24"/>
          <w:lang w:eastAsia="pl-PL"/>
        </w:rPr>
        <mc:AlternateContent>
          <mc:Choice Requires="wps">
            <w:drawing>
              <wp:anchor distT="0" distB="0" distL="114300" distR="114300" simplePos="0" relativeHeight="251662336" behindDoc="0" locked="0" layoutInCell="1" allowOverlap="1" wp14:anchorId="0F72BD14" wp14:editId="3FCC63D5">
                <wp:simplePos x="0" y="0"/>
                <wp:positionH relativeFrom="column">
                  <wp:posOffset>4241800</wp:posOffset>
                </wp:positionH>
                <wp:positionV relativeFrom="paragraph">
                  <wp:posOffset>1431290</wp:posOffset>
                </wp:positionV>
                <wp:extent cx="138430" cy="2242820"/>
                <wp:effectExtent l="95250" t="114300" r="33020" b="24130"/>
                <wp:wrapNone/>
                <wp:docPr id="1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2242820"/>
                        </a:xfrm>
                        <a:prstGeom prst="upArrow">
                          <a:avLst>
                            <a:gd name="adj1" fmla="val 50000"/>
                            <a:gd name="adj2" fmla="val 405046"/>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8" style="position:absolute;margin-left:334pt;margin-top:112.7pt;width:10.9pt;height:17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">
                <v:shadow on="t" opacity=".5" offset="-6pt,-6pt"/>
              </v:shape>
            </w:pict>
          </mc:Fallback>
        </mc:AlternateContent>
      </w:r>
      <w:r>
        <w:rPr>
          <w:rFonts w:cs="Calibri"/>
          <w:noProof/>
          <w:sz w:val="24"/>
          <w:szCs w:val="24"/>
          <w:lang w:eastAsia="pl-PL"/>
        </w:rPr>
        <mc:AlternateContent>
          <mc:Choice Requires="wps">
            <w:drawing>
              <wp:anchor distT="0" distB="0" distL="114300" distR="114300" simplePos="0" relativeHeight="251659264" behindDoc="0" locked="0" layoutInCell="1" allowOverlap="1" wp14:anchorId="1F1ECBBB" wp14:editId="7B7A873E">
                <wp:simplePos x="0" y="0"/>
                <wp:positionH relativeFrom="column">
                  <wp:posOffset>2507615</wp:posOffset>
                </wp:positionH>
                <wp:positionV relativeFrom="paragraph">
                  <wp:posOffset>1379220</wp:posOffset>
                </wp:positionV>
                <wp:extent cx="120650" cy="501015"/>
                <wp:effectExtent l="95250" t="95250" r="31750" b="32385"/>
                <wp:wrapNone/>
                <wp:docPr id="1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501015"/>
                        </a:xfrm>
                        <a:prstGeom prst="upDownArrow">
                          <a:avLst>
                            <a:gd name="adj1" fmla="val 50000"/>
                            <a:gd name="adj2" fmla="val 83053"/>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0" o:spid="_x0000_s1026" type="#_x0000_t70" style="position:absolute;margin-left:197.45pt;margin-top:108.6pt;width:9.5pt;height: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">
                <v:shadow on="t" opacity=".5" offset="-6pt,-6pt"/>
              </v:shape>
            </w:pict>
          </mc:Fallback>
        </mc:AlternateContent>
      </w:r>
      <w:r w:rsidR="00277D84" w:rsidRPr="001268E7">
        <w:rPr>
          <w:rFonts w:cs="Calibri"/>
          <w:noProof/>
          <w:sz w:val="24"/>
          <w:szCs w:val="24"/>
          <w:lang w:eastAsia="pl-PL"/>
        </w:rPr>
        <w:drawing>
          <wp:inline distT="0" distB="0" distL="0" distR="0" wp14:anchorId="26A34C36" wp14:editId="61AF82AA">
            <wp:extent cx="5757377" cy="5865962"/>
            <wp:effectExtent l="0" t="57150" r="0" b="20955"/>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B654C" w:rsidRPr="00590640" w:rsidRDefault="00144F28" w:rsidP="00E56B57">
      <w:pPr>
        <w:spacing w:after="0" w:line="240" w:lineRule="auto"/>
        <w:contextualSpacing/>
        <w:jc w:val="both"/>
        <w:rPr>
          <w:b/>
          <w:i/>
          <w:sz w:val="20"/>
        </w:rPr>
      </w:pPr>
      <w:r w:rsidRPr="00590640">
        <w:rPr>
          <w:b/>
          <w:i/>
          <w:sz w:val="20"/>
        </w:rPr>
        <w:t>Wykres 1. Struktura zarządzania Programem</w:t>
      </w:r>
    </w:p>
    <w:p w:rsidR="004B654C" w:rsidRPr="001268E7" w:rsidRDefault="00D65A0E" w:rsidP="00D65A0E">
      <w:pPr>
        <w:autoSpaceDE w:val="0"/>
        <w:autoSpaceDN w:val="0"/>
        <w:adjustRightInd w:val="0"/>
        <w:spacing w:before="100" w:beforeAutospacing="1" w:after="100" w:afterAutospacing="1" w:line="240" w:lineRule="auto"/>
        <w:jc w:val="both"/>
        <w:rPr>
          <w:rStyle w:val="Wyrnieniedelikatne"/>
        </w:rPr>
      </w:pPr>
      <w:r w:rsidRPr="001268E7">
        <w:rPr>
          <w:rStyle w:val="Wyrnieniedelikatne"/>
        </w:rPr>
        <w:t>Struktura kontroli Programu</w:t>
      </w:r>
    </w:p>
    <w:p w:rsidR="004B654C" w:rsidRPr="001268E7" w:rsidRDefault="00D65A0E" w:rsidP="00924C1C">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KPK będ</w:t>
      </w:r>
      <w:r w:rsidR="00924C1C" w:rsidRPr="001268E7">
        <w:rPr>
          <w:rFonts w:cs="Calibri"/>
          <w:sz w:val="24"/>
          <w:szCs w:val="24"/>
        </w:rPr>
        <w:t>zie wspomagać</w:t>
      </w:r>
      <w:r w:rsidRPr="001268E7">
        <w:rPr>
          <w:rFonts w:cs="Calibri"/>
          <w:sz w:val="24"/>
          <w:szCs w:val="24"/>
        </w:rPr>
        <w:t xml:space="preserve"> IZ w zakresie zadań kontrolnych.</w:t>
      </w:r>
      <w:r w:rsidR="004B654C" w:rsidRPr="001268E7">
        <w:rPr>
          <w:rFonts w:cs="Calibri"/>
          <w:sz w:val="24"/>
          <w:szCs w:val="24"/>
        </w:rPr>
        <w:t xml:space="preserve"> </w:t>
      </w:r>
      <w:r w:rsidR="00924C1C" w:rsidRPr="001268E7">
        <w:rPr>
          <w:rFonts w:cs="Calibri"/>
          <w:sz w:val="24"/>
          <w:szCs w:val="24"/>
        </w:rPr>
        <w:t>IZ będzie również wspomagana przez WST w wykonywaniu fun</w:t>
      </w:r>
      <w:r w:rsidR="00AE515F" w:rsidRPr="001268E7">
        <w:rPr>
          <w:rFonts w:cs="Calibri"/>
          <w:sz w:val="24"/>
          <w:szCs w:val="24"/>
        </w:rPr>
        <w:t>kcji kontrolnych, na wniosek IZ</w:t>
      </w:r>
      <w:r w:rsidR="00924C1C" w:rsidRPr="001268E7">
        <w:rPr>
          <w:rFonts w:cs="Calibri"/>
          <w:sz w:val="24"/>
          <w:szCs w:val="24"/>
        </w:rPr>
        <w:t>.</w:t>
      </w:r>
    </w:p>
    <w:p w:rsidR="004B654C" w:rsidRPr="001268E7" w:rsidRDefault="001F72CA" w:rsidP="004B654C">
      <w:pPr>
        <w:autoSpaceDE w:val="0"/>
        <w:autoSpaceDN w:val="0"/>
        <w:adjustRightInd w:val="0"/>
        <w:spacing w:before="100" w:beforeAutospacing="1" w:after="100" w:afterAutospacing="1" w:line="240" w:lineRule="auto"/>
        <w:jc w:val="both"/>
        <w:rPr>
          <w:rFonts w:cs="Calibri"/>
          <w:sz w:val="24"/>
          <w:szCs w:val="24"/>
          <w:lang w:eastAsia="pl-PL"/>
        </w:rPr>
      </w:pPr>
      <w:r>
        <w:rPr>
          <w:rFonts w:cs="Calibri"/>
          <w:noProof/>
          <w:sz w:val="24"/>
          <w:szCs w:val="24"/>
          <w:lang w:eastAsia="pl-PL"/>
        </w:rPr>
        <w:lastRenderedPageBreak/>
        <mc:AlternateContent>
          <mc:Choice Requires="wps">
            <w:drawing>
              <wp:anchor distT="0" distB="0" distL="114300" distR="114300" simplePos="0" relativeHeight="251666432" behindDoc="0" locked="0" layoutInCell="1" allowOverlap="1" wp14:anchorId="48AC9E14" wp14:editId="2139301F">
                <wp:simplePos x="0" y="0"/>
                <wp:positionH relativeFrom="column">
                  <wp:posOffset>4716145</wp:posOffset>
                </wp:positionH>
                <wp:positionV relativeFrom="paragraph">
                  <wp:posOffset>1748155</wp:posOffset>
                </wp:positionV>
                <wp:extent cx="90805" cy="474345"/>
                <wp:effectExtent l="95250" t="95250" r="42545" b="20955"/>
                <wp:wrapNone/>
                <wp:docPr id="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74345"/>
                        </a:xfrm>
                        <a:prstGeom prst="upArrow">
                          <a:avLst>
                            <a:gd name="adj1" fmla="val 50000"/>
                            <a:gd name="adj2" fmla="val 130594"/>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8" style="position:absolute;margin-left:371.35pt;margin-top:137.65pt;width:7.15pt;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">
                <v:shadow on="t" opacity=".5" offset="-6pt,-6pt"/>
              </v:shape>
            </w:pict>
          </mc:Fallback>
        </mc:AlternateContent>
      </w:r>
      <w:r>
        <w:rPr>
          <w:rFonts w:cs="Calibri"/>
          <w:noProof/>
          <w:sz w:val="24"/>
          <w:szCs w:val="24"/>
          <w:lang w:eastAsia="pl-PL"/>
        </w:rPr>
        <mc:AlternateContent>
          <mc:Choice Requires="wps">
            <w:drawing>
              <wp:anchor distT="0" distB="0" distL="114300" distR="114300" simplePos="0" relativeHeight="251665408" behindDoc="0" locked="0" layoutInCell="1" allowOverlap="1" wp14:anchorId="29F7DA59" wp14:editId="24804DF1">
                <wp:simplePos x="0" y="0"/>
                <wp:positionH relativeFrom="column">
                  <wp:posOffset>2981960</wp:posOffset>
                </wp:positionH>
                <wp:positionV relativeFrom="paragraph">
                  <wp:posOffset>1748155</wp:posOffset>
                </wp:positionV>
                <wp:extent cx="90805" cy="474345"/>
                <wp:effectExtent l="95250" t="95250" r="42545" b="2095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74345"/>
                        </a:xfrm>
                        <a:prstGeom prst="upArrow">
                          <a:avLst>
                            <a:gd name="adj1" fmla="val 50000"/>
                            <a:gd name="adj2" fmla="val 130594"/>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8" style="position:absolute;margin-left:234.8pt;margin-top:137.65pt;width:7.15pt;height: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">
                <v:shadow on="t" opacity=".5" offset="-6pt,-6pt"/>
              </v:shape>
            </w:pict>
          </mc:Fallback>
        </mc:AlternateContent>
      </w:r>
      <w:r w:rsidR="00D82989" w:rsidRPr="001268E7">
        <w:rPr>
          <w:rFonts w:cs="Calibri"/>
          <w:noProof/>
          <w:sz w:val="24"/>
          <w:szCs w:val="24"/>
          <w:lang w:eastAsia="pl-PL"/>
        </w:rPr>
        <w:drawing>
          <wp:inline distT="0" distB="0" distL="0" distR="0" wp14:anchorId="693AE692" wp14:editId="13AC6EF2">
            <wp:extent cx="5759175" cy="3769744"/>
            <wp:effectExtent l="38100" t="57150" r="0" b="5969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975A1" w:rsidRPr="00E975A1" w:rsidRDefault="00E975A1" w:rsidP="00E975A1">
      <w:pPr>
        <w:spacing w:after="0" w:line="240" w:lineRule="auto"/>
        <w:contextualSpacing/>
        <w:jc w:val="both"/>
        <w:rPr>
          <w:b/>
          <w:i/>
          <w:sz w:val="20"/>
        </w:rPr>
      </w:pPr>
      <w:r w:rsidRPr="00E975A1">
        <w:rPr>
          <w:b/>
          <w:i/>
          <w:sz w:val="20"/>
        </w:rPr>
        <w:t xml:space="preserve">Wykres </w:t>
      </w:r>
      <w:r>
        <w:rPr>
          <w:b/>
          <w:i/>
          <w:sz w:val="20"/>
        </w:rPr>
        <w:t>2</w:t>
      </w:r>
      <w:r w:rsidRPr="00E975A1">
        <w:rPr>
          <w:b/>
          <w:i/>
          <w:sz w:val="20"/>
        </w:rPr>
        <w:t xml:space="preserve">. Struktura </w:t>
      </w:r>
      <w:r>
        <w:rPr>
          <w:b/>
          <w:i/>
          <w:sz w:val="20"/>
        </w:rPr>
        <w:t>kontroli Programu</w:t>
      </w:r>
    </w:p>
    <w:p w:rsidR="004B654C" w:rsidRPr="001268E7" w:rsidRDefault="00924C1C" w:rsidP="00924C1C">
      <w:pPr>
        <w:autoSpaceDE w:val="0"/>
        <w:autoSpaceDN w:val="0"/>
        <w:adjustRightInd w:val="0"/>
        <w:spacing w:before="100" w:beforeAutospacing="1" w:after="100" w:afterAutospacing="1" w:line="240" w:lineRule="auto"/>
        <w:jc w:val="both"/>
        <w:rPr>
          <w:rStyle w:val="Wyrnieniedelikatne"/>
        </w:rPr>
      </w:pPr>
      <w:r w:rsidRPr="001268E7">
        <w:rPr>
          <w:rStyle w:val="Wyrnieniedelikatne"/>
        </w:rPr>
        <w:t>Struktura poziomu audytu</w:t>
      </w:r>
    </w:p>
    <w:p w:rsidR="004B654C" w:rsidRPr="001268E7" w:rsidRDefault="00924C1C" w:rsidP="00924C1C">
      <w:pPr>
        <w:spacing w:before="100" w:beforeAutospacing="1" w:after="100" w:afterAutospacing="1" w:line="240" w:lineRule="auto"/>
        <w:jc w:val="both"/>
        <w:rPr>
          <w:rFonts w:cs="Calibri"/>
          <w:spacing w:val="4"/>
          <w:sz w:val="24"/>
          <w:szCs w:val="24"/>
        </w:rPr>
      </w:pPr>
      <w:r w:rsidRPr="001268E7">
        <w:rPr>
          <w:rFonts w:cs="Calibri"/>
          <w:spacing w:val="4"/>
          <w:sz w:val="24"/>
          <w:szCs w:val="24"/>
        </w:rPr>
        <w:t xml:space="preserve">IA </w:t>
      </w:r>
      <w:r w:rsidRPr="001268E7">
        <w:rPr>
          <w:rFonts w:cs="Calibri"/>
          <w:sz w:val="24"/>
          <w:szCs w:val="24"/>
          <w:lang w:eastAsia="pl-PL"/>
        </w:rPr>
        <w:t>zapewnia prowadzenie audytów systemu zarządzania i kontroli Programu, stosownej próby projektów oraz rocznych sprawozdań finansowych Programu.</w:t>
      </w:r>
      <w:r w:rsidR="004B654C" w:rsidRPr="001268E7">
        <w:rPr>
          <w:rFonts w:cs="Calibri"/>
          <w:spacing w:val="4"/>
          <w:sz w:val="24"/>
          <w:szCs w:val="24"/>
        </w:rPr>
        <w:t xml:space="preserve"> </w:t>
      </w:r>
      <w:r w:rsidRPr="001268E7">
        <w:rPr>
          <w:rFonts w:cs="Calibri"/>
          <w:spacing w:val="4"/>
          <w:sz w:val="24"/>
          <w:szCs w:val="24"/>
        </w:rPr>
        <w:t>IA będzie wspierana przez GA z przedstawicielami obydwu państw.</w:t>
      </w:r>
      <w:r w:rsidR="004B654C" w:rsidRPr="001268E7">
        <w:rPr>
          <w:rFonts w:cs="Calibri"/>
          <w:spacing w:val="4"/>
          <w:sz w:val="24"/>
          <w:szCs w:val="24"/>
        </w:rPr>
        <w:t xml:space="preserve"> </w:t>
      </w:r>
    </w:p>
    <w:p w:rsidR="004B654C" w:rsidRPr="001268E7" w:rsidRDefault="001F72CA" w:rsidP="004B654C">
      <w:pPr>
        <w:spacing w:before="100" w:beforeAutospacing="1" w:after="100" w:afterAutospacing="1" w:line="240" w:lineRule="auto"/>
        <w:jc w:val="both"/>
        <w:rPr>
          <w:rFonts w:cs="Calibri"/>
          <w:spacing w:val="4"/>
          <w:sz w:val="24"/>
          <w:szCs w:val="24"/>
          <w:lang w:eastAsia="pl-PL"/>
        </w:rPr>
      </w:pPr>
      <w:r>
        <w:rPr>
          <w:rFonts w:cs="Calibri"/>
          <w:noProof/>
          <w:spacing w:val="4"/>
          <w:sz w:val="24"/>
          <w:szCs w:val="24"/>
          <w:lang w:eastAsia="pl-PL"/>
        </w:rPr>
        <mc:AlternateContent>
          <mc:Choice Requires="wps">
            <w:drawing>
              <wp:anchor distT="0" distB="0" distL="114300" distR="114300" simplePos="0" relativeHeight="251667456" behindDoc="0" locked="0" layoutInCell="1" allowOverlap="1" wp14:anchorId="0348CF26" wp14:editId="1B3F8E51">
                <wp:simplePos x="0" y="0"/>
                <wp:positionH relativeFrom="column">
                  <wp:posOffset>2800985</wp:posOffset>
                </wp:positionH>
                <wp:positionV relativeFrom="paragraph">
                  <wp:posOffset>1316355</wp:posOffset>
                </wp:positionV>
                <wp:extent cx="500380" cy="146685"/>
                <wp:effectExtent l="95250" t="95250" r="0" b="43815"/>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46685"/>
                        </a:xfrm>
                        <a:prstGeom prst="leftRightArrow">
                          <a:avLst>
                            <a:gd name="adj1" fmla="val 50000"/>
                            <a:gd name="adj2" fmla="val 68225"/>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8" o:spid="_x0000_s1026" type="#_x0000_t69" style="position:absolute;margin-left:220.55pt;margin-top:103.65pt;width:39.4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">
                <v:shadow on="t" opacity=".5" offset="-6pt,-6pt"/>
              </v:shape>
            </w:pict>
          </mc:Fallback>
        </mc:AlternateContent>
      </w:r>
      <w:r w:rsidR="00D82989" w:rsidRPr="001268E7">
        <w:rPr>
          <w:rFonts w:cs="Calibri"/>
          <w:noProof/>
          <w:spacing w:val="4"/>
          <w:sz w:val="24"/>
          <w:szCs w:val="24"/>
          <w:lang w:eastAsia="pl-PL"/>
        </w:rPr>
        <w:drawing>
          <wp:inline distT="0" distB="0" distL="0" distR="0" wp14:anchorId="70438507" wp14:editId="695358F3">
            <wp:extent cx="5749865" cy="2398143"/>
            <wp:effectExtent l="76200" t="0" r="22860" b="0"/>
            <wp:docPr id="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B56A0" w:rsidRDefault="00CB56A0" w:rsidP="00924C1C">
      <w:pPr>
        <w:spacing w:before="100" w:beforeAutospacing="1" w:after="100" w:afterAutospacing="1" w:line="240" w:lineRule="auto"/>
        <w:jc w:val="both"/>
        <w:rPr>
          <w:rFonts w:cs="Calibri"/>
          <w:sz w:val="24"/>
          <w:szCs w:val="24"/>
          <w:lang w:eastAsia="pl-PL"/>
        </w:rPr>
      </w:pPr>
      <w:r w:rsidRPr="00E975A1">
        <w:rPr>
          <w:b/>
          <w:i/>
          <w:sz w:val="20"/>
        </w:rPr>
        <w:t xml:space="preserve">Wykres </w:t>
      </w:r>
      <w:r w:rsidR="0061632B">
        <w:rPr>
          <w:b/>
          <w:i/>
          <w:sz w:val="20"/>
        </w:rPr>
        <w:t>3</w:t>
      </w:r>
      <w:r w:rsidRPr="00E975A1">
        <w:rPr>
          <w:b/>
          <w:i/>
          <w:sz w:val="20"/>
        </w:rPr>
        <w:t xml:space="preserve">. Struktura </w:t>
      </w:r>
      <w:r w:rsidR="0061632B">
        <w:rPr>
          <w:b/>
          <w:i/>
          <w:sz w:val="20"/>
        </w:rPr>
        <w:t>audytu</w:t>
      </w:r>
      <w:r>
        <w:rPr>
          <w:b/>
          <w:i/>
          <w:sz w:val="20"/>
        </w:rPr>
        <w:t xml:space="preserve"> Programu</w:t>
      </w:r>
    </w:p>
    <w:p w:rsidR="004B654C" w:rsidRPr="001268E7" w:rsidRDefault="00924C1C" w:rsidP="00D61551">
      <w:pPr>
        <w:spacing w:before="100" w:beforeAutospacing="1" w:after="100" w:afterAutospacing="1" w:line="240" w:lineRule="auto"/>
        <w:jc w:val="both"/>
      </w:pPr>
      <w:r w:rsidRPr="001268E7">
        <w:rPr>
          <w:rFonts w:cs="Calibri"/>
          <w:sz w:val="24"/>
          <w:szCs w:val="24"/>
          <w:lang w:eastAsia="pl-PL"/>
        </w:rPr>
        <w:lastRenderedPageBreak/>
        <w:t xml:space="preserve">Szczegółowe zadania i obowiązki wskazanych wyżej organów Programu wskazane zostały w kolejnych rozdziałach </w:t>
      </w:r>
      <w:r w:rsidR="00347A3C" w:rsidRPr="001268E7">
        <w:rPr>
          <w:rFonts w:cs="Calibri"/>
          <w:sz w:val="24"/>
          <w:szCs w:val="24"/>
          <w:lang w:eastAsia="pl-PL"/>
        </w:rPr>
        <w:t>Wspólnego Programu Operacyjnego (</w:t>
      </w:r>
      <w:r w:rsidRPr="001268E7">
        <w:rPr>
          <w:rFonts w:cs="Calibri"/>
          <w:sz w:val="24"/>
          <w:szCs w:val="24"/>
          <w:lang w:eastAsia="pl-PL"/>
        </w:rPr>
        <w:t>WPO</w:t>
      </w:r>
      <w:r w:rsidR="00347A3C" w:rsidRPr="001268E7">
        <w:rPr>
          <w:rFonts w:cs="Calibri"/>
          <w:sz w:val="24"/>
          <w:szCs w:val="24"/>
          <w:lang w:eastAsia="pl-PL"/>
        </w:rPr>
        <w:t>)</w:t>
      </w:r>
      <w:r w:rsidRPr="001268E7">
        <w:rPr>
          <w:rFonts w:cs="Calibri"/>
          <w:sz w:val="24"/>
          <w:szCs w:val="24"/>
          <w:lang w:eastAsia="pl-PL"/>
        </w:rPr>
        <w:t xml:space="preserve"> oraz w opisie systemu zarządzania i kontroli (OSZiK).</w:t>
      </w:r>
    </w:p>
    <w:p w:rsidR="004B654C" w:rsidRPr="001268E7" w:rsidRDefault="00924C1C" w:rsidP="00924C1C">
      <w:pPr>
        <w:pStyle w:val="Nagwek2"/>
      </w:pPr>
      <w:bookmarkStart w:id="24" w:name="_Toc530737574"/>
      <w:r w:rsidRPr="001268E7">
        <w:t>3.1 Wspólny Komitet Monitorujący</w:t>
      </w:r>
      <w:bookmarkEnd w:id="24"/>
    </w:p>
    <w:p w:rsidR="004B654C" w:rsidRPr="001268E7" w:rsidRDefault="00924C1C" w:rsidP="00924C1C">
      <w:pPr>
        <w:spacing w:before="100" w:beforeAutospacing="1" w:after="100" w:afterAutospacing="1" w:line="240" w:lineRule="auto"/>
        <w:jc w:val="both"/>
        <w:rPr>
          <w:rStyle w:val="Wyrnieniedelikatne"/>
          <w:b w:val="0"/>
          <w:i w:val="0"/>
          <w:u w:val="none"/>
        </w:rPr>
      </w:pPr>
      <w:r w:rsidRPr="001268E7">
        <w:rPr>
          <w:rFonts w:cs="Calibri"/>
          <w:sz w:val="24"/>
          <w:szCs w:val="24"/>
          <w:lang w:eastAsia="pl-PL"/>
        </w:rPr>
        <w:t>WKM jest głównym organem decyzyjnym w ramach Programu.</w:t>
      </w:r>
      <w:r w:rsidR="004B654C" w:rsidRPr="001268E7">
        <w:rPr>
          <w:rStyle w:val="Wyrnieniedelikatne"/>
          <w:b w:val="0"/>
          <w:i w:val="0"/>
          <w:u w:val="none"/>
        </w:rPr>
        <w:t xml:space="preserve"> </w:t>
      </w:r>
      <w:r w:rsidRPr="001268E7">
        <w:rPr>
          <w:rFonts w:cs="Calibri"/>
          <w:spacing w:val="4"/>
          <w:sz w:val="24"/>
          <w:szCs w:val="24"/>
        </w:rPr>
        <w:t>WKM odpowiada za jakość i efektywność realizacji Programu.</w:t>
      </w:r>
    </w:p>
    <w:p w:rsidR="004B654C" w:rsidRPr="001268E7" w:rsidRDefault="00924C1C" w:rsidP="00924C1C">
      <w:pPr>
        <w:spacing w:before="100" w:beforeAutospacing="1" w:after="100" w:afterAutospacing="1" w:line="240" w:lineRule="auto"/>
        <w:jc w:val="both"/>
        <w:rPr>
          <w:rStyle w:val="Wyrnieniedelikatne"/>
        </w:rPr>
      </w:pPr>
      <w:r w:rsidRPr="001268E7">
        <w:rPr>
          <w:rStyle w:val="Wyrnieniedelikatne"/>
        </w:rPr>
        <w:t>Skład Wspólnego Komitetu Monitorującego</w:t>
      </w:r>
    </w:p>
    <w:p w:rsidR="004B654C" w:rsidRPr="001268E7" w:rsidRDefault="00924C1C" w:rsidP="00924C1C">
      <w:pPr>
        <w:spacing w:before="100" w:beforeAutospacing="1" w:after="100" w:afterAutospacing="1" w:line="240" w:lineRule="auto"/>
        <w:jc w:val="both"/>
        <w:rPr>
          <w:rFonts w:cs="Calibri"/>
          <w:spacing w:val="4"/>
          <w:sz w:val="24"/>
          <w:szCs w:val="24"/>
        </w:rPr>
      </w:pPr>
      <w:r w:rsidRPr="001268E7">
        <w:rPr>
          <w:rFonts w:cs="Calibri"/>
          <w:spacing w:val="4"/>
          <w:sz w:val="24"/>
          <w:szCs w:val="24"/>
        </w:rPr>
        <w:t>WKM składa się z przedstawicieli krajowych i regionalnych władz z kwalifikowalnego obszaru Programu obydwu państw.</w:t>
      </w:r>
      <w:r w:rsidR="004B654C" w:rsidRPr="001268E7">
        <w:rPr>
          <w:rFonts w:cs="Calibri"/>
          <w:spacing w:val="4"/>
          <w:sz w:val="24"/>
          <w:szCs w:val="24"/>
        </w:rPr>
        <w:t xml:space="preserve"> </w:t>
      </w:r>
      <w:r w:rsidRPr="001268E7">
        <w:rPr>
          <w:rFonts w:cs="Calibri"/>
          <w:spacing w:val="4"/>
          <w:sz w:val="24"/>
          <w:szCs w:val="24"/>
        </w:rPr>
        <w:t>Każde państwo będzie mieć jeden głos, niezależnie od liczby członków.</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178"/>
        <w:gridCol w:w="7036"/>
      </w:tblGrid>
      <w:tr w:rsidR="004B654C" w:rsidRPr="001268E7" w:rsidTr="00924C1C">
        <w:tc>
          <w:tcPr>
            <w:tcW w:w="2178" w:type="dxa"/>
            <w:shd w:val="clear" w:color="auto" w:fill="BFBFBF" w:themeFill="background1" w:themeFillShade="BF"/>
            <w:vAlign w:val="center"/>
          </w:tcPr>
          <w:p w:rsidR="004B654C" w:rsidRPr="001268E7" w:rsidRDefault="00924C1C" w:rsidP="001821B7">
            <w:pPr>
              <w:spacing w:after="0" w:line="240" w:lineRule="auto"/>
              <w:contextualSpacing/>
              <w:jc w:val="center"/>
              <w:rPr>
                <w:b/>
                <w:bCs/>
                <w:color w:val="000000" w:themeColor="text1"/>
              </w:rPr>
            </w:pPr>
            <w:r w:rsidRPr="001268E7">
              <w:rPr>
                <w:b/>
                <w:bCs/>
                <w:color w:val="000000" w:themeColor="text1"/>
              </w:rPr>
              <w:t>STANOWISKO</w:t>
            </w:r>
          </w:p>
        </w:tc>
        <w:tc>
          <w:tcPr>
            <w:tcW w:w="7036" w:type="dxa"/>
            <w:shd w:val="clear" w:color="auto" w:fill="BFBFBF" w:themeFill="background1" w:themeFillShade="BF"/>
            <w:vAlign w:val="center"/>
          </w:tcPr>
          <w:p w:rsidR="004B654C" w:rsidRPr="001268E7" w:rsidRDefault="00924C1C" w:rsidP="00924C1C">
            <w:pPr>
              <w:spacing w:before="120" w:after="120" w:line="240" w:lineRule="auto"/>
              <w:contextualSpacing/>
              <w:jc w:val="center"/>
              <w:rPr>
                <w:b/>
                <w:bCs/>
                <w:color w:val="000000" w:themeColor="text1"/>
              </w:rPr>
            </w:pPr>
            <w:r w:rsidRPr="001268E7">
              <w:rPr>
                <w:b/>
                <w:bCs/>
                <w:color w:val="000000" w:themeColor="text1"/>
              </w:rPr>
              <w:t>INSTYTUCJA</w:t>
            </w:r>
          </w:p>
          <w:p w:rsidR="00660958" w:rsidRPr="001268E7" w:rsidRDefault="00660958" w:rsidP="00B87561">
            <w:pPr>
              <w:spacing w:before="120" w:after="120" w:line="240" w:lineRule="auto"/>
              <w:contextualSpacing/>
              <w:jc w:val="center"/>
              <w:rPr>
                <w:b/>
                <w:bCs/>
                <w:color w:val="000000" w:themeColor="text1"/>
              </w:rPr>
            </w:pPr>
          </w:p>
        </w:tc>
      </w:tr>
      <w:tr w:rsidR="004B654C" w:rsidRPr="001268E7" w:rsidTr="0086614E">
        <w:tc>
          <w:tcPr>
            <w:tcW w:w="2178" w:type="dxa"/>
            <w:shd w:val="clear" w:color="auto" w:fill="auto"/>
            <w:vAlign w:val="center"/>
          </w:tcPr>
          <w:p w:rsidR="004B654C" w:rsidRPr="001268E7" w:rsidRDefault="00924C1C" w:rsidP="0086614E">
            <w:pPr>
              <w:spacing w:after="0" w:line="240" w:lineRule="auto"/>
              <w:contextualSpacing/>
              <w:jc w:val="center"/>
              <w:rPr>
                <w:b/>
                <w:bCs/>
              </w:rPr>
            </w:pPr>
            <w:r w:rsidRPr="001268E7">
              <w:rPr>
                <w:b/>
                <w:bCs/>
              </w:rPr>
              <w:t>Przewodniczący</w:t>
            </w:r>
          </w:p>
        </w:tc>
        <w:tc>
          <w:tcPr>
            <w:tcW w:w="7036" w:type="dxa"/>
            <w:shd w:val="clear" w:color="auto" w:fill="auto"/>
            <w:vAlign w:val="center"/>
          </w:tcPr>
          <w:p w:rsidR="004B654C" w:rsidRPr="001268E7" w:rsidRDefault="00924C1C" w:rsidP="00924C1C">
            <w:pPr>
              <w:spacing w:after="0" w:line="240" w:lineRule="auto"/>
              <w:contextualSpacing/>
              <w:rPr>
                <w:b/>
              </w:rPr>
            </w:pPr>
            <w:r w:rsidRPr="001268E7">
              <w:rPr>
                <w:b/>
              </w:rPr>
              <w:t>Zmieniający się rotacyjnie</w:t>
            </w:r>
            <w:r w:rsidR="004B654C" w:rsidRPr="001268E7">
              <w:rPr>
                <w:b/>
              </w:rPr>
              <w:t xml:space="preserve"> </w:t>
            </w:r>
          </w:p>
          <w:p w:rsidR="004B654C" w:rsidRPr="001268E7" w:rsidRDefault="004B654C" w:rsidP="0086614E">
            <w:pPr>
              <w:spacing w:after="0" w:line="240" w:lineRule="auto"/>
              <w:contextualSpacing/>
              <w:rPr>
                <w:b/>
              </w:rPr>
            </w:pPr>
            <w:r w:rsidRPr="001268E7">
              <w:t xml:space="preserve">- </w:t>
            </w:r>
            <w:r w:rsidR="00924C1C" w:rsidRPr="001268E7">
              <w:t>przedstawiciele IK Rzeczpospolitej Polskiej i Federacji Rosyjskiej</w:t>
            </w:r>
          </w:p>
        </w:tc>
      </w:tr>
      <w:tr w:rsidR="004B654C" w:rsidRPr="001268E7" w:rsidTr="00924C1C">
        <w:tc>
          <w:tcPr>
            <w:tcW w:w="2178" w:type="dxa"/>
            <w:shd w:val="clear" w:color="auto" w:fill="auto"/>
          </w:tcPr>
          <w:p w:rsidR="004B654C" w:rsidRPr="001268E7" w:rsidRDefault="00924C1C" w:rsidP="00924C1C">
            <w:pPr>
              <w:spacing w:after="0" w:line="240" w:lineRule="auto"/>
              <w:contextualSpacing/>
              <w:jc w:val="center"/>
              <w:rPr>
                <w:b/>
                <w:bCs/>
              </w:rPr>
            </w:pPr>
            <w:r w:rsidRPr="001268E7">
              <w:rPr>
                <w:b/>
                <w:bCs/>
              </w:rPr>
              <w:t>Sekretarz</w:t>
            </w:r>
            <w:r w:rsidR="004B654C" w:rsidRPr="001268E7">
              <w:rPr>
                <w:b/>
                <w:bCs/>
              </w:rPr>
              <w:t xml:space="preserve"> </w:t>
            </w:r>
          </w:p>
          <w:p w:rsidR="004B654C" w:rsidRPr="001268E7" w:rsidRDefault="001821B7" w:rsidP="0086614E">
            <w:pPr>
              <w:spacing w:after="0" w:line="240" w:lineRule="auto"/>
              <w:contextualSpacing/>
              <w:jc w:val="center"/>
              <w:rPr>
                <w:b/>
                <w:bCs/>
              </w:rPr>
            </w:pPr>
            <w:r w:rsidRPr="001268E7">
              <w:rPr>
                <w:b/>
                <w:bCs/>
              </w:rPr>
              <w:t xml:space="preserve"> </w:t>
            </w:r>
            <w:r w:rsidR="00924C1C" w:rsidRPr="001268E7">
              <w:rPr>
                <w:b/>
                <w:bCs/>
              </w:rPr>
              <w:t>(bez prawa głosu)</w:t>
            </w:r>
          </w:p>
        </w:tc>
        <w:tc>
          <w:tcPr>
            <w:tcW w:w="7036" w:type="dxa"/>
            <w:shd w:val="clear" w:color="auto" w:fill="auto"/>
            <w:vAlign w:val="center"/>
          </w:tcPr>
          <w:p w:rsidR="004B654C" w:rsidRPr="001268E7" w:rsidRDefault="00924C1C" w:rsidP="001821B7">
            <w:pPr>
              <w:spacing w:after="0" w:line="240" w:lineRule="auto"/>
              <w:contextualSpacing/>
            </w:pPr>
            <w:r w:rsidRPr="001268E7">
              <w:t>Wspólny Komitet Techniczny (Centrum Projektów Europejskich)</w:t>
            </w:r>
          </w:p>
        </w:tc>
      </w:tr>
      <w:tr w:rsidR="004B654C" w:rsidRPr="001268E7" w:rsidTr="0086614E">
        <w:tc>
          <w:tcPr>
            <w:tcW w:w="2178" w:type="dxa"/>
            <w:shd w:val="clear" w:color="auto" w:fill="auto"/>
            <w:vAlign w:val="center"/>
          </w:tcPr>
          <w:p w:rsidR="004B654C" w:rsidRPr="001268E7" w:rsidRDefault="00924C1C" w:rsidP="0086614E">
            <w:pPr>
              <w:spacing w:after="0" w:line="240" w:lineRule="auto"/>
              <w:contextualSpacing/>
              <w:jc w:val="center"/>
              <w:rPr>
                <w:b/>
                <w:bCs/>
              </w:rPr>
            </w:pPr>
            <w:r w:rsidRPr="001268E7">
              <w:rPr>
                <w:b/>
                <w:bCs/>
              </w:rPr>
              <w:t>Polska</w:t>
            </w:r>
          </w:p>
        </w:tc>
        <w:tc>
          <w:tcPr>
            <w:tcW w:w="7036" w:type="dxa"/>
            <w:shd w:val="clear" w:color="auto" w:fill="auto"/>
          </w:tcPr>
          <w:p w:rsidR="00924C1C" w:rsidRPr="001268E7" w:rsidRDefault="00347A3C" w:rsidP="00C62170">
            <w:pPr>
              <w:numPr>
                <w:ilvl w:val="0"/>
                <w:numId w:val="4"/>
              </w:numPr>
              <w:spacing w:after="0" w:line="240" w:lineRule="auto"/>
              <w:contextualSpacing/>
            </w:pPr>
            <w:r w:rsidRPr="001268E7">
              <w:t xml:space="preserve">Ministerstwo </w:t>
            </w:r>
            <w:r w:rsidR="00ED2FD3">
              <w:t xml:space="preserve">Inwestycji i Rozwoju </w:t>
            </w:r>
            <w:r w:rsidR="00924C1C" w:rsidRPr="001268E7">
              <w:t>(Instytucja Krajowa)</w:t>
            </w:r>
          </w:p>
          <w:p w:rsidR="00924C1C" w:rsidRDefault="00924C1C" w:rsidP="00C62170">
            <w:pPr>
              <w:numPr>
                <w:ilvl w:val="0"/>
                <w:numId w:val="4"/>
              </w:numPr>
              <w:spacing w:after="0" w:line="240" w:lineRule="auto"/>
              <w:contextualSpacing/>
            </w:pPr>
            <w:r w:rsidRPr="001268E7">
              <w:t>Ministerstwo Spraw Zagranicznych</w:t>
            </w:r>
          </w:p>
          <w:p w:rsidR="0024538C" w:rsidRPr="001268E7" w:rsidRDefault="0024538C" w:rsidP="00C62170">
            <w:pPr>
              <w:numPr>
                <w:ilvl w:val="0"/>
                <w:numId w:val="4"/>
              </w:numPr>
              <w:spacing w:after="0" w:line="240" w:lineRule="auto"/>
              <w:contextualSpacing/>
            </w:pPr>
            <w:r>
              <w:t>Ministerstwo Spraw Wewnętrznych i Administracji</w:t>
            </w:r>
          </w:p>
          <w:p w:rsidR="00924C1C" w:rsidRPr="001268E7" w:rsidRDefault="00924C1C" w:rsidP="00C62170">
            <w:pPr>
              <w:numPr>
                <w:ilvl w:val="0"/>
                <w:numId w:val="4"/>
              </w:numPr>
              <w:spacing w:after="0" w:line="240" w:lineRule="auto"/>
              <w:contextualSpacing/>
            </w:pPr>
            <w:r w:rsidRPr="001268E7">
              <w:t>Urząd Marszałkowski Województwa Pomorskiego</w:t>
            </w:r>
          </w:p>
          <w:p w:rsidR="00924C1C" w:rsidRPr="001268E7" w:rsidRDefault="00924C1C" w:rsidP="00C62170">
            <w:pPr>
              <w:numPr>
                <w:ilvl w:val="0"/>
                <w:numId w:val="4"/>
              </w:numPr>
              <w:spacing w:after="0" w:line="240" w:lineRule="auto"/>
              <w:contextualSpacing/>
            </w:pPr>
            <w:r w:rsidRPr="001268E7">
              <w:t>Urząd Marszałkowski Województwa Podlaskiego</w:t>
            </w:r>
          </w:p>
          <w:p w:rsidR="00924C1C" w:rsidRPr="001268E7" w:rsidRDefault="00924C1C" w:rsidP="00C62170">
            <w:pPr>
              <w:numPr>
                <w:ilvl w:val="0"/>
                <w:numId w:val="4"/>
              </w:numPr>
              <w:spacing w:after="0" w:line="240" w:lineRule="auto"/>
              <w:contextualSpacing/>
            </w:pPr>
            <w:r w:rsidRPr="001268E7">
              <w:t>Urząd Marszałkowski Województwa Warmińsko-Mazurskiego</w:t>
            </w:r>
          </w:p>
          <w:p w:rsidR="004B654C" w:rsidRPr="001268E7" w:rsidRDefault="004B654C" w:rsidP="00B87561">
            <w:pPr>
              <w:spacing w:after="0" w:line="240" w:lineRule="auto"/>
              <w:contextualSpacing/>
            </w:pPr>
          </w:p>
          <w:p w:rsidR="004B654C" w:rsidRPr="001268E7" w:rsidRDefault="00924C1C" w:rsidP="00924C1C">
            <w:pPr>
              <w:spacing w:after="0" w:line="240" w:lineRule="auto"/>
              <w:contextualSpacing/>
            </w:pPr>
            <w:r w:rsidRPr="001268E7">
              <w:t>Obserwatorzy:</w:t>
            </w:r>
          </w:p>
          <w:p w:rsidR="00924C1C" w:rsidRPr="001268E7" w:rsidRDefault="00924C1C" w:rsidP="00C62170">
            <w:pPr>
              <w:numPr>
                <w:ilvl w:val="0"/>
                <w:numId w:val="4"/>
              </w:numPr>
              <w:spacing w:after="0" w:line="240" w:lineRule="auto"/>
              <w:contextualSpacing/>
            </w:pPr>
            <w:r w:rsidRPr="001268E7">
              <w:t>Kontrolny Punkt Kontaktowy (Centrum Projektów Europejskich)</w:t>
            </w:r>
          </w:p>
          <w:p w:rsidR="00924C1C" w:rsidRPr="001268E7" w:rsidRDefault="00924C1C" w:rsidP="00C62170">
            <w:pPr>
              <w:numPr>
                <w:ilvl w:val="0"/>
                <w:numId w:val="4"/>
              </w:numPr>
              <w:spacing w:after="0" w:line="240" w:lineRule="auto"/>
              <w:contextualSpacing/>
            </w:pPr>
            <w:r w:rsidRPr="001268E7">
              <w:t>Instytucja Audytowa (Ministerstwo Finansów)</w:t>
            </w:r>
          </w:p>
          <w:p w:rsidR="00924C1C" w:rsidRPr="001268E7" w:rsidRDefault="00924C1C" w:rsidP="00C62170">
            <w:pPr>
              <w:numPr>
                <w:ilvl w:val="0"/>
                <w:numId w:val="4"/>
              </w:numPr>
              <w:spacing w:after="0" w:line="240" w:lineRule="auto"/>
              <w:contextualSpacing/>
            </w:pPr>
            <w:r w:rsidRPr="001268E7">
              <w:t>Euroregiony (Bałtyk i Niemen)</w:t>
            </w:r>
          </w:p>
          <w:p w:rsidR="00495379" w:rsidRPr="001268E7" w:rsidRDefault="00495379" w:rsidP="00FB3611">
            <w:pPr>
              <w:spacing w:after="0" w:line="240" w:lineRule="auto"/>
              <w:contextualSpacing/>
            </w:pPr>
          </w:p>
        </w:tc>
      </w:tr>
      <w:tr w:rsidR="004B654C" w:rsidRPr="001268E7" w:rsidTr="00924C1C">
        <w:tc>
          <w:tcPr>
            <w:tcW w:w="2178" w:type="dxa"/>
            <w:shd w:val="clear" w:color="auto" w:fill="auto"/>
          </w:tcPr>
          <w:p w:rsidR="004B654C" w:rsidRPr="001268E7" w:rsidRDefault="00924C1C" w:rsidP="001821B7">
            <w:pPr>
              <w:spacing w:after="0" w:line="240" w:lineRule="auto"/>
              <w:contextualSpacing/>
              <w:jc w:val="center"/>
              <w:rPr>
                <w:b/>
                <w:bCs/>
              </w:rPr>
            </w:pPr>
            <w:r w:rsidRPr="001268E7">
              <w:rPr>
                <w:b/>
                <w:bCs/>
              </w:rPr>
              <w:t>Federacja Rosyjska</w:t>
            </w:r>
          </w:p>
        </w:tc>
        <w:tc>
          <w:tcPr>
            <w:tcW w:w="7036" w:type="dxa"/>
            <w:shd w:val="clear" w:color="auto" w:fill="auto"/>
          </w:tcPr>
          <w:p w:rsidR="00924C1C" w:rsidRPr="001268E7" w:rsidRDefault="00924C1C" w:rsidP="00C62170">
            <w:pPr>
              <w:numPr>
                <w:ilvl w:val="0"/>
                <w:numId w:val="9"/>
              </w:numPr>
              <w:spacing w:after="0" w:line="240" w:lineRule="auto"/>
              <w:contextualSpacing/>
            </w:pPr>
            <w:r w:rsidRPr="001268E7">
              <w:t xml:space="preserve">Ministerstwo Rozwoju Gospodarczego (Instytucja Krajowa) </w:t>
            </w:r>
          </w:p>
          <w:p w:rsidR="00924C1C" w:rsidRPr="001268E7" w:rsidRDefault="00924C1C" w:rsidP="00C62170">
            <w:pPr>
              <w:numPr>
                <w:ilvl w:val="0"/>
                <w:numId w:val="9"/>
              </w:numPr>
              <w:spacing w:after="0" w:line="240" w:lineRule="auto"/>
              <w:contextualSpacing/>
            </w:pPr>
            <w:r w:rsidRPr="001268E7">
              <w:t>Ministerstwo Spraw Zagranicznych</w:t>
            </w:r>
          </w:p>
          <w:p w:rsidR="00924C1C" w:rsidRPr="001268E7" w:rsidRDefault="00924C1C" w:rsidP="00C62170">
            <w:pPr>
              <w:numPr>
                <w:ilvl w:val="0"/>
                <w:numId w:val="9"/>
              </w:numPr>
              <w:spacing w:after="0" w:line="240" w:lineRule="auto"/>
              <w:contextualSpacing/>
            </w:pPr>
            <w:r w:rsidRPr="001268E7">
              <w:t xml:space="preserve">Władze regionu </w:t>
            </w:r>
            <w:r w:rsidR="00347A3C" w:rsidRPr="001268E7">
              <w:t>kaliningradzkiego</w:t>
            </w:r>
          </w:p>
          <w:p w:rsidR="004B654C" w:rsidRPr="001268E7" w:rsidRDefault="004B654C" w:rsidP="00B87561">
            <w:pPr>
              <w:spacing w:after="0" w:line="240" w:lineRule="auto"/>
              <w:contextualSpacing/>
              <w:jc w:val="both"/>
            </w:pPr>
          </w:p>
          <w:p w:rsidR="004B654C" w:rsidRPr="001268E7" w:rsidRDefault="00924C1C" w:rsidP="00924C1C">
            <w:pPr>
              <w:spacing w:after="0" w:line="240" w:lineRule="auto"/>
              <w:contextualSpacing/>
            </w:pPr>
            <w:r w:rsidRPr="001268E7">
              <w:t>Obserwatorzy:</w:t>
            </w:r>
          </w:p>
          <w:p w:rsidR="00924C1C" w:rsidRPr="001268E7" w:rsidRDefault="00924C1C" w:rsidP="00924C1C">
            <w:pPr>
              <w:numPr>
                <w:ilvl w:val="0"/>
                <w:numId w:val="3"/>
              </w:numPr>
              <w:spacing w:after="0" w:line="240" w:lineRule="auto"/>
              <w:ind w:left="1083" w:hanging="284"/>
              <w:contextualSpacing/>
            </w:pPr>
            <w:r w:rsidRPr="001268E7">
              <w:t>Kontrolny Punkt Kontaktowy (Ministerstwo Rozwoju Gospodarczego)</w:t>
            </w:r>
          </w:p>
          <w:p w:rsidR="00924C1C" w:rsidRPr="001268E7" w:rsidRDefault="00924C1C" w:rsidP="00924C1C">
            <w:pPr>
              <w:numPr>
                <w:ilvl w:val="0"/>
                <w:numId w:val="3"/>
              </w:numPr>
              <w:spacing w:after="0" w:line="240" w:lineRule="auto"/>
              <w:ind w:left="1083" w:hanging="284"/>
              <w:contextualSpacing/>
            </w:pPr>
            <w:r w:rsidRPr="001268E7">
              <w:t>Członek Grupy Audytorów (Ministerstwo Finansów)</w:t>
            </w:r>
          </w:p>
          <w:p w:rsidR="004B654C" w:rsidRPr="001268E7" w:rsidRDefault="004B654C" w:rsidP="00924C1C">
            <w:pPr>
              <w:keepNext/>
              <w:spacing w:after="0" w:line="216" w:lineRule="auto"/>
              <w:ind w:left="786"/>
              <w:contextualSpacing/>
            </w:pPr>
          </w:p>
        </w:tc>
      </w:tr>
      <w:tr w:rsidR="004B654C" w:rsidRPr="001268E7" w:rsidTr="00924C1C">
        <w:tc>
          <w:tcPr>
            <w:tcW w:w="2178" w:type="dxa"/>
          </w:tcPr>
          <w:p w:rsidR="004B654C" w:rsidRPr="001268E7" w:rsidRDefault="00924C1C" w:rsidP="001821B7">
            <w:pPr>
              <w:spacing w:after="0" w:line="240" w:lineRule="auto"/>
              <w:contextualSpacing/>
              <w:jc w:val="center"/>
              <w:rPr>
                <w:b/>
                <w:bCs/>
              </w:rPr>
            </w:pPr>
            <w:r w:rsidRPr="001268E7">
              <w:rPr>
                <w:b/>
                <w:bCs/>
              </w:rPr>
              <w:t>Inni obserwatorzy bez prawa głosu</w:t>
            </w:r>
          </w:p>
        </w:tc>
        <w:tc>
          <w:tcPr>
            <w:tcW w:w="7036" w:type="dxa"/>
          </w:tcPr>
          <w:p w:rsidR="00924C1C" w:rsidRPr="001268E7" w:rsidRDefault="00924C1C" w:rsidP="00C62170">
            <w:pPr>
              <w:pStyle w:val="Akapitzlist"/>
              <w:numPr>
                <w:ilvl w:val="0"/>
                <w:numId w:val="10"/>
              </w:numPr>
              <w:spacing w:after="0" w:line="240" w:lineRule="auto"/>
              <w:jc w:val="both"/>
            </w:pPr>
            <w:r w:rsidRPr="001268E7">
              <w:t>Komisja Europejska</w:t>
            </w:r>
          </w:p>
          <w:p w:rsidR="00924C1C" w:rsidRPr="001268E7" w:rsidRDefault="00924C1C" w:rsidP="00C62170">
            <w:pPr>
              <w:pStyle w:val="Akapitzlist"/>
              <w:numPr>
                <w:ilvl w:val="0"/>
                <w:numId w:val="10"/>
              </w:numPr>
              <w:spacing w:after="0" w:line="240" w:lineRule="auto"/>
              <w:jc w:val="both"/>
            </w:pPr>
            <w:r w:rsidRPr="001268E7">
              <w:t>Instytucja Zarządzająca</w:t>
            </w:r>
            <w:r w:rsidR="00347A3C" w:rsidRPr="001268E7">
              <w:t xml:space="preserve"> (Ministerstwo </w:t>
            </w:r>
            <w:r w:rsidR="003227BD">
              <w:t>Inwestycji i Rozwoju</w:t>
            </w:r>
            <w:r w:rsidRPr="001268E7">
              <w:t>Rzeczypospolitej Polskiej)</w:t>
            </w:r>
          </w:p>
          <w:p w:rsidR="00924C1C" w:rsidRPr="001268E7" w:rsidRDefault="00924C1C" w:rsidP="00C62170">
            <w:pPr>
              <w:pStyle w:val="Akapitzlist"/>
              <w:numPr>
                <w:ilvl w:val="0"/>
                <w:numId w:val="10"/>
              </w:numPr>
              <w:spacing w:after="0" w:line="240" w:lineRule="auto"/>
              <w:jc w:val="both"/>
            </w:pPr>
            <w:r w:rsidRPr="001268E7">
              <w:t>Wspólny Sekretariat Techniczny</w:t>
            </w:r>
          </w:p>
          <w:p w:rsidR="00495379" w:rsidRPr="001268E7" w:rsidRDefault="00924C1C" w:rsidP="00C62170">
            <w:pPr>
              <w:pStyle w:val="Akapitzlist"/>
              <w:numPr>
                <w:ilvl w:val="0"/>
                <w:numId w:val="10"/>
              </w:numPr>
              <w:spacing w:after="0" w:line="240" w:lineRule="auto"/>
              <w:jc w:val="both"/>
            </w:pPr>
            <w:r w:rsidRPr="001268E7">
              <w:t>Oddział</w:t>
            </w:r>
          </w:p>
        </w:tc>
      </w:tr>
    </w:tbl>
    <w:p w:rsidR="00016EDC" w:rsidRPr="00D304CB" w:rsidRDefault="00016EDC" w:rsidP="00D304CB">
      <w:pPr>
        <w:spacing w:after="0" w:line="240" w:lineRule="auto"/>
        <w:contextualSpacing/>
        <w:jc w:val="both"/>
        <w:rPr>
          <w:b/>
          <w:i/>
          <w:sz w:val="20"/>
          <w:lang w:val="en-US"/>
        </w:rPr>
      </w:pPr>
      <w:r w:rsidRPr="00D304CB">
        <w:rPr>
          <w:b/>
          <w:i/>
          <w:sz w:val="20"/>
          <w:lang w:val="en-US"/>
        </w:rPr>
        <w:t>Tabela 6. Skład Wspólnego Komitetu Monitorującego</w:t>
      </w:r>
    </w:p>
    <w:p w:rsidR="004B654C" w:rsidRPr="001268E7" w:rsidRDefault="00924C1C" w:rsidP="00924C1C">
      <w:pPr>
        <w:spacing w:before="100" w:beforeAutospacing="1" w:after="100" w:afterAutospacing="1" w:line="240" w:lineRule="auto"/>
        <w:jc w:val="both"/>
        <w:rPr>
          <w:rFonts w:cs="Calibri"/>
          <w:spacing w:val="4"/>
          <w:sz w:val="24"/>
          <w:szCs w:val="24"/>
        </w:rPr>
      </w:pPr>
      <w:r w:rsidRPr="001268E7">
        <w:rPr>
          <w:rFonts w:cs="Calibri"/>
          <w:spacing w:val="4"/>
          <w:sz w:val="24"/>
          <w:szCs w:val="24"/>
        </w:rPr>
        <w:lastRenderedPageBreak/>
        <w:t>Komisja Europejska będzie zapraszana na każde posiedzenie WKM i będzie informowana o wynikach obrad.</w:t>
      </w:r>
      <w:r w:rsidR="004B654C" w:rsidRPr="001268E7">
        <w:rPr>
          <w:rFonts w:cs="Calibri"/>
          <w:spacing w:val="4"/>
          <w:sz w:val="24"/>
          <w:szCs w:val="24"/>
        </w:rPr>
        <w:t xml:space="preserve"> </w:t>
      </w:r>
      <w:r w:rsidRPr="001268E7">
        <w:rPr>
          <w:rFonts w:cs="Calibri"/>
          <w:spacing w:val="4"/>
          <w:sz w:val="24"/>
          <w:szCs w:val="24"/>
        </w:rPr>
        <w:t>KE może brać udział w każdym posiedzeniu WKM w charakterze obserwatora bez prawa do podejmowania decyzji.</w:t>
      </w:r>
    </w:p>
    <w:p w:rsidR="004B654C" w:rsidRPr="001268E7" w:rsidRDefault="00347A3C" w:rsidP="00924C1C">
      <w:pPr>
        <w:spacing w:before="100" w:beforeAutospacing="1" w:after="100" w:afterAutospacing="1" w:line="240" w:lineRule="auto"/>
        <w:jc w:val="both"/>
        <w:rPr>
          <w:rFonts w:cs="Calibri"/>
          <w:spacing w:val="4"/>
          <w:sz w:val="24"/>
          <w:szCs w:val="24"/>
        </w:rPr>
      </w:pPr>
      <w:r w:rsidRPr="001268E7">
        <w:rPr>
          <w:rFonts w:cs="Calibri"/>
          <w:spacing w:val="4"/>
          <w:sz w:val="24"/>
          <w:szCs w:val="24"/>
        </w:rPr>
        <w:t>WST oraz Oddział będą</w:t>
      </w:r>
      <w:r w:rsidR="00924C1C" w:rsidRPr="001268E7">
        <w:rPr>
          <w:rFonts w:cs="Calibri"/>
          <w:spacing w:val="4"/>
          <w:sz w:val="24"/>
          <w:szCs w:val="24"/>
        </w:rPr>
        <w:t xml:space="preserve"> brać udział w posiedzeniach WKM w charakterze obserwatorów bez prawa do podejmowana decyzji.</w:t>
      </w:r>
    </w:p>
    <w:p w:rsidR="004B654C" w:rsidRPr="001268E7" w:rsidRDefault="00924C1C" w:rsidP="00924C1C">
      <w:pPr>
        <w:spacing w:before="100" w:beforeAutospacing="1" w:after="100" w:afterAutospacing="1" w:line="240" w:lineRule="auto"/>
        <w:jc w:val="both"/>
        <w:rPr>
          <w:rFonts w:cs="Calibri"/>
          <w:spacing w:val="4"/>
          <w:sz w:val="24"/>
          <w:szCs w:val="24"/>
        </w:rPr>
      </w:pPr>
      <w:r w:rsidRPr="001268E7">
        <w:rPr>
          <w:rFonts w:cs="Calibri"/>
          <w:sz w:val="24"/>
          <w:szCs w:val="24"/>
          <w:lang w:eastAsia="pl-PL"/>
        </w:rPr>
        <w:t>Oprócz należycie wyznaczonych przedstawicieli, aby zapewnić ścisłą współpracę różnych zainteresowanych stron i ekspertów w realizacji Programu, inni uczestnicy mogą zostać zaproszeni do ud</w:t>
      </w:r>
      <w:r w:rsidR="00347A3C" w:rsidRPr="001268E7">
        <w:rPr>
          <w:rFonts w:cs="Calibri"/>
          <w:sz w:val="24"/>
          <w:szCs w:val="24"/>
          <w:lang w:eastAsia="pl-PL"/>
        </w:rPr>
        <w:t>ziału spotkaniach WKM</w:t>
      </w:r>
      <w:r w:rsidRPr="001268E7">
        <w:rPr>
          <w:rFonts w:cs="Calibri"/>
          <w:sz w:val="24"/>
          <w:szCs w:val="24"/>
          <w:lang w:eastAsia="pl-PL"/>
        </w:rPr>
        <w:t xml:space="preserve"> (jako obserwatorzy bez prawa głosu), w zależności od spraw poruszanych przez WKM i po zatwierdzeniu przez przewodniczącego WKM.</w:t>
      </w:r>
      <w:r w:rsidR="004B654C" w:rsidRPr="001268E7">
        <w:rPr>
          <w:rFonts w:cs="Calibri"/>
          <w:spacing w:val="4"/>
          <w:sz w:val="24"/>
          <w:szCs w:val="24"/>
        </w:rPr>
        <w:t xml:space="preserve"> </w:t>
      </w:r>
      <w:r w:rsidRPr="001268E7">
        <w:rPr>
          <w:rFonts w:cs="Calibri"/>
          <w:sz w:val="24"/>
          <w:szCs w:val="24"/>
          <w:lang w:eastAsia="pl-PL"/>
        </w:rPr>
        <w:t>Wśród tych obserwatorów, w celu zapewnienia, że proces wdrażania Programu jest odpowiednio dostosowany do SUE RMB, a także, że jest zapewnione współdziałanie Programu z działaniami w ramach FBW UE, przedstawiciele polskiego koordynatora SUE RMB i instytucji odpowiedzialnej za FBW mogą być zapraszani na posiedzenia WKM</w:t>
      </w:r>
      <w:r w:rsidRPr="001268E7">
        <w:rPr>
          <w:rFonts w:cs="Calibri"/>
          <w:lang w:eastAsia="pl-PL"/>
        </w:rPr>
        <w:t>.</w:t>
      </w:r>
      <w:r w:rsidR="00650AC0" w:rsidRPr="001268E7">
        <w:rPr>
          <w:rFonts w:cs="Calibri"/>
          <w:spacing w:val="4"/>
          <w:sz w:val="24"/>
          <w:szCs w:val="24"/>
        </w:rPr>
        <w:t xml:space="preserve"> </w:t>
      </w:r>
      <w:r w:rsidRPr="001268E7">
        <w:rPr>
          <w:rFonts w:cs="Calibri"/>
          <w:spacing w:val="4"/>
          <w:sz w:val="24"/>
          <w:szCs w:val="24"/>
        </w:rPr>
        <w:t>Ponadto, aby zapewnić, że realizacja Programu jest odpowiednio dostosowana do celów i priorytetów Strategii Rozwoju Społeczno-Gospodarczego Północno-Zachodniego Dystryktu Federalnego Federacji Rosyjskiej, przedstawiciele Urzędu Pełnomocnika Prezydenta Federacji Rosyjskiej w Północno-Zachodnim Dystrykcie Federalnym mogą być również zapraszani.</w:t>
      </w:r>
    </w:p>
    <w:p w:rsidR="004B654C" w:rsidRPr="001268E7" w:rsidRDefault="00924C1C" w:rsidP="00924C1C">
      <w:pPr>
        <w:spacing w:before="100" w:beforeAutospacing="1" w:after="100" w:afterAutospacing="1" w:line="240" w:lineRule="auto"/>
        <w:jc w:val="both"/>
        <w:rPr>
          <w:rStyle w:val="Wyrnieniedelikatne"/>
        </w:rPr>
      </w:pPr>
      <w:r w:rsidRPr="001268E7">
        <w:rPr>
          <w:rStyle w:val="Wyrnieniedelikatne"/>
        </w:rPr>
        <w:t>Zadania Wspólnego Komitetu Monitorującego</w:t>
      </w:r>
    </w:p>
    <w:p w:rsidR="004B654C" w:rsidRPr="001268E7" w:rsidRDefault="00924C1C" w:rsidP="00924C1C">
      <w:pPr>
        <w:spacing w:before="100" w:beforeAutospacing="1" w:after="100" w:afterAutospacing="1" w:line="240" w:lineRule="auto"/>
        <w:jc w:val="both"/>
        <w:rPr>
          <w:rFonts w:cs="Calibri"/>
          <w:spacing w:val="4"/>
          <w:sz w:val="24"/>
          <w:szCs w:val="24"/>
        </w:rPr>
      </w:pPr>
      <w:r w:rsidRPr="001268E7">
        <w:rPr>
          <w:rFonts w:cs="Calibri"/>
          <w:sz w:val="24"/>
          <w:szCs w:val="24"/>
          <w:lang w:eastAsia="pl-PL"/>
        </w:rPr>
        <w:t>WKM odpowiadać będzie za śledzenie procesu wdrażania Programu i postępów w realizacji jego priorytetów za pomocą obiektywnie weryfikowalnych wskaźników oraz przypisanych im wartości docelowych wskazanych w treści Programu (wskaźniki realizacji Programu, punkt 2.3). WKM analizować będzie wszelkie kwestie mające wpływ na proces wdrażania Programu.</w:t>
      </w:r>
      <w:r w:rsidR="004B654C" w:rsidRPr="001268E7">
        <w:rPr>
          <w:rFonts w:cs="Calibri"/>
          <w:sz w:val="24"/>
          <w:szCs w:val="24"/>
        </w:rPr>
        <w:t xml:space="preserve"> </w:t>
      </w:r>
      <w:r w:rsidRPr="001268E7">
        <w:rPr>
          <w:rFonts w:cs="Calibri"/>
          <w:sz w:val="24"/>
          <w:szCs w:val="24"/>
          <w:lang w:eastAsia="pl-PL"/>
        </w:rPr>
        <w:t xml:space="preserve">WKM przysługiwało będzie prawo wydawania rekomendacji dla IZ w odniesieniu do wdrażania </w:t>
      </w:r>
      <w:r w:rsidR="00347A3C" w:rsidRPr="001268E7">
        <w:rPr>
          <w:rFonts w:cs="Calibri"/>
          <w:sz w:val="24"/>
          <w:szCs w:val="24"/>
          <w:lang w:eastAsia="pl-PL"/>
        </w:rPr>
        <w:t xml:space="preserve">i </w:t>
      </w:r>
      <w:r w:rsidRPr="001268E7">
        <w:rPr>
          <w:rFonts w:cs="Calibri"/>
          <w:sz w:val="24"/>
          <w:szCs w:val="24"/>
          <w:lang w:eastAsia="pl-PL"/>
        </w:rPr>
        <w:t>oceny Programu.</w:t>
      </w:r>
      <w:r w:rsidR="004B654C" w:rsidRPr="001268E7">
        <w:rPr>
          <w:rFonts w:cs="Calibri"/>
          <w:spacing w:val="4"/>
          <w:sz w:val="24"/>
          <w:szCs w:val="24"/>
        </w:rPr>
        <w:t xml:space="preserve"> </w:t>
      </w:r>
      <w:r w:rsidRPr="001268E7">
        <w:rPr>
          <w:rFonts w:cs="Calibri"/>
          <w:sz w:val="24"/>
          <w:szCs w:val="24"/>
          <w:lang w:eastAsia="pl-PL"/>
        </w:rPr>
        <w:t>WKM monitorować będzie działania podejmowane w konsekwencji przyjmowanych przezeń rekomendacji.</w:t>
      </w:r>
      <w:r w:rsidR="004B654C" w:rsidRPr="001268E7">
        <w:rPr>
          <w:rFonts w:cs="Calibri"/>
          <w:spacing w:val="4"/>
          <w:sz w:val="24"/>
          <w:szCs w:val="24"/>
        </w:rPr>
        <w:t xml:space="preserve"> </w:t>
      </w:r>
    </w:p>
    <w:p w:rsidR="004B654C" w:rsidRPr="001268E7" w:rsidRDefault="00924C1C" w:rsidP="00924C1C">
      <w:pPr>
        <w:spacing w:before="100" w:beforeAutospacing="1" w:after="100" w:afterAutospacing="1" w:line="240" w:lineRule="auto"/>
        <w:jc w:val="both"/>
        <w:rPr>
          <w:rFonts w:cs="Calibri"/>
          <w:spacing w:val="4"/>
          <w:sz w:val="24"/>
          <w:szCs w:val="24"/>
        </w:rPr>
      </w:pPr>
      <w:r w:rsidRPr="001268E7">
        <w:rPr>
          <w:rFonts w:cs="Calibri"/>
          <w:sz w:val="24"/>
          <w:szCs w:val="24"/>
          <w:lang w:eastAsia="pl-PL"/>
        </w:rPr>
        <w:t>WKM realizować będzie w szczególności następujące zadania:</w:t>
      </w:r>
      <w:r w:rsidR="004B654C" w:rsidRPr="001268E7">
        <w:rPr>
          <w:rFonts w:cs="Calibri"/>
          <w:spacing w:val="4"/>
          <w:sz w:val="24"/>
          <w:szCs w:val="24"/>
        </w:rPr>
        <w:t xml:space="preserve"> </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zatwierdzanie programu prac IZ oraz planu finansowego, włączając planowane wykorzystanie pomocy technicznej;</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monitorowanie realizacji programu prac i planu finansowego przez IZ;</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zatwierdzanie kryteriów wyboru projektów przeznaczonych do finansowania w ramach Programu;</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odpowiedzialność za procedurę oceny i wyboru projektów przeznaczonych do finansowania w ramach Programu;</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rPr>
        <w:t>podejmowanie ostatecznej decyzji dotyczącej zatwierdzenia lub odrzucenia wniosków projektowych oraz podejmowan</w:t>
      </w:r>
      <w:r w:rsidR="00912890" w:rsidRPr="001268E7">
        <w:rPr>
          <w:rFonts w:cs="Calibri"/>
          <w:sz w:val="24"/>
          <w:szCs w:val="24"/>
        </w:rPr>
        <w:t>ie decyzji dotyczącej przyznania</w:t>
      </w:r>
      <w:r w:rsidRPr="001268E7">
        <w:rPr>
          <w:rFonts w:cs="Calibri"/>
          <w:sz w:val="24"/>
          <w:szCs w:val="24"/>
        </w:rPr>
        <w:t xml:space="preserve"> takim wnioskom ostatecznych kwot;</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zatwierdzanie wszelkich propozycji zmian Programu;</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analizowanie wszelkich przekazywanych przez IZ raportów oraz, w razie konieczności podejmowanie stosownych działań;</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analizowanie wszelkich kwestii spornych zgłaszanych przez IZ;</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analizowanie i zatwierdzanie sprawozdania rocznego Programu;</w:t>
      </w:r>
    </w:p>
    <w:p w:rsidR="00924C1C" w:rsidRPr="001268E7" w:rsidRDefault="00924C1C" w:rsidP="00C62170">
      <w:pPr>
        <w:pStyle w:val="Akapitzlist"/>
        <w:numPr>
          <w:ilvl w:val="0"/>
          <w:numId w:val="4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lastRenderedPageBreak/>
        <w:t>analizowanie i zatwierdzanie rocznego planu monitorowania i oceny Programu;</w:t>
      </w:r>
    </w:p>
    <w:p w:rsidR="004B654C" w:rsidRPr="001268E7" w:rsidRDefault="00924C1C" w:rsidP="004B654C">
      <w:pPr>
        <w:pStyle w:val="Akapitzlist"/>
        <w:numPr>
          <w:ilvl w:val="0"/>
          <w:numId w:val="42"/>
        </w:numPr>
        <w:spacing w:before="100" w:beforeAutospacing="1" w:after="100" w:afterAutospacing="1" w:line="240" w:lineRule="auto"/>
        <w:contextualSpacing w:val="0"/>
        <w:jc w:val="both"/>
        <w:rPr>
          <w:rStyle w:val="Wyrnieniedelikatne"/>
        </w:rPr>
      </w:pPr>
      <w:r w:rsidRPr="001268E7">
        <w:rPr>
          <w:rFonts w:cs="Calibri"/>
          <w:sz w:val="24"/>
          <w:szCs w:val="24"/>
          <w:lang w:eastAsia="pl-PL"/>
        </w:rPr>
        <w:t>analizowanie i zatwierdzanie rocznych planów informacji i komunikacji Programu.</w:t>
      </w:r>
      <w:r w:rsidRPr="001268E7">
        <w:rPr>
          <w:rFonts w:cs="Calibri"/>
          <w:sz w:val="24"/>
          <w:szCs w:val="24"/>
        </w:rPr>
        <w:t xml:space="preserve"> </w:t>
      </w:r>
    </w:p>
    <w:p w:rsidR="004B654C" w:rsidRPr="001268E7" w:rsidRDefault="00924C1C" w:rsidP="00924C1C">
      <w:pPr>
        <w:spacing w:before="100" w:beforeAutospacing="1" w:after="100" w:afterAutospacing="1" w:line="240" w:lineRule="auto"/>
        <w:jc w:val="both"/>
        <w:rPr>
          <w:rStyle w:val="Wyrnieniedelikatne"/>
        </w:rPr>
      </w:pPr>
      <w:r w:rsidRPr="001268E7">
        <w:rPr>
          <w:rStyle w:val="Wyrnieniedelikatne"/>
        </w:rPr>
        <w:t>Funkcjonowanie Wspólnego Komitetu Monitorującego</w:t>
      </w:r>
    </w:p>
    <w:p w:rsidR="004B654C" w:rsidRPr="001268E7" w:rsidRDefault="00924C1C" w:rsidP="00924C1C">
      <w:pPr>
        <w:spacing w:before="100" w:beforeAutospacing="1" w:after="100" w:afterAutospacing="1" w:line="240" w:lineRule="auto"/>
        <w:jc w:val="both"/>
        <w:rPr>
          <w:rFonts w:cs="Calibri"/>
          <w:sz w:val="24"/>
          <w:szCs w:val="24"/>
        </w:rPr>
      </w:pPr>
      <w:r w:rsidRPr="001268E7">
        <w:rPr>
          <w:rFonts w:cs="Calibri"/>
          <w:spacing w:val="4"/>
          <w:sz w:val="24"/>
          <w:szCs w:val="24"/>
        </w:rPr>
        <w:t>WKM będzie utworzony w ciągu trzech miesięcy od przyjęcia Program</w:t>
      </w:r>
      <w:r w:rsidR="00912890" w:rsidRPr="001268E7">
        <w:rPr>
          <w:rFonts w:cs="Calibri"/>
          <w:spacing w:val="4"/>
          <w:sz w:val="24"/>
          <w:szCs w:val="24"/>
        </w:rPr>
        <w:t>u przez Komisję Europejską (KE)</w:t>
      </w:r>
      <w:r w:rsidRPr="001268E7">
        <w:rPr>
          <w:rFonts w:cs="Calibri"/>
          <w:spacing w:val="4"/>
          <w:sz w:val="24"/>
          <w:szCs w:val="24"/>
        </w:rPr>
        <w:t xml:space="preserve"> po zatwierdzeniu Programu przez rządy Federacji Rosyjskiej i Rzeczypospolitej Polskiej.</w:t>
      </w:r>
      <w:r w:rsidR="004B654C" w:rsidRPr="001268E7">
        <w:rPr>
          <w:rFonts w:cs="Calibri"/>
          <w:sz w:val="24"/>
          <w:szCs w:val="24"/>
        </w:rPr>
        <w:t xml:space="preserve"> </w:t>
      </w:r>
    </w:p>
    <w:p w:rsidR="004B654C" w:rsidRPr="001268E7" w:rsidRDefault="00924C1C" w:rsidP="00924C1C">
      <w:pPr>
        <w:spacing w:before="100" w:beforeAutospacing="1" w:after="100" w:afterAutospacing="1" w:line="240" w:lineRule="auto"/>
        <w:jc w:val="both"/>
        <w:rPr>
          <w:rFonts w:cs="Calibri"/>
          <w:bCs/>
          <w:sz w:val="24"/>
          <w:szCs w:val="24"/>
        </w:rPr>
      </w:pPr>
      <w:r w:rsidRPr="001268E7">
        <w:rPr>
          <w:rFonts w:cs="Calibri"/>
          <w:sz w:val="24"/>
          <w:szCs w:val="24"/>
          <w:lang w:eastAsia="pl-PL"/>
        </w:rPr>
        <w:t>WKM podejmował będzie decyzje w drodze konsensusu.</w:t>
      </w:r>
      <w:r w:rsidR="004B654C" w:rsidRPr="001268E7">
        <w:rPr>
          <w:rFonts w:cs="Calibri"/>
          <w:bCs/>
          <w:sz w:val="24"/>
          <w:szCs w:val="24"/>
        </w:rPr>
        <w:t xml:space="preserve"> </w:t>
      </w:r>
      <w:r w:rsidRPr="001268E7">
        <w:rPr>
          <w:rFonts w:cs="Calibri"/>
          <w:sz w:val="24"/>
          <w:szCs w:val="24"/>
          <w:lang w:eastAsia="pl-PL"/>
        </w:rPr>
        <w:t>Każde państwo dysponować będzie jednym głosem, niezależnie od liczby członków z prawem głosu w jego delegacji.</w:t>
      </w:r>
      <w:r w:rsidR="004B654C" w:rsidRPr="001268E7">
        <w:rPr>
          <w:rFonts w:cs="Calibri"/>
          <w:bCs/>
          <w:sz w:val="24"/>
          <w:szCs w:val="24"/>
        </w:rPr>
        <w:t xml:space="preserve"> </w:t>
      </w:r>
      <w:r w:rsidRPr="001268E7">
        <w:rPr>
          <w:rFonts w:cs="Calibri"/>
          <w:sz w:val="24"/>
          <w:szCs w:val="24"/>
          <w:lang w:eastAsia="pl-PL"/>
        </w:rPr>
        <w:t>Szczegółowe informacje na temat funkc</w:t>
      </w:r>
      <w:r w:rsidR="00912890" w:rsidRPr="001268E7">
        <w:rPr>
          <w:rFonts w:cs="Calibri"/>
          <w:sz w:val="24"/>
          <w:szCs w:val="24"/>
          <w:lang w:eastAsia="pl-PL"/>
        </w:rPr>
        <w:t xml:space="preserve">jonowania WKM zostaną </w:t>
      </w:r>
      <w:r w:rsidR="00056C0B" w:rsidRPr="001268E7">
        <w:rPr>
          <w:rFonts w:cs="Calibri"/>
          <w:sz w:val="24"/>
          <w:szCs w:val="24"/>
          <w:lang w:eastAsia="pl-PL"/>
        </w:rPr>
        <w:t>opisane w Zasadach Postępowania (ZP)</w:t>
      </w:r>
      <w:r w:rsidR="0084492E" w:rsidRPr="001268E7">
        <w:rPr>
          <w:rFonts w:cs="Calibri"/>
          <w:sz w:val="24"/>
          <w:szCs w:val="24"/>
          <w:lang w:eastAsia="pl-PL"/>
        </w:rPr>
        <w:t xml:space="preserve"> WKM, które zostaną przyjęte</w:t>
      </w:r>
      <w:r w:rsidRPr="001268E7">
        <w:rPr>
          <w:rFonts w:cs="Calibri"/>
          <w:sz w:val="24"/>
          <w:szCs w:val="24"/>
          <w:lang w:eastAsia="pl-PL"/>
        </w:rPr>
        <w:t xml:space="preserve"> jednomyślnie podczas pierwszego posiedzenia.</w:t>
      </w:r>
    </w:p>
    <w:p w:rsidR="004B654C" w:rsidRPr="001268E7" w:rsidRDefault="00047E75" w:rsidP="00047E75">
      <w:pPr>
        <w:spacing w:before="100" w:beforeAutospacing="1" w:after="100" w:afterAutospacing="1" w:line="240" w:lineRule="auto"/>
        <w:jc w:val="both"/>
        <w:rPr>
          <w:rFonts w:cs="Calibri"/>
          <w:bCs/>
          <w:sz w:val="24"/>
          <w:szCs w:val="24"/>
        </w:rPr>
      </w:pPr>
      <w:r w:rsidRPr="001268E7">
        <w:rPr>
          <w:rFonts w:cs="Calibri"/>
          <w:bCs/>
          <w:sz w:val="24"/>
          <w:szCs w:val="24"/>
        </w:rPr>
        <w:t>Obradom WKM będą przewodniczyć przedstawiciele obydwu państw uczestniczących w Programie (IK) i przewodnictwo będzie zmieniać się corocznie.</w:t>
      </w:r>
      <w:r w:rsidR="004B654C" w:rsidRPr="001268E7">
        <w:rPr>
          <w:rFonts w:cs="Calibri"/>
          <w:bCs/>
          <w:sz w:val="24"/>
          <w:szCs w:val="24"/>
        </w:rPr>
        <w:t xml:space="preserve"> </w:t>
      </w:r>
      <w:r w:rsidRPr="001268E7">
        <w:rPr>
          <w:rFonts w:cs="Calibri"/>
          <w:sz w:val="24"/>
          <w:szCs w:val="24"/>
          <w:lang w:eastAsia="pl-PL"/>
        </w:rPr>
        <w:t>Przedstawiciel WST pełnił będzie rolę sekretarza WKM.</w:t>
      </w:r>
    </w:p>
    <w:p w:rsidR="004B654C" w:rsidRPr="001268E7" w:rsidRDefault="00047E75" w:rsidP="00047E75">
      <w:pPr>
        <w:spacing w:before="100" w:beforeAutospacing="1" w:after="100" w:afterAutospacing="1" w:line="240" w:lineRule="auto"/>
        <w:jc w:val="both"/>
        <w:rPr>
          <w:rFonts w:cs="Calibri"/>
          <w:bCs/>
          <w:sz w:val="24"/>
          <w:szCs w:val="24"/>
        </w:rPr>
      </w:pPr>
      <w:r w:rsidRPr="001268E7">
        <w:rPr>
          <w:rFonts w:cs="Calibri"/>
          <w:sz w:val="24"/>
          <w:szCs w:val="24"/>
          <w:lang w:eastAsia="pl-PL"/>
        </w:rPr>
        <w:t>Posiedzenia WKM odbywać się będą tak często, jak będzie to konieczne, nie rzadziej jednak niż raz do roku.</w:t>
      </w:r>
      <w:r w:rsidR="004B654C" w:rsidRPr="001268E7">
        <w:rPr>
          <w:rFonts w:cs="Calibri"/>
          <w:bCs/>
          <w:sz w:val="24"/>
          <w:szCs w:val="24"/>
        </w:rPr>
        <w:t xml:space="preserve"> </w:t>
      </w:r>
      <w:r w:rsidRPr="001268E7">
        <w:rPr>
          <w:rFonts w:cs="Calibri"/>
          <w:sz w:val="24"/>
          <w:szCs w:val="24"/>
          <w:lang w:eastAsia="pl-PL"/>
        </w:rPr>
        <w:t>Posiedzenia powinny być zwoływane przez IZ lub na uzasadniony wniosek ze strony któregoś z mianowanych członków WKM bądź KE.</w:t>
      </w:r>
      <w:r w:rsidR="004B654C" w:rsidRPr="001268E7">
        <w:rPr>
          <w:rFonts w:cs="Calibri"/>
          <w:bCs/>
          <w:sz w:val="24"/>
          <w:szCs w:val="24"/>
        </w:rPr>
        <w:t xml:space="preserve"> </w:t>
      </w:r>
      <w:r w:rsidRPr="001268E7">
        <w:rPr>
          <w:rFonts w:cs="Calibri"/>
          <w:sz w:val="24"/>
          <w:szCs w:val="24"/>
          <w:lang w:eastAsia="pl-PL"/>
        </w:rPr>
        <w:t>WKM może również podejmować decyzje w drodze procedury obiegowej z inicjatywy IZ bądź któregoś z państw uczestniczących w Programie.</w:t>
      </w:r>
      <w:r w:rsidR="004B654C" w:rsidRPr="001268E7">
        <w:rPr>
          <w:rFonts w:cs="Calibri"/>
          <w:bCs/>
          <w:sz w:val="24"/>
          <w:szCs w:val="24"/>
        </w:rPr>
        <w:t xml:space="preserve"> </w:t>
      </w:r>
      <w:r w:rsidRPr="001268E7">
        <w:rPr>
          <w:rFonts w:cs="Calibri"/>
          <w:sz w:val="24"/>
          <w:szCs w:val="24"/>
          <w:lang w:eastAsia="pl-PL"/>
        </w:rPr>
        <w:t>W przypadku wystąpienia jakichkolwiek niezgodności, każdy z członków będzie miał prawo żądać przedyskutowania danej decyzji podczas posiedzenia.</w:t>
      </w:r>
      <w:r w:rsidR="004B654C" w:rsidRPr="001268E7">
        <w:rPr>
          <w:rFonts w:cs="Calibri"/>
          <w:bCs/>
          <w:sz w:val="24"/>
          <w:szCs w:val="24"/>
        </w:rPr>
        <w:t xml:space="preserve"> </w:t>
      </w:r>
    </w:p>
    <w:p w:rsidR="004B654C" w:rsidRPr="001268E7" w:rsidRDefault="00047E75" w:rsidP="00047E75">
      <w:pPr>
        <w:spacing w:before="100" w:beforeAutospacing="1" w:after="100" w:afterAutospacing="1" w:line="240" w:lineRule="auto"/>
        <w:jc w:val="both"/>
        <w:rPr>
          <w:rFonts w:cs="Calibri"/>
          <w:bCs/>
          <w:sz w:val="24"/>
          <w:szCs w:val="24"/>
        </w:rPr>
      </w:pPr>
      <w:r w:rsidRPr="001268E7">
        <w:rPr>
          <w:rFonts w:cs="Calibri"/>
          <w:sz w:val="24"/>
          <w:szCs w:val="24"/>
          <w:lang w:eastAsia="pl-PL"/>
        </w:rPr>
        <w:t>WST odpowiedzialny będzie za funkcjonowanie sekretariatu oraz za organizację posiedzeń WKM.</w:t>
      </w:r>
      <w:r w:rsidR="004B654C" w:rsidRPr="001268E7">
        <w:rPr>
          <w:rFonts w:cs="Calibri"/>
          <w:bCs/>
          <w:sz w:val="24"/>
          <w:szCs w:val="24"/>
        </w:rPr>
        <w:t xml:space="preserve"> </w:t>
      </w:r>
      <w:r w:rsidRPr="001268E7">
        <w:rPr>
          <w:rFonts w:cs="Calibri"/>
          <w:sz w:val="24"/>
          <w:szCs w:val="24"/>
          <w:lang w:eastAsia="pl-PL"/>
        </w:rPr>
        <w:t>Po zakończeniu każdego posiedzenia sporządzany będzie protokół, który następnie przekazywany będzie wszystkim członkom celem zatwierdzenia.</w:t>
      </w:r>
      <w:r w:rsidR="004B654C" w:rsidRPr="001268E7">
        <w:rPr>
          <w:rFonts w:cs="Calibri"/>
          <w:bCs/>
          <w:sz w:val="24"/>
          <w:szCs w:val="24"/>
        </w:rPr>
        <w:t xml:space="preserve"> </w:t>
      </w:r>
      <w:r w:rsidRPr="001268E7">
        <w:rPr>
          <w:rFonts w:cs="Calibri"/>
          <w:sz w:val="24"/>
          <w:szCs w:val="24"/>
          <w:lang w:eastAsia="pl-PL"/>
        </w:rPr>
        <w:t>Ostateczna wersja protokołu przekazywana będzie każdemu członkowi i każdemu obserwatorowi.</w:t>
      </w:r>
    </w:p>
    <w:p w:rsidR="006F51FA" w:rsidRPr="001268E7" w:rsidRDefault="00047E75" w:rsidP="00047E75">
      <w:pPr>
        <w:spacing w:before="100" w:beforeAutospacing="1" w:after="100" w:afterAutospacing="1" w:line="240" w:lineRule="auto"/>
        <w:jc w:val="both"/>
        <w:rPr>
          <w:rFonts w:cs="Calibri"/>
          <w:bCs/>
          <w:sz w:val="24"/>
          <w:szCs w:val="24"/>
        </w:rPr>
      </w:pPr>
      <w:r w:rsidRPr="001268E7">
        <w:rPr>
          <w:rFonts w:cs="Calibri"/>
          <w:sz w:val="24"/>
          <w:szCs w:val="24"/>
          <w:lang w:eastAsia="pl-PL"/>
        </w:rPr>
        <w:t>IZ oraz IK udzielały będą wsparcia członkom WKM w zakresie pozyskiwania wiz.</w:t>
      </w:r>
    </w:p>
    <w:p w:rsidR="004B654C" w:rsidRPr="00D61551" w:rsidRDefault="00047E75" w:rsidP="00D61551">
      <w:pPr>
        <w:pStyle w:val="Nagwek2"/>
      </w:pPr>
      <w:bookmarkStart w:id="25" w:name="_Toc530737575"/>
      <w:r w:rsidRPr="00D61551">
        <w:t>3.2 Instytucja Zarządzająca</w:t>
      </w:r>
      <w:bookmarkEnd w:id="25"/>
    </w:p>
    <w:p w:rsidR="004B654C" w:rsidRPr="001268E7" w:rsidRDefault="00B7620E" w:rsidP="00B7620E">
      <w:pPr>
        <w:spacing w:before="100" w:beforeAutospacing="1" w:after="100" w:afterAutospacing="1" w:line="240" w:lineRule="auto"/>
        <w:jc w:val="both"/>
        <w:rPr>
          <w:rFonts w:cs="Calibri"/>
          <w:bCs/>
          <w:sz w:val="24"/>
          <w:szCs w:val="24"/>
        </w:rPr>
      </w:pPr>
      <w:r w:rsidRPr="001268E7">
        <w:rPr>
          <w:rFonts w:cs="Calibri"/>
          <w:sz w:val="24"/>
          <w:szCs w:val="24"/>
          <w:lang w:eastAsia="pl-PL"/>
        </w:rPr>
        <w:t>Rolę IZ pełnić będz</w:t>
      </w:r>
      <w:r w:rsidR="00912890" w:rsidRPr="001268E7">
        <w:rPr>
          <w:rFonts w:cs="Calibri"/>
          <w:sz w:val="24"/>
          <w:szCs w:val="24"/>
          <w:lang w:eastAsia="pl-PL"/>
        </w:rPr>
        <w:t>ie Ministerstwo</w:t>
      </w:r>
      <w:r w:rsidRPr="001268E7">
        <w:rPr>
          <w:rFonts w:cs="Calibri"/>
          <w:sz w:val="24"/>
          <w:szCs w:val="24"/>
          <w:lang w:eastAsia="pl-PL"/>
        </w:rPr>
        <w:t xml:space="preserve"> </w:t>
      </w:r>
      <w:r w:rsidR="003227BD">
        <w:rPr>
          <w:rFonts w:cs="Calibri"/>
          <w:sz w:val="24"/>
          <w:szCs w:val="24"/>
          <w:lang w:eastAsia="pl-PL"/>
        </w:rPr>
        <w:t xml:space="preserve">Inwestycji i </w:t>
      </w:r>
      <w:r w:rsidRPr="001268E7">
        <w:rPr>
          <w:rFonts w:cs="Calibri"/>
          <w:sz w:val="24"/>
          <w:szCs w:val="24"/>
          <w:lang w:eastAsia="pl-PL"/>
        </w:rPr>
        <w:t xml:space="preserve">Rozwoju </w:t>
      </w:r>
      <w:r w:rsidR="00ED2FD3">
        <w:rPr>
          <w:rFonts w:cs="Calibri"/>
          <w:sz w:val="24"/>
          <w:szCs w:val="24"/>
          <w:lang w:eastAsia="pl-PL"/>
        </w:rPr>
        <w:t xml:space="preserve"> </w:t>
      </w:r>
      <w:r w:rsidRPr="001268E7">
        <w:rPr>
          <w:rFonts w:cs="Calibri"/>
          <w:sz w:val="24"/>
          <w:szCs w:val="24"/>
          <w:lang w:eastAsia="pl-PL"/>
        </w:rPr>
        <w:t>Rzeczypospolitej Polskiej.</w:t>
      </w:r>
      <w:r w:rsidR="004B654C" w:rsidRPr="001268E7">
        <w:rPr>
          <w:rFonts w:cs="Calibri"/>
          <w:bCs/>
          <w:sz w:val="24"/>
          <w:szCs w:val="24"/>
        </w:rPr>
        <w:t xml:space="preserve"> </w:t>
      </w:r>
      <w:r w:rsidRPr="001268E7">
        <w:rPr>
          <w:rFonts w:cs="Calibri"/>
          <w:sz w:val="24"/>
          <w:szCs w:val="24"/>
          <w:lang w:eastAsia="pl-PL"/>
        </w:rPr>
        <w:t>IZ odpowiada w szczególności za zarządzanie Programem zgodnie z zasadą należytego zarządzania finansami oraz za zapewnienie, że decyzje WKM pozostają w zgodzie z obowiązującymi przepisami i regulacjami</w:t>
      </w:r>
      <w:r w:rsidRPr="001268E7">
        <w:rPr>
          <w:rFonts w:cs="Calibri"/>
          <w:bCs/>
          <w:sz w:val="24"/>
          <w:szCs w:val="24"/>
        </w:rPr>
        <w:t>.</w:t>
      </w:r>
    </w:p>
    <w:p w:rsidR="004B654C" w:rsidRPr="001268E7" w:rsidRDefault="00A84025" w:rsidP="00A84025">
      <w:pPr>
        <w:spacing w:before="100" w:beforeAutospacing="1" w:after="100" w:afterAutospacing="1" w:line="240" w:lineRule="auto"/>
        <w:jc w:val="both"/>
        <w:rPr>
          <w:rStyle w:val="Wyrnieniedelikatne"/>
          <w:szCs w:val="24"/>
        </w:rPr>
      </w:pPr>
      <w:r w:rsidRPr="001268E7">
        <w:rPr>
          <w:rStyle w:val="Wyrnieniedelikatne"/>
          <w:szCs w:val="24"/>
        </w:rPr>
        <w:t>Desygnacja</w:t>
      </w:r>
    </w:p>
    <w:p w:rsidR="004B654C" w:rsidRPr="001268E7" w:rsidRDefault="00A84025" w:rsidP="00A84025">
      <w:pPr>
        <w:spacing w:before="100" w:beforeAutospacing="1" w:after="100" w:afterAutospacing="1" w:line="240" w:lineRule="auto"/>
        <w:jc w:val="both"/>
        <w:rPr>
          <w:rFonts w:cs="Calibri"/>
          <w:sz w:val="24"/>
          <w:szCs w:val="24"/>
        </w:rPr>
      </w:pPr>
      <w:r w:rsidRPr="001268E7">
        <w:rPr>
          <w:rFonts w:cs="Calibri"/>
          <w:sz w:val="24"/>
          <w:szCs w:val="24"/>
        </w:rPr>
        <w:t>Na etapie przygotowania programu podczas drugiego posiedzenia Wspólnego Komitetu Programującego (WKP), które odbyło się 24 marca 2014 w Moskwie, przedstawiciele państw biorących udział w Programie podjęli wspólną decyzję o powierzeniu funkcji IZ w ramach Programu był</w:t>
      </w:r>
      <w:r w:rsidR="00912890" w:rsidRPr="001268E7">
        <w:rPr>
          <w:rFonts w:cs="Calibri"/>
          <w:sz w:val="24"/>
          <w:szCs w:val="24"/>
        </w:rPr>
        <w:t xml:space="preserve">emu Ministrowi Infrastruktury i </w:t>
      </w:r>
      <w:r w:rsidRPr="001268E7">
        <w:rPr>
          <w:rFonts w:cs="Calibri"/>
          <w:sz w:val="24"/>
          <w:szCs w:val="24"/>
        </w:rPr>
        <w:t xml:space="preserve">Rozwoju (obecnemu </w:t>
      </w:r>
      <w:r w:rsidR="00912890" w:rsidRPr="001268E7">
        <w:rPr>
          <w:rFonts w:cs="Calibri"/>
          <w:sz w:val="24"/>
          <w:szCs w:val="24"/>
        </w:rPr>
        <w:t>Ministrowi</w:t>
      </w:r>
      <w:r w:rsidR="00ED2FD3">
        <w:rPr>
          <w:rFonts w:cs="Calibri"/>
          <w:sz w:val="24"/>
          <w:szCs w:val="24"/>
        </w:rPr>
        <w:t xml:space="preserve"> Inwestycji i</w:t>
      </w:r>
      <w:r w:rsidR="00912890" w:rsidRPr="001268E7">
        <w:rPr>
          <w:rFonts w:cs="Calibri"/>
          <w:sz w:val="24"/>
          <w:szCs w:val="24"/>
        </w:rPr>
        <w:t xml:space="preserve"> Rozwoju</w:t>
      </w:r>
      <w:r w:rsidRPr="001268E7">
        <w:rPr>
          <w:rFonts w:cs="Calibri"/>
          <w:sz w:val="24"/>
          <w:szCs w:val="24"/>
        </w:rPr>
        <w:t>) Polski.</w:t>
      </w:r>
    </w:p>
    <w:p w:rsidR="004B654C" w:rsidRPr="001268E7" w:rsidRDefault="00A84025" w:rsidP="00A84025">
      <w:pPr>
        <w:spacing w:before="100" w:beforeAutospacing="1" w:after="100" w:afterAutospacing="1" w:line="240" w:lineRule="auto"/>
        <w:jc w:val="both"/>
        <w:rPr>
          <w:rFonts w:cs="Calibri"/>
          <w:sz w:val="24"/>
          <w:szCs w:val="24"/>
        </w:rPr>
      </w:pPr>
      <w:r w:rsidRPr="001268E7">
        <w:rPr>
          <w:rFonts w:cs="Calibri"/>
          <w:sz w:val="24"/>
          <w:szCs w:val="24"/>
          <w:lang w:eastAsia="pl-PL"/>
        </w:rPr>
        <w:lastRenderedPageBreak/>
        <w:t>Po przekazaniu WPO do KE, IZ przejdzie procedurę desygnacji.</w:t>
      </w:r>
      <w:r w:rsidR="004B654C" w:rsidRPr="001268E7">
        <w:rPr>
          <w:rFonts w:cs="Calibri"/>
          <w:sz w:val="24"/>
          <w:szCs w:val="24"/>
        </w:rPr>
        <w:t xml:space="preserve"> </w:t>
      </w:r>
      <w:r w:rsidRPr="001268E7">
        <w:rPr>
          <w:rFonts w:cs="Calibri"/>
          <w:sz w:val="24"/>
          <w:szCs w:val="24"/>
          <w:lang w:eastAsia="pl-PL"/>
        </w:rPr>
        <w:t>Opierała się ona będzie na opinii i raporcie przygotowanym przez niezależny organ audytowy, tj. IA.</w:t>
      </w:r>
      <w:r w:rsidR="004B654C" w:rsidRPr="001268E7">
        <w:rPr>
          <w:rFonts w:cs="Calibri"/>
          <w:sz w:val="24"/>
          <w:szCs w:val="24"/>
        </w:rPr>
        <w:t xml:space="preserve"> </w:t>
      </w:r>
      <w:r w:rsidRPr="001268E7">
        <w:rPr>
          <w:rFonts w:cs="Calibri"/>
          <w:sz w:val="24"/>
          <w:szCs w:val="24"/>
          <w:lang w:eastAsia="pl-PL"/>
        </w:rPr>
        <w:t>Audyt ten służył będzie ocenie zgodności systemu zarządzania i kontroli, włączając w to rolę Wspólnego Sekretariat</w:t>
      </w:r>
      <w:r w:rsidR="006F51FA">
        <w:rPr>
          <w:rFonts w:cs="Calibri"/>
          <w:sz w:val="24"/>
          <w:szCs w:val="24"/>
          <w:lang w:eastAsia="pl-PL"/>
        </w:rPr>
        <w:t>u</w:t>
      </w:r>
      <w:r w:rsidRPr="001268E7">
        <w:rPr>
          <w:rFonts w:cs="Calibri"/>
          <w:sz w:val="24"/>
          <w:szCs w:val="24"/>
          <w:lang w:eastAsia="pl-PL"/>
        </w:rPr>
        <w:t xml:space="preserve"> Technicznego</w:t>
      </w:r>
      <w:r w:rsidR="006F51FA">
        <w:rPr>
          <w:rFonts w:cs="Calibri"/>
          <w:sz w:val="24"/>
          <w:szCs w:val="24"/>
          <w:lang w:eastAsia="pl-PL"/>
        </w:rPr>
        <w:t xml:space="preserve"> powołanego jako Instytucja Pośrednicząca</w:t>
      </w:r>
      <w:r w:rsidRPr="001268E7">
        <w:rPr>
          <w:rFonts w:cs="Calibri"/>
          <w:sz w:val="24"/>
          <w:szCs w:val="24"/>
          <w:lang w:eastAsia="pl-PL"/>
        </w:rPr>
        <w:t>, z kryteriami desygnacji wskazanymi w treści Aneksu I do R</w:t>
      </w:r>
      <w:r w:rsidR="00912890" w:rsidRPr="001268E7">
        <w:rPr>
          <w:rFonts w:cs="Calibri"/>
          <w:sz w:val="24"/>
          <w:szCs w:val="24"/>
          <w:lang w:eastAsia="pl-PL"/>
        </w:rPr>
        <w:t xml:space="preserve">ozporządzenia </w:t>
      </w:r>
      <w:r w:rsidRPr="001268E7">
        <w:rPr>
          <w:rFonts w:cs="Calibri"/>
          <w:sz w:val="24"/>
          <w:szCs w:val="24"/>
          <w:lang w:eastAsia="pl-PL"/>
        </w:rPr>
        <w:t>W</w:t>
      </w:r>
      <w:r w:rsidR="00912890" w:rsidRPr="001268E7">
        <w:rPr>
          <w:rFonts w:cs="Calibri"/>
          <w:sz w:val="24"/>
          <w:szCs w:val="24"/>
          <w:lang w:eastAsia="pl-PL"/>
        </w:rPr>
        <w:t>ykonawczego</w:t>
      </w:r>
      <w:r w:rsidRPr="001268E7">
        <w:rPr>
          <w:rFonts w:cs="Calibri"/>
          <w:sz w:val="24"/>
          <w:szCs w:val="24"/>
          <w:lang w:eastAsia="pl-PL"/>
        </w:rPr>
        <w:t>.</w:t>
      </w:r>
      <w:r w:rsidR="004B654C" w:rsidRPr="001268E7">
        <w:rPr>
          <w:rFonts w:cs="Calibri"/>
          <w:sz w:val="24"/>
          <w:szCs w:val="24"/>
        </w:rPr>
        <w:t xml:space="preserve"> </w:t>
      </w:r>
      <w:r w:rsidRPr="001268E7">
        <w:rPr>
          <w:rFonts w:cs="Calibri"/>
          <w:sz w:val="24"/>
          <w:szCs w:val="24"/>
          <w:lang w:eastAsia="pl-PL"/>
        </w:rPr>
        <w:t>IA brać będzie pod uwagę, w stosownych przypadkach, kwestię tego czy system zarządzania i kontroli w ramach Programu przypomina system stosowany w poprzednim okresie programowania, a także czy istnieją dowody na to, że funkcjonował on wówczas w sposób efektywny.</w:t>
      </w:r>
      <w:r w:rsidR="004B654C" w:rsidRPr="001268E7">
        <w:rPr>
          <w:rFonts w:cs="Calibri"/>
          <w:sz w:val="24"/>
          <w:szCs w:val="24"/>
        </w:rPr>
        <w:t xml:space="preserve"> </w:t>
      </w:r>
      <w:r w:rsidRPr="001268E7">
        <w:rPr>
          <w:rFonts w:cs="Calibri"/>
          <w:sz w:val="24"/>
          <w:szCs w:val="24"/>
          <w:lang w:eastAsia="pl-PL"/>
        </w:rPr>
        <w:t>IA będzie wykonywała swoje zadania w sposób zgodny z powszechnie przyjętymi międzynarodowymi standardami dotyczącymi audytu.</w:t>
      </w:r>
    </w:p>
    <w:p w:rsidR="004B654C" w:rsidRPr="001268E7" w:rsidRDefault="00A84025" w:rsidP="00184A29">
      <w:pPr>
        <w:spacing w:before="100" w:beforeAutospacing="1" w:after="100" w:afterAutospacing="1" w:line="240" w:lineRule="auto"/>
        <w:jc w:val="both"/>
        <w:rPr>
          <w:rFonts w:cs="Calibri"/>
          <w:sz w:val="24"/>
          <w:szCs w:val="24"/>
        </w:rPr>
      </w:pPr>
      <w:r w:rsidRPr="001268E7">
        <w:rPr>
          <w:rFonts w:cs="Calibri"/>
          <w:sz w:val="24"/>
          <w:szCs w:val="24"/>
        </w:rPr>
        <w:t xml:space="preserve">Rzeczpospolita Polska </w:t>
      </w:r>
      <w:r w:rsidRPr="001268E7">
        <w:rPr>
          <w:rFonts w:cs="Calibri"/>
          <w:sz w:val="24"/>
          <w:szCs w:val="24"/>
          <w:lang w:eastAsia="pl-PL"/>
        </w:rPr>
        <w:t xml:space="preserve">przekaże formalną decyzję dotyczącą desygnacji do Komisji </w:t>
      </w:r>
      <w:r w:rsidR="0094479C" w:rsidRPr="001268E7">
        <w:rPr>
          <w:rFonts w:cs="Calibri"/>
          <w:sz w:val="24"/>
          <w:szCs w:val="24"/>
          <w:lang w:eastAsia="pl-PL"/>
        </w:rPr>
        <w:t xml:space="preserve">Europejskiej </w:t>
      </w:r>
      <w:r w:rsidRPr="001268E7">
        <w:rPr>
          <w:rFonts w:cs="Calibri"/>
          <w:sz w:val="24"/>
          <w:szCs w:val="24"/>
          <w:lang w:eastAsia="pl-PL"/>
        </w:rPr>
        <w:t>tak szybko, jak to będzie możliwe po przyjęciu Programu przez Komisję.</w:t>
      </w:r>
      <w:r w:rsidR="004B654C" w:rsidRPr="001268E7">
        <w:rPr>
          <w:rFonts w:cs="Calibri"/>
          <w:sz w:val="24"/>
          <w:szCs w:val="24"/>
        </w:rPr>
        <w:t xml:space="preserve"> </w:t>
      </w:r>
      <w:r w:rsidR="001755E8" w:rsidRPr="001268E7">
        <w:rPr>
          <w:rFonts w:cs="Calibri"/>
          <w:sz w:val="24"/>
          <w:szCs w:val="24"/>
          <w:lang w:eastAsia="pl-PL"/>
        </w:rPr>
        <w:t>W przeciągu dwóch miesięcy od daty otrzymania formalnej de</w:t>
      </w:r>
      <w:r w:rsidR="0094479C" w:rsidRPr="001268E7">
        <w:rPr>
          <w:rFonts w:cs="Calibri"/>
          <w:sz w:val="24"/>
          <w:szCs w:val="24"/>
          <w:lang w:eastAsia="pl-PL"/>
        </w:rPr>
        <w:t>cyzji, Komisja będzie mogła</w:t>
      </w:r>
      <w:r w:rsidR="001755E8" w:rsidRPr="001268E7">
        <w:rPr>
          <w:rFonts w:cs="Calibri"/>
          <w:sz w:val="24"/>
          <w:szCs w:val="24"/>
          <w:lang w:eastAsia="pl-PL"/>
        </w:rPr>
        <w:t xml:space="preserve"> zażądać przedstawienia raportu i opinii sporządzonych przez IA, a także opisu systemów zarządzania i kontroli – w szczególności w odniesieniu do kwestii dotyczących wyboru projektów.</w:t>
      </w:r>
      <w:r w:rsidR="004B654C" w:rsidRPr="001268E7">
        <w:rPr>
          <w:rFonts w:cs="Calibri"/>
          <w:sz w:val="24"/>
          <w:szCs w:val="24"/>
        </w:rPr>
        <w:t xml:space="preserve"> </w:t>
      </w:r>
      <w:r w:rsidR="00184A29" w:rsidRPr="001268E7">
        <w:rPr>
          <w:rFonts w:cs="Calibri"/>
          <w:sz w:val="24"/>
          <w:szCs w:val="24"/>
        </w:rPr>
        <w:t xml:space="preserve">W przypadku, </w:t>
      </w:r>
      <w:r w:rsidR="00184A29" w:rsidRPr="001268E7">
        <w:rPr>
          <w:rFonts w:cs="Calibri"/>
          <w:sz w:val="24"/>
          <w:szCs w:val="24"/>
          <w:lang w:eastAsia="pl-PL"/>
        </w:rPr>
        <w:t>gdy Komisja nie będzie miała zamiaru wystąpić o przedstawienie tych dokumentów, jak najszybciej powiadomi ona o tym fakcie Polskę.</w:t>
      </w:r>
      <w:r w:rsidR="004B654C" w:rsidRPr="001268E7">
        <w:rPr>
          <w:rFonts w:cs="Calibri"/>
          <w:sz w:val="24"/>
          <w:szCs w:val="24"/>
        </w:rPr>
        <w:t xml:space="preserve"> </w:t>
      </w:r>
      <w:r w:rsidR="00184A29" w:rsidRPr="001268E7">
        <w:rPr>
          <w:rFonts w:cs="Calibri"/>
          <w:sz w:val="24"/>
          <w:szCs w:val="24"/>
          <w:lang w:eastAsia="pl-PL"/>
        </w:rPr>
        <w:t>W przypadku, gdy Komisja wystąpi o przedstawienie tych dokumentów, może ona przedstawić swoje spostrzeżenia w przeciągu dwóch miesięcy od daty otrzymania tych dokumentów, które p</w:t>
      </w:r>
      <w:r w:rsidR="0094479C" w:rsidRPr="001268E7">
        <w:rPr>
          <w:rFonts w:cs="Calibri"/>
          <w:sz w:val="24"/>
          <w:szCs w:val="24"/>
          <w:lang w:eastAsia="pl-PL"/>
        </w:rPr>
        <w:t>oddane zostaną następnie przeglądowi</w:t>
      </w:r>
      <w:r w:rsidR="00184A29" w:rsidRPr="001268E7">
        <w:rPr>
          <w:rFonts w:cs="Calibri"/>
          <w:sz w:val="24"/>
          <w:szCs w:val="24"/>
          <w:lang w:eastAsia="pl-PL"/>
        </w:rPr>
        <w:t xml:space="preserve"> z uwzględnieniem spostrzeżeń Komisji.</w:t>
      </w:r>
      <w:r w:rsidR="004B654C" w:rsidRPr="001268E7">
        <w:rPr>
          <w:rFonts w:cs="Calibri"/>
          <w:sz w:val="24"/>
          <w:szCs w:val="24"/>
        </w:rPr>
        <w:t xml:space="preserve"> </w:t>
      </w:r>
      <w:r w:rsidR="00184A29" w:rsidRPr="001268E7">
        <w:rPr>
          <w:rFonts w:cs="Calibri"/>
          <w:sz w:val="24"/>
          <w:szCs w:val="24"/>
          <w:lang w:eastAsia="pl-PL"/>
        </w:rPr>
        <w:t>W przypadku, gdy Komisja nie będzie miała jakichkolwiek wstępnych bądź dalszych spostrzeżeń, powiadomi ona o tym fakcie Polskę tak szybko, jak to będzie możliwe.</w:t>
      </w:r>
      <w:r w:rsidR="004B654C" w:rsidRPr="001268E7">
        <w:rPr>
          <w:rFonts w:cs="Calibri"/>
          <w:sz w:val="24"/>
          <w:szCs w:val="24"/>
        </w:rPr>
        <w:t xml:space="preserve"> </w:t>
      </w:r>
    </w:p>
    <w:p w:rsidR="004B654C" w:rsidRPr="001268E7" w:rsidRDefault="00184A29" w:rsidP="00184A29">
      <w:pPr>
        <w:spacing w:before="100" w:beforeAutospacing="1" w:after="100" w:afterAutospacing="1" w:line="240" w:lineRule="auto"/>
        <w:jc w:val="both"/>
        <w:rPr>
          <w:rFonts w:cs="Calibri"/>
          <w:sz w:val="24"/>
          <w:szCs w:val="24"/>
        </w:rPr>
      </w:pPr>
      <w:r w:rsidRPr="001268E7">
        <w:rPr>
          <w:rFonts w:cs="Calibri"/>
          <w:sz w:val="24"/>
          <w:szCs w:val="24"/>
          <w:lang w:eastAsia="pl-PL"/>
        </w:rPr>
        <w:t>W przypadku gdy istniejące wyniki audytu i kontroli pokazują, że desygnowana instytucja nie spełnia już kryteriów, Polska, na odpowiednim poziomie, ustala — biorąc pod uwagę powagę problemu — niezbędne działania naprawcze oraz okres próbny, w którym takie działania naprawcze muszą zostać podjęte.</w:t>
      </w:r>
      <w:r w:rsidR="004B654C" w:rsidRPr="001268E7">
        <w:rPr>
          <w:rFonts w:cs="Calibri"/>
          <w:sz w:val="24"/>
          <w:szCs w:val="24"/>
        </w:rPr>
        <w:t xml:space="preserve"> </w:t>
      </w:r>
      <w:r w:rsidRPr="001268E7">
        <w:rPr>
          <w:rFonts w:cs="Calibri"/>
          <w:sz w:val="24"/>
          <w:szCs w:val="24"/>
          <w:lang w:eastAsia="pl-PL"/>
        </w:rPr>
        <w:t>W przypadku</w:t>
      </w:r>
      <w:r w:rsidR="0084492E" w:rsidRPr="001268E7">
        <w:rPr>
          <w:rFonts w:cs="Calibri"/>
          <w:sz w:val="24"/>
          <w:szCs w:val="24"/>
          <w:lang w:eastAsia="pl-PL"/>
        </w:rPr>
        <w:t>,</w:t>
      </w:r>
      <w:r w:rsidRPr="001268E7">
        <w:rPr>
          <w:rFonts w:cs="Calibri"/>
          <w:sz w:val="24"/>
          <w:szCs w:val="24"/>
          <w:lang w:eastAsia="pl-PL"/>
        </w:rPr>
        <w:t xml:space="preserve"> gdy desygnowana instytucja nie podejmie wymaganych działań naprawczych w trakcie okresu próbnego ustalonego przez Polskę, państwo to, na odpowiednim poziomie, kończy jej desygnację.</w:t>
      </w:r>
      <w:r w:rsidR="004B654C" w:rsidRPr="001268E7">
        <w:rPr>
          <w:rFonts w:cs="Calibri"/>
          <w:sz w:val="24"/>
          <w:szCs w:val="24"/>
        </w:rPr>
        <w:t xml:space="preserve"> </w:t>
      </w:r>
    </w:p>
    <w:p w:rsidR="004B654C" w:rsidRPr="001268E7" w:rsidRDefault="00184A29" w:rsidP="00184A29">
      <w:pPr>
        <w:spacing w:before="100" w:beforeAutospacing="1" w:after="100" w:afterAutospacing="1" w:line="240" w:lineRule="auto"/>
        <w:jc w:val="both"/>
        <w:rPr>
          <w:rFonts w:cs="Calibri"/>
          <w:sz w:val="24"/>
          <w:szCs w:val="24"/>
        </w:rPr>
      </w:pPr>
      <w:r w:rsidRPr="001268E7">
        <w:rPr>
          <w:rFonts w:cs="Calibri"/>
          <w:sz w:val="24"/>
          <w:szCs w:val="24"/>
        </w:rPr>
        <w:t xml:space="preserve">Rzeczpospolita Polska </w:t>
      </w:r>
      <w:r w:rsidRPr="001268E7">
        <w:rPr>
          <w:rFonts w:cs="Calibri"/>
          <w:sz w:val="24"/>
          <w:szCs w:val="24"/>
          <w:lang w:eastAsia="pl-PL"/>
        </w:rPr>
        <w:t>niezwłocznie powiadamia Komisję o:</w:t>
      </w:r>
    </w:p>
    <w:p w:rsidR="00184A29" w:rsidRPr="001268E7" w:rsidRDefault="00184A29" w:rsidP="00C62170">
      <w:pPr>
        <w:pStyle w:val="Akapitzlist"/>
        <w:numPr>
          <w:ilvl w:val="0"/>
          <w:numId w:val="43"/>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objęciu wyznaczonej instytucji okresem próbnym, przedstawiając informacje o działaniach naprawczych i właściwym okresie próbnym, lub</w:t>
      </w:r>
    </w:p>
    <w:p w:rsidR="00184A29" w:rsidRPr="001268E7" w:rsidRDefault="00184A29" w:rsidP="00C62170">
      <w:pPr>
        <w:pStyle w:val="Akapitzlist"/>
        <w:numPr>
          <w:ilvl w:val="0"/>
          <w:numId w:val="43"/>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zakończeniu okresu próbnego w wyniku podjęcia działań naprawczych, lub</w:t>
      </w:r>
    </w:p>
    <w:p w:rsidR="00184A29" w:rsidRPr="001268E7" w:rsidRDefault="00184A29" w:rsidP="00C62170">
      <w:pPr>
        <w:pStyle w:val="Akapitzlist"/>
        <w:numPr>
          <w:ilvl w:val="0"/>
          <w:numId w:val="43"/>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zakończeniu desygnacji instytucji.</w:t>
      </w:r>
      <w:r w:rsidRPr="001268E7">
        <w:rPr>
          <w:rFonts w:cs="Calibri"/>
          <w:sz w:val="24"/>
          <w:szCs w:val="24"/>
        </w:rPr>
        <w:t xml:space="preserve"> </w:t>
      </w:r>
    </w:p>
    <w:p w:rsidR="004B654C" w:rsidRPr="001268E7" w:rsidRDefault="00184A29" w:rsidP="00184A29">
      <w:pPr>
        <w:spacing w:before="100" w:beforeAutospacing="1" w:after="100" w:afterAutospacing="1" w:line="240" w:lineRule="auto"/>
        <w:jc w:val="both"/>
        <w:rPr>
          <w:rFonts w:cs="Calibri"/>
          <w:sz w:val="24"/>
          <w:szCs w:val="24"/>
        </w:rPr>
      </w:pPr>
      <w:r w:rsidRPr="001268E7">
        <w:rPr>
          <w:rFonts w:cs="Calibri"/>
          <w:sz w:val="24"/>
          <w:szCs w:val="24"/>
          <w:lang w:eastAsia="pl-PL"/>
        </w:rPr>
        <w:t>Powiadomienie dotyczące objęcia wyznaczonej instytucji okresem próbnym przez Polskę nie przerywa rozpatrywania wniosków o płatności.</w:t>
      </w:r>
      <w:r w:rsidR="004B654C" w:rsidRPr="001268E7">
        <w:rPr>
          <w:rFonts w:cs="Calibri"/>
          <w:sz w:val="24"/>
          <w:szCs w:val="24"/>
        </w:rPr>
        <w:t xml:space="preserve"> </w:t>
      </w:r>
    </w:p>
    <w:p w:rsidR="004B654C" w:rsidRPr="001268E7" w:rsidRDefault="00184A29" w:rsidP="00184A29">
      <w:pPr>
        <w:spacing w:before="100" w:beforeAutospacing="1" w:after="100" w:afterAutospacing="1" w:line="240" w:lineRule="auto"/>
        <w:jc w:val="both"/>
        <w:rPr>
          <w:rFonts w:cs="Calibri"/>
          <w:sz w:val="24"/>
          <w:szCs w:val="24"/>
        </w:rPr>
      </w:pPr>
      <w:r w:rsidRPr="001268E7">
        <w:rPr>
          <w:rFonts w:cs="Calibri"/>
          <w:sz w:val="24"/>
          <w:szCs w:val="24"/>
          <w:lang w:eastAsia="pl-PL"/>
        </w:rPr>
        <w:t>Kiedy desygnacja IZ dobiegnie końca</w:t>
      </w:r>
      <w:r w:rsidR="0094479C" w:rsidRPr="001268E7">
        <w:rPr>
          <w:rFonts w:cs="Calibri"/>
          <w:sz w:val="24"/>
          <w:szCs w:val="24"/>
          <w:lang w:eastAsia="pl-PL"/>
        </w:rPr>
        <w:t>,</w:t>
      </w:r>
      <w:r w:rsidRPr="001268E7">
        <w:rPr>
          <w:rFonts w:cs="Calibri"/>
          <w:sz w:val="24"/>
          <w:szCs w:val="24"/>
          <w:lang w:eastAsia="pl-PL"/>
        </w:rPr>
        <w:t xml:space="preserve"> państwa uczestniczące (Rzeczpospolita Polska i Federacja Rosyjska) wyznaczają nową instytucję lub podmiot w celu przejęcia funkcji IZ.</w:t>
      </w:r>
      <w:r w:rsidR="004B654C" w:rsidRPr="001268E7">
        <w:rPr>
          <w:rFonts w:cs="Calibri"/>
          <w:sz w:val="24"/>
          <w:szCs w:val="24"/>
        </w:rPr>
        <w:t xml:space="preserve"> </w:t>
      </w:r>
      <w:r w:rsidRPr="001268E7">
        <w:rPr>
          <w:rFonts w:cs="Calibri"/>
          <w:sz w:val="24"/>
          <w:szCs w:val="24"/>
          <w:lang w:eastAsia="pl-PL"/>
        </w:rPr>
        <w:t>Taki podmiot lub instytucja przechodzi procedurę wyznaczenia opisaną powyżej, o czym powiadamia się Komisję.</w:t>
      </w:r>
      <w:r w:rsidR="004B654C" w:rsidRPr="001268E7">
        <w:rPr>
          <w:rFonts w:cs="Calibri"/>
          <w:sz w:val="24"/>
          <w:szCs w:val="24"/>
        </w:rPr>
        <w:t xml:space="preserve"> </w:t>
      </w:r>
      <w:r w:rsidRPr="001268E7">
        <w:rPr>
          <w:rFonts w:cs="Calibri"/>
          <w:sz w:val="24"/>
          <w:szCs w:val="24"/>
          <w:lang w:eastAsia="pl-PL"/>
        </w:rPr>
        <w:t>Taka zmiana wymaga korekty Programu.</w:t>
      </w:r>
    </w:p>
    <w:p w:rsidR="004B654C" w:rsidRPr="001268E7" w:rsidRDefault="00184A29" w:rsidP="00184A29">
      <w:pPr>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Bold"/>
          <w:bCs/>
          <w:sz w:val="24"/>
          <w:szCs w:val="24"/>
          <w:lang w:eastAsia="pl-PL"/>
        </w:rPr>
        <w:t>Formy prawne dotyczące decyzji desygnacji:</w:t>
      </w:r>
    </w:p>
    <w:p w:rsidR="004B654C" w:rsidRPr="001268E7" w:rsidRDefault="00184A29" w:rsidP="00184A29">
      <w:pPr>
        <w:spacing w:before="100" w:beforeAutospacing="1" w:after="100" w:afterAutospacing="1" w:line="240" w:lineRule="auto"/>
        <w:jc w:val="both"/>
        <w:rPr>
          <w:rFonts w:cs="Calibri"/>
          <w:sz w:val="24"/>
          <w:szCs w:val="24"/>
        </w:rPr>
      </w:pPr>
      <w:r w:rsidRPr="001268E7">
        <w:rPr>
          <w:rFonts w:cs="Calibri"/>
          <w:sz w:val="24"/>
          <w:szCs w:val="24"/>
          <w:lang w:eastAsia="pl-PL"/>
        </w:rPr>
        <w:lastRenderedPageBreak/>
        <w:t>Rolę organu odpowiedzialnego za procedurę wyznaczen</w:t>
      </w:r>
      <w:r w:rsidR="0094479C" w:rsidRPr="001268E7">
        <w:rPr>
          <w:rFonts w:cs="Calibri"/>
          <w:sz w:val="24"/>
          <w:szCs w:val="24"/>
          <w:lang w:eastAsia="pl-PL"/>
        </w:rPr>
        <w:t xml:space="preserve">ia pełnić będzie Minister </w:t>
      </w:r>
      <w:r w:rsidR="003227BD">
        <w:rPr>
          <w:rFonts w:cs="Calibri"/>
          <w:sz w:val="24"/>
          <w:szCs w:val="24"/>
          <w:lang w:eastAsia="pl-PL"/>
        </w:rPr>
        <w:t xml:space="preserve">Inwestycji i Rozwoju </w:t>
      </w:r>
      <w:r w:rsidRPr="001268E7">
        <w:rPr>
          <w:rFonts w:cs="Calibri"/>
          <w:sz w:val="24"/>
          <w:szCs w:val="24"/>
          <w:lang w:eastAsia="pl-PL"/>
        </w:rPr>
        <w:t>Rzeczypospolitej Polskiej.</w:t>
      </w:r>
      <w:r w:rsidR="004B654C" w:rsidRPr="001268E7">
        <w:rPr>
          <w:rFonts w:cs="Calibri"/>
          <w:sz w:val="24"/>
          <w:szCs w:val="24"/>
        </w:rPr>
        <w:t xml:space="preserve"> </w:t>
      </w:r>
      <w:r w:rsidRPr="001268E7">
        <w:rPr>
          <w:rFonts w:cs="Calibri"/>
          <w:sz w:val="24"/>
          <w:szCs w:val="24"/>
          <w:lang w:eastAsia="pl-PL"/>
        </w:rPr>
        <w:t>Zadania związane z procedurą desygnacji prowadzone są przez wydział Departamentu ds. Certyfikacji i Desygnacj</w:t>
      </w:r>
      <w:r w:rsidR="0094479C" w:rsidRPr="001268E7">
        <w:rPr>
          <w:rFonts w:cs="Calibri"/>
          <w:sz w:val="24"/>
          <w:szCs w:val="24"/>
          <w:lang w:eastAsia="pl-PL"/>
        </w:rPr>
        <w:t xml:space="preserve">i Ministerstwa </w:t>
      </w:r>
      <w:r w:rsidR="003227BD">
        <w:rPr>
          <w:rFonts w:cs="Calibri"/>
          <w:sz w:val="24"/>
          <w:szCs w:val="24"/>
          <w:lang w:eastAsia="pl-PL"/>
        </w:rPr>
        <w:t>Inwestycji i Rozwoju</w:t>
      </w:r>
      <w:r w:rsidR="00ED2FD3">
        <w:rPr>
          <w:rFonts w:cs="Calibri"/>
          <w:sz w:val="24"/>
          <w:szCs w:val="24"/>
          <w:lang w:eastAsia="pl-PL"/>
        </w:rPr>
        <w:t xml:space="preserve"> </w:t>
      </w:r>
      <w:r w:rsidRPr="001268E7">
        <w:rPr>
          <w:rFonts w:cs="Calibri"/>
          <w:sz w:val="24"/>
          <w:szCs w:val="24"/>
          <w:lang w:eastAsia="pl-PL"/>
        </w:rPr>
        <w:t>Rzeczpospolitej Polskiej. Wydział jest samodzielny i funkcjonuje niezależnie od IZ.</w:t>
      </w:r>
    </w:p>
    <w:p w:rsidR="004B654C" w:rsidRPr="001268E7" w:rsidRDefault="00184A29" w:rsidP="00184A29">
      <w:pPr>
        <w:spacing w:before="100" w:beforeAutospacing="1" w:after="100" w:afterAutospacing="1" w:line="240" w:lineRule="auto"/>
        <w:jc w:val="both"/>
        <w:rPr>
          <w:rFonts w:cs="Calibri"/>
          <w:sz w:val="24"/>
          <w:szCs w:val="24"/>
        </w:rPr>
      </w:pPr>
      <w:r w:rsidRPr="001268E7">
        <w:rPr>
          <w:rFonts w:cs="Calibri"/>
          <w:sz w:val="24"/>
          <w:szCs w:val="24"/>
          <w:lang w:eastAsia="pl-PL"/>
        </w:rPr>
        <w:t xml:space="preserve">Funkcję niezależnego organu audytowego, wydającego </w:t>
      </w:r>
      <w:r w:rsidR="0094479C" w:rsidRPr="001268E7">
        <w:rPr>
          <w:rFonts w:cs="Calibri"/>
          <w:sz w:val="24"/>
          <w:szCs w:val="24"/>
          <w:lang w:eastAsia="pl-PL"/>
        </w:rPr>
        <w:t xml:space="preserve">opinię i raport </w:t>
      </w:r>
      <w:r w:rsidRPr="001268E7">
        <w:rPr>
          <w:rFonts w:cs="Calibri"/>
          <w:sz w:val="24"/>
          <w:szCs w:val="24"/>
          <w:lang w:eastAsia="pl-PL"/>
        </w:rPr>
        <w:t xml:space="preserve">dotyczące oceny zgodności systemu zarządzania i kontroli z kryteriami desygnacji wskazanymi w treści Aneksu do RW sprawować będzie </w:t>
      </w:r>
      <w:r w:rsidR="00ED2FD3">
        <w:rPr>
          <w:rFonts w:cs="Calibri"/>
          <w:sz w:val="24"/>
          <w:szCs w:val="24"/>
          <w:lang w:eastAsia="pl-PL"/>
        </w:rPr>
        <w:t>Szef Krajowej Administracji Skarbowej</w:t>
      </w:r>
      <w:r w:rsidRPr="001268E7">
        <w:rPr>
          <w:rFonts w:cs="Calibri"/>
          <w:sz w:val="24"/>
          <w:szCs w:val="24"/>
          <w:lang w:eastAsia="pl-PL"/>
        </w:rPr>
        <w:t xml:space="preserve"> w Ministerstwie Finansów Polski, odpowiedzialny także za pełnienie funkcji IA.</w:t>
      </w:r>
    </w:p>
    <w:p w:rsidR="003227BD" w:rsidRDefault="00184A29" w:rsidP="003227BD">
      <w:pPr>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Bold"/>
          <w:bCs/>
          <w:sz w:val="24"/>
          <w:szCs w:val="24"/>
          <w:lang w:eastAsia="pl-PL"/>
        </w:rPr>
        <w:t>Etapy i ramy czasowe procesu desygnacji:</w:t>
      </w:r>
      <w:r w:rsidR="004B654C" w:rsidRPr="001268E7">
        <w:rPr>
          <w:rFonts w:asciiTheme="minorHAnsi" w:hAnsiTheme="minorHAnsi" w:cs="Calibri"/>
          <w:sz w:val="24"/>
          <w:szCs w:val="24"/>
        </w:rPr>
        <w:t xml:space="preserve"> </w:t>
      </w:r>
    </w:p>
    <w:p w:rsidR="003227BD" w:rsidRPr="003227BD" w:rsidRDefault="003227BD" w:rsidP="00246345">
      <w:pPr>
        <w:pStyle w:val="Akapitzlist"/>
        <w:numPr>
          <w:ilvl w:val="0"/>
          <w:numId w:val="116"/>
        </w:numPr>
        <w:spacing w:before="100" w:beforeAutospacing="1" w:after="100" w:afterAutospacing="1" w:line="240" w:lineRule="auto"/>
        <w:jc w:val="both"/>
        <w:rPr>
          <w:rFonts w:asciiTheme="minorHAnsi" w:hAnsiTheme="minorHAnsi" w:cs="Calibri"/>
          <w:sz w:val="24"/>
          <w:szCs w:val="24"/>
        </w:rPr>
      </w:pPr>
      <w:r w:rsidRPr="003227BD">
        <w:rPr>
          <w:rFonts w:cs="Calibri"/>
          <w:sz w:val="24"/>
          <w:szCs w:val="24"/>
          <w:lang w:eastAsia="pl-PL"/>
        </w:rPr>
        <w:t>IZ przekazuje niezależnemu organowi audytowemu oświadczenie o gotowości poddania się procedurze desygnacji.</w:t>
      </w:r>
      <w:r w:rsidRPr="003227BD">
        <w:rPr>
          <w:rFonts w:cs="Calibri"/>
          <w:sz w:val="24"/>
          <w:szCs w:val="24"/>
        </w:rPr>
        <w:t xml:space="preserve"> </w:t>
      </w:r>
      <w:r w:rsidRPr="003227BD">
        <w:rPr>
          <w:rFonts w:cs="Calibri"/>
          <w:sz w:val="24"/>
          <w:szCs w:val="24"/>
          <w:lang w:eastAsia="pl-PL"/>
        </w:rPr>
        <w:t>Wraz z oświadczeniem o gotowości, IZ przekazuje niezależnemu organowi audytowemu oraz organowi odpowiedzialnemu za procedurę desygnacji OSZiK oraz inne istotne dokumenty</w:t>
      </w:r>
      <w:r>
        <w:rPr>
          <w:rFonts w:cs="Calibri"/>
          <w:sz w:val="24"/>
          <w:szCs w:val="24"/>
          <w:lang w:eastAsia="pl-PL"/>
        </w:rPr>
        <w:t>;</w:t>
      </w:r>
    </w:p>
    <w:p w:rsidR="003227BD" w:rsidRPr="003227BD" w:rsidRDefault="003227BD" w:rsidP="00246345">
      <w:pPr>
        <w:pStyle w:val="Akapitzlist"/>
        <w:numPr>
          <w:ilvl w:val="0"/>
          <w:numId w:val="116"/>
        </w:numPr>
        <w:spacing w:before="100" w:beforeAutospacing="1" w:after="100" w:afterAutospacing="1" w:line="240" w:lineRule="auto"/>
        <w:contextualSpacing w:val="0"/>
        <w:jc w:val="both"/>
        <w:rPr>
          <w:rFonts w:cs="Calibri"/>
          <w:vanish/>
          <w:sz w:val="24"/>
          <w:szCs w:val="24"/>
        </w:rPr>
      </w:pPr>
      <w:r w:rsidRPr="001268E7">
        <w:rPr>
          <w:rFonts w:cs="Calibri"/>
          <w:sz w:val="24"/>
          <w:szCs w:val="24"/>
          <w:lang w:eastAsia="pl-PL"/>
        </w:rPr>
        <w:t>niezależny</w:t>
      </w:r>
    </w:p>
    <w:p w:rsidR="003227BD" w:rsidRPr="003227BD" w:rsidRDefault="003227BD" w:rsidP="00246345">
      <w:pPr>
        <w:pStyle w:val="Akapitzlist"/>
        <w:numPr>
          <w:ilvl w:val="0"/>
          <w:numId w:val="116"/>
        </w:numPr>
        <w:spacing w:before="100" w:beforeAutospacing="1" w:after="100" w:afterAutospacing="1" w:line="240" w:lineRule="auto"/>
        <w:contextualSpacing w:val="0"/>
        <w:jc w:val="both"/>
        <w:rPr>
          <w:rFonts w:cs="Calibri"/>
          <w:vanish/>
          <w:sz w:val="24"/>
          <w:szCs w:val="24"/>
        </w:rPr>
      </w:pPr>
    </w:p>
    <w:p w:rsidR="003227BD" w:rsidRPr="003227BD" w:rsidRDefault="003227BD" w:rsidP="00246345">
      <w:pPr>
        <w:pStyle w:val="Akapitzlist"/>
        <w:numPr>
          <w:ilvl w:val="0"/>
          <w:numId w:val="116"/>
        </w:numPr>
        <w:spacing w:before="100" w:beforeAutospacing="1" w:after="100" w:afterAutospacing="1" w:line="240" w:lineRule="auto"/>
        <w:contextualSpacing w:val="0"/>
        <w:jc w:val="both"/>
        <w:rPr>
          <w:rFonts w:cs="Calibri"/>
          <w:vanish/>
          <w:sz w:val="24"/>
          <w:szCs w:val="24"/>
        </w:rPr>
      </w:pPr>
    </w:p>
    <w:p w:rsidR="003227BD" w:rsidRPr="003227BD" w:rsidRDefault="003227BD" w:rsidP="00246345">
      <w:pPr>
        <w:pStyle w:val="Akapitzlist"/>
        <w:numPr>
          <w:ilvl w:val="0"/>
          <w:numId w:val="116"/>
        </w:numPr>
        <w:spacing w:before="100" w:beforeAutospacing="1" w:after="100" w:afterAutospacing="1" w:line="240" w:lineRule="auto"/>
        <w:contextualSpacing w:val="0"/>
        <w:jc w:val="both"/>
        <w:rPr>
          <w:rFonts w:cs="Calibri"/>
          <w:vanish/>
          <w:sz w:val="24"/>
          <w:szCs w:val="24"/>
        </w:rPr>
      </w:pPr>
    </w:p>
    <w:p w:rsidR="003227BD" w:rsidRPr="003227BD" w:rsidRDefault="003227BD" w:rsidP="00246345">
      <w:pPr>
        <w:pStyle w:val="Akapitzlist"/>
        <w:numPr>
          <w:ilvl w:val="0"/>
          <w:numId w:val="116"/>
        </w:numPr>
        <w:spacing w:before="100" w:beforeAutospacing="1" w:after="100" w:afterAutospacing="1" w:line="240" w:lineRule="auto"/>
        <w:jc w:val="both"/>
        <w:rPr>
          <w:rFonts w:asciiTheme="minorHAnsi" w:hAnsiTheme="minorHAnsi" w:cs="Calibri"/>
          <w:sz w:val="24"/>
          <w:szCs w:val="24"/>
        </w:rPr>
      </w:pPr>
      <w:r w:rsidRPr="001268E7">
        <w:rPr>
          <w:rFonts w:cs="Calibri"/>
          <w:sz w:val="24"/>
          <w:szCs w:val="24"/>
          <w:lang w:eastAsia="pl-PL"/>
        </w:rPr>
        <w:t xml:space="preserve"> organ audytowy przeprowadza audyt i sporządza opinię i raport dotyczący oceny zgodności systemu zarządzania i kontroli z wymogami kryteriów desygnacji.</w:t>
      </w:r>
      <w:r w:rsidRPr="001268E7">
        <w:rPr>
          <w:rFonts w:cs="Calibri"/>
          <w:sz w:val="24"/>
          <w:szCs w:val="24"/>
        </w:rPr>
        <w:t xml:space="preserve"> </w:t>
      </w:r>
      <w:r w:rsidRPr="001268E7">
        <w:rPr>
          <w:rFonts w:cs="Calibri"/>
          <w:sz w:val="24"/>
          <w:szCs w:val="24"/>
          <w:lang w:eastAsia="pl-PL"/>
        </w:rPr>
        <w:t>Opinia i raport przekazywane są do IZ oraz organu odpowiedzialnego za procedurę desygnacji w Ministerstwie Rozwoju Polski;</w:t>
      </w:r>
    </w:p>
    <w:p w:rsidR="003227BD" w:rsidRPr="001268E7" w:rsidRDefault="003227BD" w:rsidP="00246345">
      <w:pPr>
        <w:pStyle w:val="Akapitzlist"/>
        <w:numPr>
          <w:ilvl w:val="0"/>
          <w:numId w:val="116"/>
        </w:numPr>
        <w:spacing w:before="100" w:beforeAutospacing="1" w:after="100" w:afterAutospacing="1" w:line="240" w:lineRule="auto"/>
        <w:contextualSpacing w:val="0"/>
        <w:jc w:val="both"/>
        <w:rPr>
          <w:rFonts w:cs="Calibri"/>
          <w:vanish/>
          <w:sz w:val="24"/>
          <w:szCs w:val="24"/>
        </w:rPr>
      </w:pPr>
      <w:r w:rsidRPr="001268E7">
        <w:rPr>
          <w:rFonts w:cs="Calibri"/>
          <w:sz w:val="24"/>
          <w:szCs w:val="24"/>
          <w:lang w:eastAsia="pl-PL"/>
        </w:rPr>
        <w:t>organ odpowiedzialny za desygnację wydaje decyzję w sprawie desygnacji IZ.</w:t>
      </w:r>
      <w:r w:rsidRPr="001268E7">
        <w:rPr>
          <w:rFonts w:cs="Calibri"/>
          <w:sz w:val="24"/>
          <w:szCs w:val="24"/>
        </w:rPr>
        <w:t xml:space="preserve"> Formalna decyzja </w:t>
      </w:r>
      <w:r w:rsidRPr="001268E7">
        <w:rPr>
          <w:rFonts w:cs="Calibri"/>
          <w:sz w:val="24"/>
          <w:szCs w:val="24"/>
          <w:lang w:eastAsia="pl-PL"/>
        </w:rPr>
        <w:t>o desygnacji wydawana jest przez organ odpowiedzialny za procedurę desygnacji w formie pisemnej, która przekazywana jest do IZ oraz KE.</w:t>
      </w:r>
    </w:p>
    <w:p w:rsidR="003227BD" w:rsidRPr="003227BD" w:rsidRDefault="003227BD" w:rsidP="003227BD">
      <w:pPr>
        <w:spacing w:before="100" w:beforeAutospacing="1" w:after="100" w:afterAutospacing="1" w:line="240" w:lineRule="auto"/>
        <w:jc w:val="both"/>
        <w:rPr>
          <w:rFonts w:cs="Calibri"/>
          <w:sz w:val="24"/>
          <w:szCs w:val="24"/>
          <w:lang w:eastAsia="pl-PL"/>
        </w:rPr>
      </w:pPr>
      <w:r>
        <w:rPr>
          <w:rFonts w:cs="Calibri"/>
          <w:sz w:val="24"/>
          <w:szCs w:val="24"/>
          <w:lang w:eastAsia="pl-PL"/>
        </w:rPr>
        <w:t xml:space="preserve"> </w:t>
      </w:r>
    </w:p>
    <w:p w:rsidR="00B5675E" w:rsidRDefault="00E35D40" w:rsidP="00EA1664">
      <w:pPr>
        <w:spacing w:before="100" w:beforeAutospacing="1" w:after="100" w:afterAutospacing="1" w:line="240" w:lineRule="auto"/>
        <w:jc w:val="both"/>
        <w:rPr>
          <w:rFonts w:cs="Calibri"/>
          <w:sz w:val="24"/>
          <w:szCs w:val="24"/>
          <w:lang w:eastAsia="pl-PL"/>
        </w:rPr>
      </w:pPr>
      <w:r>
        <w:rPr>
          <w:rFonts w:cs="Calibri"/>
          <w:sz w:val="24"/>
          <w:szCs w:val="24"/>
          <w:lang w:eastAsia="pl-PL"/>
        </w:rPr>
        <w:t>Rzeczpospolita Polska poinformuje WKM o rozpoczęciu i zakończeniu procesu desygnacji.</w:t>
      </w:r>
    </w:p>
    <w:p w:rsidR="004B654C" w:rsidRPr="001268E7" w:rsidRDefault="00EA1664" w:rsidP="00EA1664">
      <w:pPr>
        <w:spacing w:before="100" w:beforeAutospacing="1" w:after="100" w:afterAutospacing="1" w:line="240" w:lineRule="auto"/>
        <w:jc w:val="both"/>
        <w:rPr>
          <w:rStyle w:val="Wyrnieniedelikatne"/>
        </w:rPr>
      </w:pPr>
      <w:r w:rsidRPr="001268E7">
        <w:rPr>
          <w:rStyle w:val="Wyrnieniedelikatne"/>
        </w:rPr>
        <w:t>Organizacja Instytucji Zarządzającej</w:t>
      </w:r>
    </w:p>
    <w:p w:rsidR="004B654C" w:rsidRPr="001268E7" w:rsidRDefault="00EA1664" w:rsidP="00EA1664">
      <w:pPr>
        <w:pStyle w:val="Tekstmj"/>
        <w:spacing w:after="0" w:line="240" w:lineRule="auto"/>
        <w:ind w:left="0"/>
        <w:contextualSpacing/>
        <w:rPr>
          <w:rFonts w:asciiTheme="minorHAnsi" w:hAnsiTheme="minorHAnsi" w:cs="Calibri"/>
          <w:color w:val="000000"/>
        </w:rPr>
      </w:pPr>
      <w:r w:rsidRPr="001268E7">
        <w:rPr>
          <w:rFonts w:asciiTheme="minorHAnsi" w:hAnsiTheme="minorHAnsi" w:cs="Calibri"/>
          <w:spacing w:val="4"/>
        </w:rPr>
        <w:t xml:space="preserve">Minister </w:t>
      </w:r>
      <w:r w:rsidR="003227BD">
        <w:rPr>
          <w:rFonts w:asciiTheme="minorHAnsi" w:hAnsiTheme="minorHAnsi" w:cs="Calibri"/>
          <w:spacing w:val="4"/>
        </w:rPr>
        <w:t xml:space="preserve">Inwestycji i </w:t>
      </w:r>
      <w:r w:rsidRPr="001268E7">
        <w:rPr>
          <w:rFonts w:asciiTheme="minorHAnsi" w:hAnsiTheme="minorHAnsi" w:cs="Calibri"/>
          <w:spacing w:val="4"/>
        </w:rPr>
        <w:t>Rozwoju Polski pełni funkcje Instytucji Zarządzającej.</w:t>
      </w:r>
      <w:r w:rsidR="004B654C" w:rsidRPr="001268E7">
        <w:rPr>
          <w:rFonts w:asciiTheme="minorHAnsi" w:hAnsiTheme="minorHAnsi" w:cs="Calibri"/>
          <w:spacing w:val="4"/>
        </w:rPr>
        <w:t xml:space="preserve"> </w:t>
      </w:r>
      <w:r w:rsidRPr="001268E7">
        <w:rPr>
          <w:rFonts w:asciiTheme="minorHAnsi" w:hAnsiTheme="minorHAnsi" w:cs="Calibri"/>
        </w:rPr>
        <w:t>Zgodnie z zasadą podziału</w:t>
      </w:r>
      <w:r w:rsidR="004B3AD8" w:rsidRPr="001268E7">
        <w:rPr>
          <w:rFonts w:asciiTheme="minorHAnsi" w:hAnsiTheme="minorHAnsi" w:cs="Calibri"/>
        </w:rPr>
        <w:t xml:space="preserve"> funkcji, IZ dzieli się na </w:t>
      </w:r>
      <w:r w:rsidRPr="001268E7">
        <w:rPr>
          <w:rFonts w:asciiTheme="minorHAnsi" w:hAnsiTheme="minorHAnsi" w:cs="Calibri"/>
        </w:rPr>
        <w:t>niezależne pod względem funkcjonalnym jednostki: jednostka ds. operacyjny</w:t>
      </w:r>
      <w:r w:rsidR="004B3AD8" w:rsidRPr="001268E7">
        <w:rPr>
          <w:rFonts w:asciiTheme="minorHAnsi" w:hAnsiTheme="minorHAnsi" w:cs="Calibri"/>
        </w:rPr>
        <w:t xml:space="preserve">ch, jednostka ds. finansowych, jednostka ds. </w:t>
      </w:r>
      <w:r w:rsidRPr="001268E7">
        <w:rPr>
          <w:rFonts w:asciiTheme="minorHAnsi" w:hAnsiTheme="minorHAnsi" w:cs="Calibri"/>
        </w:rPr>
        <w:t>kontrolnych oraz jednostka ds. płatności.</w:t>
      </w:r>
      <w:r w:rsidR="004B654C" w:rsidRPr="001268E7">
        <w:rPr>
          <w:rFonts w:asciiTheme="minorHAnsi" w:hAnsiTheme="minorHAnsi" w:cs="Calibri"/>
          <w:spacing w:val="4"/>
        </w:rPr>
        <w:t xml:space="preserve"> </w:t>
      </w:r>
      <w:r w:rsidRPr="001268E7">
        <w:rPr>
          <w:rFonts w:asciiTheme="minorHAnsi" w:eastAsia="Calibri" w:hAnsiTheme="minorHAnsi" w:cs="Calibri"/>
          <w:color w:val="000000"/>
        </w:rPr>
        <w:t>Określone zadania każdej jednostki mogą być przekazywane dalej, ale nie mogą się nakładać.</w:t>
      </w:r>
    </w:p>
    <w:p w:rsidR="004B654C" w:rsidRPr="001268E7" w:rsidRDefault="00EA1664" w:rsidP="00EA1664">
      <w:pPr>
        <w:spacing w:before="100" w:beforeAutospacing="1" w:after="100" w:afterAutospacing="1" w:line="240" w:lineRule="auto"/>
        <w:jc w:val="both"/>
        <w:rPr>
          <w:rFonts w:asciiTheme="minorHAnsi" w:hAnsiTheme="minorHAnsi" w:cs="Calibri"/>
          <w:spacing w:val="4"/>
          <w:sz w:val="24"/>
          <w:szCs w:val="24"/>
        </w:rPr>
      </w:pPr>
      <w:r w:rsidRPr="001268E7">
        <w:rPr>
          <w:rFonts w:asciiTheme="minorHAnsi" w:hAnsiTheme="minorHAnsi" w:cs="Calibri"/>
          <w:sz w:val="24"/>
          <w:szCs w:val="24"/>
          <w:lang w:eastAsia="pl-PL"/>
        </w:rPr>
        <w:t>Urzędnikiem zatwierdzającym jest Podsekretarz Stanu w Ministerstwie</w:t>
      </w:r>
      <w:r w:rsidR="003227BD">
        <w:rPr>
          <w:rFonts w:asciiTheme="minorHAnsi" w:hAnsiTheme="minorHAnsi" w:cs="Calibri"/>
          <w:sz w:val="24"/>
          <w:szCs w:val="24"/>
          <w:lang w:eastAsia="pl-PL"/>
        </w:rPr>
        <w:t xml:space="preserve"> Inwestycji i</w:t>
      </w:r>
      <w:r w:rsidRPr="001268E7">
        <w:rPr>
          <w:rFonts w:asciiTheme="minorHAnsi" w:hAnsiTheme="minorHAnsi" w:cs="Calibri"/>
          <w:sz w:val="24"/>
          <w:szCs w:val="24"/>
          <w:lang w:eastAsia="pl-PL"/>
        </w:rPr>
        <w:t xml:space="preserve"> Rozwoju Polski bądź upoważniony dyrektor lub wicedyrektor Departamentu Współpracy Terytorialnej Ministerstwa</w:t>
      </w:r>
      <w:r w:rsidR="003227BD">
        <w:rPr>
          <w:rFonts w:asciiTheme="minorHAnsi" w:hAnsiTheme="minorHAnsi" w:cs="Calibri"/>
          <w:sz w:val="24"/>
          <w:szCs w:val="24"/>
          <w:lang w:eastAsia="pl-PL"/>
        </w:rPr>
        <w:t xml:space="preserve"> Inwestycji i</w:t>
      </w:r>
      <w:r w:rsidRPr="001268E7">
        <w:rPr>
          <w:rFonts w:asciiTheme="minorHAnsi" w:hAnsiTheme="minorHAnsi" w:cs="Calibri"/>
          <w:sz w:val="24"/>
          <w:szCs w:val="24"/>
          <w:lang w:eastAsia="pl-PL"/>
        </w:rPr>
        <w:t xml:space="preserve"> Rozwoju Polski.</w:t>
      </w:r>
    </w:p>
    <w:p w:rsidR="004B654C" w:rsidRPr="001268E7" w:rsidRDefault="00EA1664" w:rsidP="00EA1664">
      <w:pPr>
        <w:spacing w:before="100" w:beforeAutospacing="1" w:after="100" w:afterAutospacing="1" w:line="240" w:lineRule="auto"/>
        <w:jc w:val="both"/>
        <w:rPr>
          <w:rFonts w:cs="Calibri"/>
          <w:spacing w:val="4"/>
          <w:sz w:val="24"/>
          <w:szCs w:val="24"/>
        </w:rPr>
      </w:pPr>
      <w:r w:rsidRPr="001268E7">
        <w:rPr>
          <w:rFonts w:cs="Calibri"/>
          <w:spacing w:val="4"/>
          <w:sz w:val="24"/>
          <w:szCs w:val="24"/>
        </w:rPr>
        <w:t xml:space="preserve">IZ </w:t>
      </w:r>
      <w:r w:rsidR="002949A9">
        <w:rPr>
          <w:rFonts w:cs="Calibri"/>
          <w:spacing w:val="4"/>
          <w:sz w:val="24"/>
          <w:szCs w:val="24"/>
        </w:rPr>
        <w:t xml:space="preserve">jest wspierane przez WST </w:t>
      </w:r>
      <w:r w:rsidRPr="001268E7">
        <w:rPr>
          <w:rFonts w:cs="Calibri"/>
          <w:spacing w:val="4"/>
          <w:sz w:val="24"/>
          <w:szCs w:val="24"/>
        </w:rPr>
        <w:t xml:space="preserve">w realizacji </w:t>
      </w:r>
      <w:r w:rsidR="008F1E93">
        <w:rPr>
          <w:rFonts w:cs="Calibri"/>
          <w:spacing w:val="4"/>
          <w:sz w:val="24"/>
          <w:szCs w:val="24"/>
        </w:rPr>
        <w:t>swoich</w:t>
      </w:r>
      <w:r w:rsidR="008F1E93" w:rsidRPr="001268E7">
        <w:rPr>
          <w:rFonts w:cs="Calibri"/>
          <w:spacing w:val="4"/>
          <w:sz w:val="24"/>
          <w:szCs w:val="24"/>
        </w:rPr>
        <w:t xml:space="preserve"> </w:t>
      </w:r>
      <w:r w:rsidRPr="001268E7">
        <w:rPr>
          <w:rFonts w:cs="Calibri"/>
          <w:spacing w:val="4"/>
          <w:sz w:val="24"/>
          <w:szCs w:val="24"/>
        </w:rPr>
        <w:t>zadań.</w:t>
      </w:r>
    </w:p>
    <w:p w:rsidR="004B654C" w:rsidRPr="00D61551" w:rsidRDefault="004240AD" w:rsidP="004240AD">
      <w:pPr>
        <w:autoSpaceDE w:val="0"/>
        <w:autoSpaceDN w:val="0"/>
        <w:adjustRightInd w:val="0"/>
        <w:spacing w:before="100" w:beforeAutospacing="1" w:after="100" w:afterAutospacing="1" w:line="240" w:lineRule="auto"/>
        <w:jc w:val="both"/>
        <w:rPr>
          <w:rStyle w:val="Uwydatnienie"/>
        </w:rPr>
      </w:pPr>
      <w:r w:rsidRPr="00D61551">
        <w:rPr>
          <w:rStyle w:val="Uwydatnienie"/>
        </w:rPr>
        <w:t>Jednostka ds. operacyjnych</w:t>
      </w:r>
      <w:r w:rsidR="004B654C" w:rsidRPr="00D61551">
        <w:rPr>
          <w:rStyle w:val="Uwydatnienie"/>
        </w:rPr>
        <w:t xml:space="preserve"> </w:t>
      </w:r>
    </w:p>
    <w:p w:rsidR="004B654C" w:rsidRPr="001268E7" w:rsidRDefault="007B4EA1" w:rsidP="004240AD">
      <w:pPr>
        <w:autoSpaceDE w:val="0"/>
        <w:autoSpaceDN w:val="0"/>
        <w:adjustRightInd w:val="0"/>
        <w:spacing w:after="0" w:line="240" w:lineRule="auto"/>
        <w:contextualSpacing/>
        <w:jc w:val="both"/>
        <w:rPr>
          <w:rFonts w:cs="Garamond"/>
          <w:color w:val="000000"/>
          <w:sz w:val="24"/>
          <w:szCs w:val="24"/>
        </w:rPr>
      </w:pPr>
      <w:r>
        <w:rPr>
          <w:rFonts w:cs="Garamond"/>
          <w:color w:val="000000"/>
          <w:sz w:val="24"/>
          <w:szCs w:val="24"/>
        </w:rPr>
        <w:t xml:space="preserve">Wydział Programowy „Wschód” </w:t>
      </w:r>
      <w:r w:rsidR="004240AD" w:rsidRPr="001268E7">
        <w:rPr>
          <w:rFonts w:cs="Garamond"/>
          <w:color w:val="000000"/>
          <w:sz w:val="24"/>
          <w:szCs w:val="24"/>
        </w:rPr>
        <w:t xml:space="preserve">Departamentu Współpracy Terytorialnej Ministerstwa </w:t>
      </w:r>
      <w:r w:rsidR="003227BD">
        <w:rPr>
          <w:rFonts w:cs="Garamond"/>
          <w:color w:val="000000"/>
          <w:sz w:val="24"/>
          <w:szCs w:val="24"/>
        </w:rPr>
        <w:t xml:space="preserve">Inwestycji i </w:t>
      </w:r>
      <w:r w:rsidR="004240AD" w:rsidRPr="001268E7">
        <w:rPr>
          <w:rFonts w:cs="Garamond"/>
          <w:color w:val="000000"/>
          <w:sz w:val="24"/>
          <w:szCs w:val="24"/>
        </w:rPr>
        <w:t>Rozwoju Polski pełnić będzie rolę jednostki ds. operacyjnych.</w:t>
      </w:r>
      <w:r w:rsidR="004B654C" w:rsidRPr="001268E7">
        <w:rPr>
          <w:rFonts w:cs="Garamond"/>
          <w:color w:val="000000"/>
          <w:sz w:val="24"/>
          <w:szCs w:val="24"/>
        </w:rPr>
        <w:t xml:space="preserve"> </w:t>
      </w:r>
      <w:r w:rsidR="004240AD" w:rsidRPr="001268E7">
        <w:rPr>
          <w:rFonts w:cs="Garamond"/>
          <w:color w:val="000000"/>
          <w:sz w:val="24"/>
          <w:szCs w:val="24"/>
        </w:rPr>
        <w:t>Jej obowiązki obejmują:</w:t>
      </w:r>
      <w:r w:rsidR="004B654C" w:rsidRPr="001268E7">
        <w:rPr>
          <w:rFonts w:cs="Garamond"/>
          <w:color w:val="000000"/>
          <w:sz w:val="24"/>
          <w:szCs w:val="24"/>
        </w:rPr>
        <w:t xml:space="preserve"> </w:t>
      </w:r>
    </w:p>
    <w:p w:rsidR="004240AD" w:rsidRPr="001268E7" w:rsidRDefault="004240AD" w:rsidP="00246345">
      <w:pPr>
        <w:pStyle w:val="Akapitzlist"/>
        <w:numPr>
          <w:ilvl w:val="0"/>
          <w:numId w:val="4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wspieranie działań WKM;</w:t>
      </w:r>
    </w:p>
    <w:p w:rsidR="004240AD" w:rsidRPr="001268E7" w:rsidRDefault="004240AD" w:rsidP="00246345">
      <w:pPr>
        <w:pStyle w:val="Akapitzlist"/>
        <w:numPr>
          <w:ilvl w:val="0"/>
          <w:numId w:val="4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lastRenderedPageBreak/>
        <w:t>przekazywanie WKM informacji potrzebnych do wykonywania wyznaczonych zadań, wliczając w to w szczególności dane dotyczące postępów w osiąganiu przez Program oczekiwanych rezultatów i celów (przy wsparciu WST);</w:t>
      </w:r>
    </w:p>
    <w:p w:rsidR="004240AD" w:rsidRPr="001268E7" w:rsidRDefault="004240AD" w:rsidP="00246345">
      <w:pPr>
        <w:pStyle w:val="Akapitzlist"/>
        <w:numPr>
          <w:ilvl w:val="0"/>
          <w:numId w:val="4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sporządzanie i przekazywanie do Komisji Europejskiej i rosyjskiej Instytucji Krajowej – po zatwierdzeniu przez WKM – rocznych i końcowych raportów operacyjnych;</w:t>
      </w:r>
    </w:p>
    <w:p w:rsidR="004240AD" w:rsidRPr="001268E7" w:rsidRDefault="004240AD" w:rsidP="00246345">
      <w:pPr>
        <w:pStyle w:val="Akapitzlist"/>
        <w:numPr>
          <w:ilvl w:val="0"/>
          <w:numId w:val="4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dzielenie się z WST, IA, IK oraz beneficjentami informacjami istotnymi z punktu widzenia wykonywania nałożonych na te podmioty zadań bądź z punktu widzenia wdrażania projektów;</w:t>
      </w:r>
    </w:p>
    <w:p w:rsidR="004240AD" w:rsidRPr="001268E7" w:rsidRDefault="004240AD" w:rsidP="00246345">
      <w:pPr>
        <w:pStyle w:val="Akapitzlist"/>
        <w:numPr>
          <w:ilvl w:val="0"/>
          <w:numId w:val="44"/>
        </w:numPr>
        <w:spacing w:before="100" w:beforeAutospacing="1" w:after="100" w:afterAutospacing="1" w:line="240" w:lineRule="auto"/>
        <w:contextualSpacing w:val="0"/>
        <w:jc w:val="both"/>
        <w:rPr>
          <w:rFonts w:cs="Calibri"/>
          <w:bCs/>
          <w:iCs/>
          <w:smallCaps/>
          <w:vanish/>
          <w:sz w:val="24"/>
          <w:szCs w:val="24"/>
        </w:rPr>
      </w:pPr>
      <w:r w:rsidRPr="001268E7">
        <w:rPr>
          <w:rFonts w:cs="Calibri"/>
          <w:sz w:val="24"/>
          <w:szCs w:val="24"/>
          <w:lang w:eastAsia="pl-PL"/>
        </w:rPr>
        <w:t>utworzenie i obsługiwanie systemu komputerowego pozwalającego na rejestrowanie i przechowywanie danych dotyczących każdego projektu koniecznych z punktu widzenia monitorowania, oceny, zarządzania finansami, kontroli i audytu, włączając w to dane dotyczące indywidualnych uczestników projektu, jeśli zasadne.</w:t>
      </w:r>
      <w:r w:rsidR="00144B4D" w:rsidRPr="001268E7">
        <w:rPr>
          <w:rFonts w:cs="Calibri"/>
          <w:sz w:val="24"/>
          <w:szCs w:val="24"/>
        </w:rPr>
        <w:t xml:space="preserve"> </w:t>
      </w:r>
      <w:r w:rsidRPr="001268E7">
        <w:rPr>
          <w:rFonts w:cs="Calibri"/>
          <w:sz w:val="24"/>
          <w:szCs w:val="24"/>
          <w:lang w:eastAsia="pl-PL"/>
        </w:rPr>
        <w:t>System powinien dostarczać komplet niezbędnych danych na potrzeby sporządzania wniosków o płatność i sprawozdań rocznych, włączając dane na temat możliwych do odzyskania kwot, kwot odzyskanych oraz kwot obniżonych w następstwie anulowania całości bądź części wkładu w odniesieniu do projektu bądź Programu (we współpracy z jednostkami ds. finansowych i ds. płatności, WST, KPK i IA);</w:t>
      </w:r>
    </w:p>
    <w:p w:rsidR="003227BD" w:rsidRDefault="003227BD" w:rsidP="00246345">
      <w:pPr>
        <w:pStyle w:val="Akapitzlist"/>
        <w:numPr>
          <w:ilvl w:val="0"/>
          <w:numId w:val="44"/>
        </w:numPr>
        <w:spacing w:before="100" w:beforeAutospacing="1" w:after="100" w:afterAutospacing="1" w:line="240" w:lineRule="auto"/>
        <w:contextualSpacing w:val="0"/>
        <w:jc w:val="both"/>
        <w:rPr>
          <w:rFonts w:cs="Calibri"/>
          <w:sz w:val="24"/>
          <w:szCs w:val="24"/>
        </w:rPr>
      </w:pPr>
    </w:p>
    <w:p w:rsidR="004240AD" w:rsidRPr="001268E7" w:rsidRDefault="004240AD" w:rsidP="00246345">
      <w:pPr>
        <w:pStyle w:val="Akapitzlist"/>
        <w:numPr>
          <w:ilvl w:val="0"/>
          <w:numId w:val="4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przeprowadzanie, w stosownych przypadkach, oceny oddziaływania na środowisko na poziomie Programu (przy wsparciu WST);</w:t>
      </w:r>
    </w:p>
    <w:p w:rsidR="004240AD" w:rsidRPr="001268E7" w:rsidRDefault="004240AD" w:rsidP="00246345">
      <w:pPr>
        <w:pStyle w:val="Akapitzlist"/>
        <w:numPr>
          <w:ilvl w:val="0"/>
          <w:numId w:val="44"/>
        </w:numPr>
        <w:spacing w:before="100" w:beforeAutospacing="1" w:after="100" w:afterAutospacing="1" w:line="240" w:lineRule="auto"/>
        <w:ind w:left="714" w:hanging="357"/>
        <w:jc w:val="both"/>
        <w:rPr>
          <w:rFonts w:cs="Calibri"/>
          <w:sz w:val="24"/>
          <w:szCs w:val="24"/>
        </w:rPr>
      </w:pPr>
      <w:r w:rsidRPr="001268E7">
        <w:rPr>
          <w:rFonts w:cs="Calibri"/>
          <w:sz w:val="24"/>
          <w:szCs w:val="24"/>
          <w:lang w:eastAsia="pl-PL"/>
        </w:rPr>
        <w:t>wdrażanie planów informacji i komunikacji (z pomocą WST i Oddział</w:t>
      </w:r>
      <w:r w:rsidR="001C30FA">
        <w:rPr>
          <w:rFonts w:cs="Calibri"/>
          <w:sz w:val="24"/>
          <w:szCs w:val="24"/>
          <w:lang w:eastAsia="pl-PL"/>
        </w:rPr>
        <w:t>u</w:t>
      </w:r>
      <w:r w:rsidRPr="001268E7">
        <w:rPr>
          <w:rFonts w:cs="Calibri"/>
          <w:sz w:val="24"/>
          <w:szCs w:val="24"/>
          <w:lang w:eastAsia="pl-PL"/>
        </w:rPr>
        <w:t>);</w:t>
      </w:r>
    </w:p>
    <w:p w:rsidR="004240AD" w:rsidRPr="001268E7" w:rsidRDefault="004240AD" w:rsidP="00246345">
      <w:pPr>
        <w:pStyle w:val="Akapitzlist"/>
        <w:numPr>
          <w:ilvl w:val="0"/>
          <w:numId w:val="4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wdrażanie planów monitorowania i oceny (we współpracy z jednostkami ds. finansowych i ds. płatności);</w:t>
      </w:r>
    </w:p>
    <w:p w:rsidR="004240AD" w:rsidRPr="001268E7" w:rsidRDefault="004240AD" w:rsidP="00246345">
      <w:pPr>
        <w:pStyle w:val="Akapitzlist"/>
        <w:numPr>
          <w:ilvl w:val="0"/>
          <w:numId w:val="4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sporządzanie i uruchamianie naborów wniosków (z pomocą WST);</w:t>
      </w:r>
      <w:r w:rsidRPr="001268E7">
        <w:rPr>
          <w:rFonts w:cs="Calibri"/>
          <w:sz w:val="24"/>
          <w:szCs w:val="24"/>
        </w:rPr>
        <w:t xml:space="preserve"> </w:t>
      </w:r>
    </w:p>
    <w:p w:rsidR="004240AD" w:rsidRPr="001268E7" w:rsidRDefault="004240AD" w:rsidP="00246345">
      <w:pPr>
        <w:pStyle w:val="Akapitzlist"/>
        <w:numPr>
          <w:ilvl w:val="0"/>
          <w:numId w:val="4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zarządzanie procedurami wyboru projektów, przekazywanie głównemu beneficjentowi dokumentów określających warunki wsparcia dla każdego projektu, wliczając w to plan finansowy i termin realizacji (z pomocą WST), a także przekazywanie rekomendacji dotyczących złożonych wniosków do WKM oraz </w:t>
      </w:r>
      <w:r w:rsidR="00C353B4" w:rsidRPr="001268E7">
        <w:rPr>
          <w:rFonts w:cs="Calibri"/>
          <w:sz w:val="24"/>
          <w:szCs w:val="24"/>
          <w:lang w:eastAsia="pl-PL"/>
        </w:rPr>
        <w:t>do wiadomości</w:t>
      </w:r>
      <w:r w:rsidRPr="001268E7">
        <w:rPr>
          <w:rFonts w:cs="Calibri"/>
          <w:sz w:val="24"/>
          <w:szCs w:val="24"/>
          <w:lang w:eastAsia="pl-PL"/>
        </w:rPr>
        <w:t xml:space="preserve"> KE (z pomocą WST);</w:t>
      </w:r>
    </w:p>
    <w:p w:rsidR="004240AD" w:rsidRPr="001268E7" w:rsidRDefault="004240AD" w:rsidP="00246345">
      <w:pPr>
        <w:pStyle w:val="Akapitzlist"/>
        <w:numPr>
          <w:ilvl w:val="0"/>
          <w:numId w:val="4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podpisywanie umów o dofinansowanie i serwisowych, następnie zaś, w razie konieczności</w:t>
      </w:r>
      <w:r w:rsidR="002B5B14" w:rsidRPr="001268E7">
        <w:rPr>
          <w:rFonts w:cs="Calibri"/>
          <w:sz w:val="24"/>
          <w:szCs w:val="24"/>
          <w:lang w:eastAsia="pl-PL"/>
        </w:rPr>
        <w:t>,</w:t>
      </w:r>
      <w:r w:rsidRPr="001268E7">
        <w:rPr>
          <w:rFonts w:cs="Calibri"/>
          <w:sz w:val="24"/>
          <w:szCs w:val="24"/>
          <w:lang w:eastAsia="pl-PL"/>
        </w:rPr>
        <w:t xml:space="preserve"> podpisywanie </w:t>
      </w:r>
      <w:r w:rsidR="00707903">
        <w:rPr>
          <w:rFonts w:cs="Calibri"/>
          <w:sz w:val="24"/>
          <w:szCs w:val="24"/>
          <w:lang w:eastAsia="pl-PL"/>
        </w:rPr>
        <w:t>addendów</w:t>
      </w:r>
      <w:r w:rsidR="00707903" w:rsidRPr="001268E7">
        <w:rPr>
          <w:rFonts w:cs="Calibri"/>
          <w:sz w:val="24"/>
          <w:szCs w:val="24"/>
          <w:lang w:eastAsia="pl-PL"/>
        </w:rPr>
        <w:t xml:space="preserve"> </w:t>
      </w:r>
      <w:r w:rsidRPr="001268E7">
        <w:rPr>
          <w:rFonts w:cs="Calibri"/>
          <w:sz w:val="24"/>
          <w:szCs w:val="24"/>
          <w:lang w:eastAsia="pl-PL"/>
        </w:rPr>
        <w:t>do zawartych umów (ze wsparciem WST);</w:t>
      </w:r>
    </w:p>
    <w:p w:rsidR="004240AD" w:rsidRPr="001268E7" w:rsidRDefault="004240AD" w:rsidP="00246345">
      <w:pPr>
        <w:pStyle w:val="Akapitzlist"/>
        <w:numPr>
          <w:ilvl w:val="0"/>
          <w:numId w:val="4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zarządzanie budżetem pomocy technicznej.</w:t>
      </w:r>
    </w:p>
    <w:p w:rsidR="004B654C" w:rsidRPr="00D61551" w:rsidRDefault="004240AD" w:rsidP="004240AD">
      <w:pPr>
        <w:autoSpaceDE w:val="0"/>
        <w:autoSpaceDN w:val="0"/>
        <w:adjustRightInd w:val="0"/>
        <w:spacing w:before="100" w:beforeAutospacing="1" w:after="100" w:afterAutospacing="1" w:line="240" w:lineRule="auto"/>
        <w:jc w:val="both"/>
        <w:rPr>
          <w:rStyle w:val="Uwydatnienie"/>
        </w:rPr>
      </w:pPr>
      <w:r w:rsidRPr="00D61551">
        <w:rPr>
          <w:rStyle w:val="Uwydatnienie"/>
        </w:rPr>
        <w:t>Jednostka ds. finansów</w:t>
      </w:r>
    </w:p>
    <w:p w:rsidR="004B654C" w:rsidRPr="001268E7" w:rsidRDefault="0034171E" w:rsidP="004240AD">
      <w:pPr>
        <w:autoSpaceDE w:val="0"/>
        <w:autoSpaceDN w:val="0"/>
        <w:adjustRightInd w:val="0"/>
        <w:spacing w:before="100" w:beforeAutospacing="1" w:after="100" w:afterAutospacing="1" w:line="240" w:lineRule="auto"/>
        <w:jc w:val="both"/>
        <w:rPr>
          <w:rFonts w:cs="Calibri"/>
          <w:color w:val="000000"/>
          <w:sz w:val="24"/>
          <w:szCs w:val="24"/>
        </w:rPr>
      </w:pPr>
      <w:r>
        <w:rPr>
          <w:rFonts w:cs="Calibri"/>
          <w:color w:val="000000"/>
          <w:sz w:val="24"/>
          <w:szCs w:val="24"/>
        </w:rPr>
        <w:t>Wydział Zarządzania Finansowego</w:t>
      </w:r>
      <w:r w:rsidR="004240AD" w:rsidRPr="001268E7">
        <w:rPr>
          <w:rFonts w:cs="Calibri"/>
          <w:color w:val="000000"/>
          <w:sz w:val="24"/>
          <w:szCs w:val="24"/>
        </w:rPr>
        <w:t xml:space="preserve"> Departamentu Współpracy Terytorialnej Ministerstwa </w:t>
      </w:r>
      <w:r w:rsidR="003227BD">
        <w:rPr>
          <w:rFonts w:cs="Calibri"/>
          <w:color w:val="000000"/>
          <w:sz w:val="24"/>
          <w:szCs w:val="24"/>
        </w:rPr>
        <w:t xml:space="preserve">Inwestycji i </w:t>
      </w:r>
      <w:r w:rsidR="004240AD" w:rsidRPr="001268E7">
        <w:rPr>
          <w:rFonts w:cs="Calibri"/>
          <w:color w:val="000000"/>
          <w:sz w:val="24"/>
          <w:szCs w:val="24"/>
        </w:rPr>
        <w:t>Rozwoju Polski pełnić będzie rolę jednostki ds. finansów.</w:t>
      </w:r>
      <w:r w:rsidR="004B654C" w:rsidRPr="001268E7">
        <w:rPr>
          <w:rFonts w:cs="Calibri"/>
          <w:color w:val="000000"/>
          <w:sz w:val="24"/>
          <w:szCs w:val="24"/>
        </w:rPr>
        <w:t xml:space="preserve"> </w:t>
      </w:r>
      <w:r w:rsidR="004240AD" w:rsidRPr="001268E7">
        <w:rPr>
          <w:rFonts w:cs="Calibri"/>
          <w:color w:val="000000"/>
          <w:sz w:val="24"/>
          <w:szCs w:val="24"/>
        </w:rPr>
        <w:t>Jej obowiązki obejmują:</w:t>
      </w:r>
    </w:p>
    <w:p w:rsidR="004240AD" w:rsidRPr="001268E7" w:rsidRDefault="00AA4AF5" w:rsidP="00246345">
      <w:pPr>
        <w:pStyle w:val="Akapitzlist"/>
        <w:numPr>
          <w:ilvl w:val="0"/>
          <w:numId w:val="4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kontrolowanie</w:t>
      </w:r>
      <w:r w:rsidR="004240AD" w:rsidRPr="001268E7">
        <w:rPr>
          <w:rFonts w:cs="Calibri"/>
          <w:sz w:val="24"/>
          <w:szCs w:val="24"/>
          <w:lang w:eastAsia="pl-PL"/>
        </w:rPr>
        <w:t xml:space="preserve"> czy usługi, dostawy lub roboty zostały wykonane, dostarczone lub zainstalowane, czy wydatki deklarowane przez beneficjentów zostały przez nich zapłacone oraz czy spełniają one mające zastosowanie przepisy prawa, zasady Programu oraz warunki wsparcia projektów (we współpracy z WST i KPK);</w:t>
      </w:r>
    </w:p>
    <w:p w:rsidR="004240AD" w:rsidRPr="001268E7" w:rsidRDefault="004240AD" w:rsidP="00246345">
      <w:pPr>
        <w:pStyle w:val="Akapitzlist"/>
        <w:numPr>
          <w:ilvl w:val="0"/>
          <w:numId w:val="4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zapewnienie, aby beneficjenci uczestniczący we wdrażaniu projektu prowadzili odrębny system księgowy lub stosowali odpowiedni kod księgowy dla wszystkich transakcji związanych z projektem;</w:t>
      </w:r>
    </w:p>
    <w:p w:rsidR="004240AD" w:rsidRPr="00FA743E" w:rsidRDefault="004240AD" w:rsidP="00246345">
      <w:pPr>
        <w:pStyle w:val="Akapitzlist"/>
        <w:numPr>
          <w:ilvl w:val="0"/>
          <w:numId w:val="46"/>
        </w:numPr>
        <w:spacing w:before="100" w:beforeAutospacing="1" w:after="100" w:afterAutospacing="1" w:line="240" w:lineRule="auto"/>
        <w:contextualSpacing w:val="0"/>
        <w:jc w:val="both"/>
        <w:rPr>
          <w:rFonts w:cs="Calibri"/>
          <w:sz w:val="24"/>
          <w:szCs w:val="24"/>
        </w:rPr>
      </w:pPr>
      <w:r w:rsidRPr="00FA743E">
        <w:rPr>
          <w:rFonts w:cs="Calibri"/>
          <w:sz w:val="24"/>
          <w:szCs w:val="24"/>
          <w:lang w:eastAsia="pl-PL"/>
        </w:rPr>
        <w:t xml:space="preserve">sporządzenie deklaracji zarządczej i sprawozdania rocznego; </w:t>
      </w:r>
    </w:p>
    <w:p w:rsidR="004240AD" w:rsidRDefault="004240AD" w:rsidP="00246345">
      <w:pPr>
        <w:pStyle w:val="Akapitzlist"/>
        <w:numPr>
          <w:ilvl w:val="0"/>
          <w:numId w:val="46"/>
        </w:numPr>
        <w:spacing w:before="100" w:beforeAutospacing="1" w:after="100" w:afterAutospacing="1" w:line="240" w:lineRule="auto"/>
        <w:contextualSpacing w:val="0"/>
        <w:jc w:val="both"/>
        <w:rPr>
          <w:rFonts w:cs="Calibri"/>
          <w:sz w:val="24"/>
          <w:szCs w:val="24"/>
        </w:rPr>
      </w:pPr>
      <w:r w:rsidRPr="00FA743E">
        <w:rPr>
          <w:rFonts w:cs="Calibri"/>
          <w:sz w:val="24"/>
          <w:szCs w:val="24"/>
          <w:lang w:eastAsia="pl-PL"/>
        </w:rPr>
        <w:t>s</w:t>
      </w:r>
      <w:r w:rsidRPr="001268E7">
        <w:rPr>
          <w:rFonts w:cs="Calibri"/>
          <w:sz w:val="24"/>
          <w:szCs w:val="24"/>
          <w:lang w:eastAsia="pl-PL"/>
        </w:rPr>
        <w:t>por</w:t>
      </w:r>
      <w:r w:rsidR="0095087C" w:rsidRPr="001268E7">
        <w:rPr>
          <w:rFonts w:cs="Calibri"/>
          <w:sz w:val="24"/>
          <w:szCs w:val="24"/>
          <w:lang w:eastAsia="pl-PL"/>
        </w:rPr>
        <w:t>ządzanie i przedkładanie KE</w:t>
      </w:r>
      <w:r w:rsidRPr="001268E7">
        <w:rPr>
          <w:rFonts w:cs="Calibri"/>
          <w:sz w:val="24"/>
          <w:szCs w:val="24"/>
          <w:lang w:eastAsia="pl-PL"/>
        </w:rPr>
        <w:t xml:space="preserve"> wniosków o płatności;</w:t>
      </w:r>
    </w:p>
    <w:p w:rsidR="003227BD" w:rsidRPr="001268E7" w:rsidRDefault="003227BD" w:rsidP="00246345">
      <w:pPr>
        <w:pStyle w:val="Akapitzlist"/>
        <w:numPr>
          <w:ilvl w:val="0"/>
          <w:numId w:val="46"/>
        </w:numPr>
        <w:spacing w:before="100" w:beforeAutospacing="1" w:after="100" w:afterAutospacing="1" w:line="240" w:lineRule="auto"/>
        <w:contextualSpacing w:val="0"/>
        <w:jc w:val="both"/>
        <w:rPr>
          <w:rFonts w:cs="Calibri"/>
          <w:sz w:val="24"/>
          <w:szCs w:val="24"/>
        </w:rPr>
      </w:pPr>
      <w:r>
        <w:rPr>
          <w:rFonts w:cs="Calibri"/>
          <w:sz w:val="24"/>
          <w:szCs w:val="24"/>
          <w:lang w:eastAsia="pl-PL"/>
        </w:rPr>
        <w:lastRenderedPageBreak/>
        <w:t>prowadzenie skomputeryzowanych zapisów księgowych dotyczących wydatków zadeklarowanych KE oraz p</w:t>
      </w:r>
      <w:r w:rsidR="00B174F1">
        <w:rPr>
          <w:rFonts w:cs="Calibri"/>
          <w:sz w:val="24"/>
          <w:szCs w:val="24"/>
          <w:lang w:eastAsia="pl-PL"/>
        </w:rPr>
        <w:t>łatności na rzecz beneficjentów</w:t>
      </w:r>
      <w:r>
        <w:rPr>
          <w:rFonts w:cs="Calibri"/>
          <w:sz w:val="24"/>
          <w:szCs w:val="24"/>
          <w:lang w:eastAsia="pl-PL"/>
        </w:rPr>
        <w:t>;</w:t>
      </w:r>
    </w:p>
    <w:p w:rsidR="004240AD" w:rsidRPr="001268E7" w:rsidRDefault="004240AD" w:rsidP="00246345">
      <w:pPr>
        <w:pStyle w:val="Akapitzlist"/>
        <w:numPr>
          <w:ilvl w:val="0"/>
          <w:numId w:val="4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sporządzanie rocznych/końcowych sprawozdań finansowych w części dotyczącej finansów;</w:t>
      </w:r>
      <w:r w:rsidRPr="001268E7">
        <w:rPr>
          <w:rFonts w:cs="Calibri"/>
          <w:sz w:val="24"/>
          <w:szCs w:val="24"/>
        </w:rPr>
        <w:t xml:space="preserve"> </w:t>
      </w:r>
    </w:p>
    <w:p w:rsidR="004240AD" w:rsidRPr="001268E7" w:rsidRDefault="004240AD" w:rsidP="00246345">
      <w:pPr>
        <w:pStyle w:val="Akapitzlist"/>
        <w:numPr>
          <w:ilvl w:val="0"/>
          <w:numId w:val="4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prowadzenie ewidencji kwot podlegających odzyskaniu i kwot zmniejszonych po anulowaniu całości lub części dofinansowania;</w:t>
      </w:r>
      <w:r w:rsidRPr="001268E7">
        <w:rPr>
          <w:rFonts w:cs="Calibri"/>
          <w:sz w:val="24"/>
          <w:szCs w:val="24"/>
        </w:rPr>
        <w:t xml:space="preserve"> </w:t>
      </w:r>
    </w:p>
    <w:p w:rsidR="004240AD" w:rsidRPr="001268E7" w:rsidRDefault="004240AD" w:rsidP="00246345">
      <w:pPr>
        <w:pStyle w:val="Akapitzlist"/>
        <w:numPr>
          <w:ilvl w:val="0"/>
          <w:numId w:val="4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wprowadzanie korekt finansowych i działań następczych dotyczących odzyskiwania środków.</w:t>
      </w:r>
    </w:p>
    <w:p w:rsidR="004B654C" w:rsidRPr="00D61551" w:rsidRDefault="004240AD" w:rsidP="004240AD">
      <w:pPr>
        <w:autoSpaceDE w:val="0"/>
        <w:autoSpaceDN w:val="0"/>
        <w:adjustRightInd w:val="0"/>
        <w:spacing w:before="100" w:beforeAutospacing="1" w:after="100" w:afterAutospacing="1" w:line="240" w:lineRule="auto"/>
        <w:jc w:val="both"/>
        <w:rPr>
          <w:rStyle w:val="Uwydatnienie"/>
        </w:rPr>
      </w:pPr>
      <w:r w:rsidRPr="00D61551">
        <w:rPr>
          <w:rStyle w:val="Uwydatnienie"/>
        </w:rPr>
        <w:t>Jednostka ds. kontroli</w:t>
      </w:r>
    </w:p>
    <w:p w:rsidR="003654BE" w:rsidRDefault="00FA3251" w:rsidP="003654BE">
      <w:pPr>
        <w:spacing w:before="100" w:beforeAutospacing="1" w:after="100" w:afterAutospacing="1" w:line="240" w:lineRule="auto"/>
        <w:jc w:val="both"/>
        <w:rPr>
          <w:rFonts w:cs="Calibri"/>
          <w:sz w:val="24"/>
          <w:szCs w:val="24"/>
        </w:rPr>
      </w:pPr>
      <w:r>
        <w:rPr>
          <w:rFonts w:cs="Garamond"/>
          <w:color w:val="000000"/>
          <w:sz w:val="24"/>
          <w:szCs w:val="24"/>
        </w:rPr>
        <w:t>Wydział Systemów Zarządzania i Kontroli</w:t>
      </w:r>
      <w:r w:rsidR="003654BE" w:rsidRPr="001268E7">
        <w:rPr>
          <w:rFonts w:cs="Garamond"/>
          <w:color w:val="000000"/>
          <w:sz w:val="24"/>
          <w:szCs w:val="24"/>
        </w:rPr>
        <w:t xml:space="preserve"> Departamentu Współpracy Terytorialnej Ministerstwa </w:t>
      </w:r>
      <w:r w:rsidR="00B174F1">
        <w:rPr>
          <w:rFonts w:cs="Garamond"/>
          <w:color w:val="000000"/>
          <w:sz w:val="24"/>
          <w:szCs w:val="24"/>
        </w:rPr>
        <w:t xml:space="preserve">Inwestycji i </w:t>
      </w:r>
      <w:r w:rsidR="003654BE" w:rsidRPr="001268E7">
        <w:rPr>
          <w:rFonts w:cs="Garamond"/>
          <w:color w:val="000000"/>
          <w:sz w:val="24"/>
          <w:szCs w:val="24"/>
        </w:rPr>
        <w:t xml:space="preserve">Rozwoju Polski pełnić będzie rolę jednostki ds. </w:t>
      </w:r>
      <w:r w:rsidR="003654BE">
        <w:rPr>
          <w:rFonts w:cs="Garamond"/>
          <w:color w:val="000000"/>
          <w:sz w:val="24"/>
          <w:szCs w:val="24"/>
        </w:rPr>
        <w:t>kontroli</w:t>
      </w:r>
      <w:r w:rsidR="003654BE" w:rsidRPr="001268E7">
        <w:rPr>
          <w:rFonts w:cs="Garamond"/>
          <w:color w:val="000000"/>
          <w:sz w:val="24"/>
          <w:szCs w:val="24"/>
        </w:rPr>
        <w:t>. Jej obowiązki obejmują:</w:t>
      </w:r>
    </w:p>
    <w:p w:rsidR="004240AD" w:rsidRPr="001268E7" w:rsidRDefault="004240AD" w:rsidP="00246345">
      <w:pPr>
        <w:numPr>
          <w:ilvl w:val="0"/>
          <w:numId w:val="47"/>
        </w:numPr>
        <w:spacing w:before="100" w:beforeAutospacing="1" w:after="100" w:afterAutospacing="1" w:line="240" w:lineRule="auto"/>
        <w:jc w:val="both"/>
        <w:rPr>
          <w:rFonts w:cs="Calibri"/>
          <w:sz w:val="24"/>
          <w:szCs w:val="24"/>
        </w:rPr>
      </w:pPr>
      <w:r w:rsidRPr="001268E7">
        <w:rPr>
          <w:rFonts w:cs="Calibri"/>
          <w:sz w:val="24"/>
          <w:szCs w:val="24"/>
          <w:lang w:eastAsia="pl-PL"/>
        </w:rPr>
        <w:t>zastosowanie skutecznych i proporcjonalnych środków przeciwdziałania nadużyciom finansowym, uwzględniając zidentyfikowane zagrożenia;</w:t>
      </w:r>
    </w:p>
    <w:p w:rsidR="004240AD" w:rsidRPr="001268E7" w:rsidRDefault="004240AD" w:rsidP="00246345">
      <w:pPr>
        <w:numPr>
          <w:ilvl w:val="0"/>
          <w:numId w:val="47"/>
        </w:numPr>
        <w:spacing w:before="100" w:beforeAutospacing="1" w:after="100" w:afterAutospacing="1" w:line="240" w:lineRule="auto"/>
        <w:jc w:val="both"/>
        <w:rPr>
          <w:rFonts w:cs="Calibri"/>
          <w:sz w:val="24"/>
          <w:szCs w:val="24"/>
        </w:rPr>
      </w:pPr>
      <w:r w:rsidRPr="001268E7">
        <w:rPr>
          <w:rFonts w:cs="Calibri"/>
          <w:sz w:val="24"/>
          <w:szCs w:val="24"/>
          <w:lang w:eastAsia="pl-PL"/>
        </w:rPr>
        <w:t>ustanowienie procedur zapewniających przechowywanie wszystkich dokumentów dotyczących wydatków i audytów wymaganych do zapewnienia właściwej ścieżki audytu;</w:t>
      </w:r>
    </w:p>
    <w:p w:rsidR="004B654C" w:rsidRPr="00D61551" w:rsidRDefault="004240AD" w:rsidP="004240AD">
      <w:pPr>
        <w:autoSpaceDE w:val="0"/>
        <w:autoSpaceDN w:val="0"/>
        <w:adjustRightInd w:val="0"/>
        <w:spacing w:before="100" w:beforeAutospacing="1" w:after="100" w:afterAutospacing="1" w:line="240" w:lineRule="auto"/>
        <w:jc w:val="both"/>
        <w:rPr>
          <w:rStyle w:val="Uwydatnienie"/>
        </w:rPr>
      </w:pPr>
      <w:r w:rsidRPr="00D61551">
        <w:rPr>
          <w:rStyle w:val="Uwydatnienie"/>
        </w:rPr>
        <w:t>Jednostka płatnicza</w:t>
      </w:r>
    </w:p>
    <w:p w:rsidR="004B654C" w:rsidRPr="001268E7" w:rsidRDefault="004240AD" w:rsidP="004240AD">
      <w:p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 xml:space="preserve">Urzędnikiem księgowym jest główny księgowy Ministerstwa </w:t>
      </w:r>
      <w:r w:rsidR="00B174F1">
        <w:rPr>
          <w:rFonts w:cs="Calibri"/>
          <w:sz w:val="24"/>
          <w:szCs w:val="24"/>
          <w:lang w:eastAsia="pl-PL"/>
        </w:rPr>
        <w:t xml:space="preserve">Inwestycji i </w:t>
      </w:r>
      <w:r w:rsidRPr="001268E7">
        <w:rPr>
          <w:rFonts w:cs="Calibri"/>
          <w:sz w:val="24"/>
          <w:szCs w:val="24"/>
          <w:lang w:eastAsia="pl-PL"/>
        </w:rPr>
        <w:t>Rozwoju Polski.</w:t>
      </w:r>
    </w:p>
    <w:p w:rsidR="004B654C" w:rsidRPr="001268E7" w:rsidRDefault="007B62CC" w:rsidP="004240AD">
      <w:pPr>
        <w:autoSpaceDE w:val="0"/>
        <w:autoSpaceDN w:val="0"/>
        <w:adjustRightInd w:val="0"/>
        <w:spacing w:before="100" w:beforeAutospacing="1" w:after="100" w:afterAutospacing="1" w:line="240" w:lineRule="auto"/>
        <w:jc w:val="both"/>
        <w:rPr>
          <w:rFonts w:cs="Calibri"/>
          <w:color w:val="000000"/>
          <w:sz w:val="24"/>
          <w:szCs w:val="24"/>
        </w:rPr>
      </w:pPr>
      <w:r>
        <w:rPr>
          <w:rFonts w:cs="Calibri"/>
          <w:sz w:val="24"/>
          <w:szCs w:val="24"/>
          <w:lang w:eastAsia="pl-PL"/>
        </w:rPr>
        <w:t>Wydział Finansowania Programów Współpracy Terytorialnej</w:t>
      </w:r>
      <w:r w:rsidR="004240AD" w:rsidRPr="001268E7">
        <w:rPr>
          <w:rFonts w:cs="Calibri"/>
          <w:sz w:val="24"/>
          <w:szCs w:val="24"/>
          <w:lang w:eastAsia="pl-PL"/>
        </w:rPr>
        <w:t xml:space="preserve"> Departamentu Budżetu Rozwoju Ministerstwa</w:t>
      </w:r>
      <w:r w:rsidR="00B174F1">
        <w:rPr>
          <w:rFonts w:cs="Calibri"/>
          <w:sz w:val="24"/>
          <w:szCs w:val="24"/>
          <w:lang w:eastAsia="pl-PL"/>
        </w:rPr>
        <w:t xml:space="preserve"> Inwestycji i</w:t>
      </w:r>
      <w:r w:rsidR="004240AD" w:rsidRPr="001268E7">
        <w:rPr>
          <w:rFonts w:cs="Calibri"/>
          <w:sz w:val="24"/>
          <w:szCs w:val="24"/>
          <w:lang w:eastAsia="pl-PL"/>
        </w:rPr>
        <w:t xml:space="preserve"> Rozwoju </w:t>
      </w:r>
      <w:r w:rsidR="0095087C" w:rsidRPr="001268E7">
        <w:rPr>
          <w:rFonts w:cs="Calibri"/>
          <w:sz w:val="24"/>
          <w:szCs w:val="24"/>
          <w:lang w:eastAsia="pl-PL"/>
        </w:rPr>
        <w:t xml:space="preserve">Polski </w:t>
      </w:r>
      <w:r w:rsidR="004240AD" w:rsidRPr="001268E7">
        <w:rPr>
          <w:rFonts w:cs="Calibri"/>
          <w:sz w:val="24"/>
          <w:szCs w:val="24"/>
          <w:lang w:eastAsia="pl-PL"/>
        </w:rPr>
        <w:t>pełnić będzie rolę jednostki płatniczej.</w:t>
      </w:r>
      <w:r w:rsidR="004B654C" w:rsidRPr="001268E7">
        <w:rPr>
          <w:rFonts w:cs="Calibri"/>
          <w:color w:val="000000"/>
          <w:sz w:val="24"/>
          <w:szCs w:val="24"/>
        </w:rPr>
        <w:t xml:space="preserve"> </w:t>
      </w:r>
      <w:r w:rsidR="004240AD" w:rsidRPr="001268E7">
        <w:rPr>
          <w:rFonts w:cs="Calibri"/>
          <w:color w:val="000000"/>
          <w:sz w:val="24"/>
          <w:szCs w:val="24"/>
        </w:rPr>
        <w:t>Jej obowiązki obejmują:</w:t>
      </w:r>
    </w:p>
    <w:p w:rsidR="004240AD" w:rsidRPr="001268E7" w:rsidRDefault="004240AD" w:rsidP="00246345">
      <w:pPr>
        <w:pStyle w:val="Akapitzlist"/>
        <w:numPr>
          <w:ilvl w:val="0"/>
          <w:numId w:val="48"/>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utworzenie i prowadzenie dla Programu </w:t>
      </w:r>
      <w:r w:rsidR="00B174F1">
        <w:rPr>
          <w:rFonts w:cs="Calibri"/>
          <w:sz w:val="24"/>
          <w:szCs w:val="24"/>
          <w:lang w:eastAsia="pl-PL"/>
        </w:rPr>
        <w:t xml:space="preserve">dwóch </w:t>
      </w:r>
      <w:r w:rsidRPr="001268E7">
        <w:rPr>
          <w:rFonts w:cs="Calibri"/>
          <w:sz w:val="24"/>
          <w:szCs w:val="24"/>
          <w:lang w:eastAsia="pl-PL"/>
        </w:rPr>
        <w:t>wydzielon</w:t>
      </w:r>
      <w:r w:rsidR="00B174F1">
        <w:rPr>
          <w:rFonts w:cs="Calibri"/>
          <w:sz w:val="24"/>
          <w:szCs w:val="24"/>
          <w:lang w:eastAsia="pl-PL"/>
        </w:rPr>
        <w:t>ych</w:t>
      </w:r>
      <w:r w:rsidRPr="001268E7">
        <w:rPr>
          <w:rFonts w:cs="Calibri"/>
          <w:sz w:val="24"/>
          <w:szCs w:val="24"/>
          <w:lang w:eastAsia="pl-PL"/>
        </w:rPr>
        <w:t xml:space="preserve"> rachunk</w:t>
      </w:r>
      <w:r w:rsidR="00B174F1">
        <w:rPr>
          <w:rFonts w:cs="Calibri"/>
          <w:sz w:val="24"/>
          <w:szCs w:val="24"/>
          <w:lang w:eastAsia="pl-PL"/>
        </w:rPr>
        <w:t>ów</w:t>
      </w:r>
      <w:r w:rsidRPr="001268E7">
        <w:rPr>
          <w:rFonts w:cs="Calibri"/>
          <w:sz w:val="24"/>
          <w:szCs w:val="24"/>
          <w:lang w:eastAsia="pl-PL"/>
        </w:rPr>
        <w:t xml:space="preserve"> bankow</w:t>
      </w:r>
      <w:r w:rsidR="00B174F1">
        <w:rPr>
          <w:rFonts w:cs="Calibri"/>
          <w:sz w:val="24"/>
          <w:szCs w:val="24"/>
          <w:lang w:eastAsia="pl-PL"/>
        </w:rPr>
        <w:t>ych(dla współfinansowania od UE i do współfinansowania od Federacji Rosyjskiej)</w:t>
      </w:r>
      <w:r w:rsidRPr="001268E7">
        <w:rPr>
          <w:rFonts w:cs="Calibri"/>
          <w:sz w:val="24"/>
          <w:szCs w:val="24"/>
          <w:lang w:eastAsia="pl-PL"/>
        </w:rPr>
        <w:t>;</w:t>
      </w:r>
    </w:p>
    <w:p w:rsidR="004240AD" w:rsidRPr="001268E7" w:rsidRDefault="004240AD" w:rsidP="00246345">
      <w:pPr>
        <w:pStyle w:val="Akapitzlist"/>
        <w:numPr>
          <w:ilvl w:val="0"/>
          <w:numId w:val="48"/>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prowadzenie rachunkowości Programu (system rachunkowości musi być systemem wydzielonym i w pełni odrębnym i służyć wyłącznie do księgowania operacji związanych z Programem, dzięki czemu możliwe będzie prowadzenie analiz następczych dla każdego CT, priorytetu i projektu);</w:t>
      </w:r>
    </w:p>
    <w:p w:rsidR="004240AD" w:rsidRPr="001268E7" w:rsidRDefault="004240AD" w:rsidP="00246345">
      <w:pPr>
        <w:pStyle w:val="Akapitzlist"/>
        <w:numPr>
          <w:ilvl w:val="0"/>
          <w:numId w:val="48"/>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otrzymywanie płatności przekazywanych przez KE;</w:t>
      </w:r>
      <w:r w:rsidRPr="001268E7">
        <w:rPr>
          <w:rFonts w:cs="Calibri"/>
          <w:sz w:val="24"/>
          <w:szCs w:val="24"/>
        </w:rPr>
        <w:t xml:space="preserve"> </w:t>
      </w:r>
    </w:p>
    <w:p w:rsidR="008129CF" w:rsidRDefault="004240AD" w:rsidP="00246345">
      <w:pPr>
        <w:pStyle w:val="Akapitzlist"/>
        <w:numPr>
          <w:ilvl w:val="0"/>
          <w:numId w:val="48"/>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dokonywanie płatności na rzecz beneficjentów i wykonawców</w:t>
      </w:r>
      <w:r w:rsidR="008129CF">
        <w:rPr>
          <w:rFonts w:cs="Calibri"/>
          <w:sz w:val="24"/>
          <w:szCs w:val="24"/>
          <w:lang w:eastAsia="pl-PL"/>
        </w:rPr>
        <w:t>;</w:t>
      </w:r>
    </w:p>
    <w:p w:rsidR="004240AD" w:rsidRPr="001268E7" w:rsidRDefault="008129CF" w:rsidP="00246345">
      <w:pPr>
        <w:pStyle w:val="Akapitzlist"/>
        <w:numPr>
          <w:ilvl w:val="0"/>
          <w:numId w:val="48"/>
        </w:numPr>
        <w:spacing w:before="100" w:beforeAutospacing="1" w:after="100" w:afterAutospacing="1" w:line="240" w:lineRule="auto"/>
        <w:contextualSpacing w:val="0"/>
        <w:jc w:val="both"/>
        <w:rPr>
          <w:rFonts w:cs="Calibri"/>
          <w:sz w:val="24"/>
          <w:szCs w:val="24"/>
        </w:rPr>
      </w:pPr>
      <w:r>
        <w:rPr>
          <w:rFonts w:cs="Calibri"/>
          <w:sz w:val="24"/>
          <w:szCs w:val="24"/>
          <w:lang w:eastAsia="pl-PL"/>
        </w:rPr>
        <w:t>wydawanie opinii oraz parafowanie dokumentów będących podstawą przepływów finansowych, np. umów, aneksów, decyzji, wezwań do zapłaty.</w:t>
      </w:r>
    </w:p>
    <w:p w:rsidR="00D61551" w:rsidRDefault="00D61551" w:rsidP="004240AD">
      <w:pPr>
        <w:pStyle w:val="Akapitzlist"/>
        <w:spacing w:before="100" w:beforeAutospacing="1" w:after="100" w:afterAutospacing="1" w:line="240" w:lineRule="auto"/>
        <w:ind w:left="0"/>
        <w:contextualSpacing w:val="0"/>
        <w:jc w:val="both"/>
        <w:rPr>
          <w:rFonts w:cs="Calibri"/>
          <w:sz w:val="24"/>
          <w:szCs w:val="24"/>
        </w:rPr>
      </w:pPr>
    </w:p>
    <w:p w:rsidR="00D61551" w:rsidRDefault="00D61551" w:rsidP="004240AD">
      <w:pPr>
        <w:pStyle w:val="Akapitzlist"/>
        <w:spacing w:before="100" w:beforeAutospacing="1" w:after="100" w:afterAutospacing="1" w:line="240" w:lineRule="auto"/>
        <w:ind w:left="0"/>
        <w:contextualSpacing w:val="0"/>
        <w:jc w:val="both"/>
        <w:rPr>
          <w:rFonts w:cs="Calibri"/>
          <w:sz w:val="24"/>
          <w:szCs w:val="24"/>
        </w:rPr>
      </w:pPr>
    </w:p>
    <w:p w:rsidR="00D61551" w:rsidRDefault="00D61551" w:rsidP="004240AD">
      <w:pPr>
        <w:pStyle w:val="Akapitzlist"/>
        <w:spacing w:before="100" w:beforeAutospacing="1" w:after="100" w:afterAutospacing="1" w:line="240" w:lineRule="auto"/>
        <w:ind w:left="0"/>
        <w:contextualSpacing w:val="0"/>
        <w:jc w:val="both"/>
        <w:rPr>
          <w:rFonts w:cs="Calibri"/>
          <w:sz w:val="24"/>
          <w:szCs w:val="24"/>
        </w:rPr>
      </w:pPr>
    </w:p>
    <w:p w:rsidR="00A42C02" w:rsidRDefault="00A42C02" w:rsidP="00D07A00">
      <w:pPr>
        <w:pStyle w:val="Akapitzlist"/>
        <w:spacing w:after="100" w:afterAutospacing="1" w:line="240" w:lineRule="auto"/>
        <w:ind w:left="0"/>
        <w:contextualSpacing w:val="0"/>
        <w:jc w:val="both"/>
        <w:rPr>
          <w:rFonts w:cs="Calibri"/>
          <w:sz w:val="24"/>
          <w:szCs w:val="24"/>
        </w:rPr>
      </w:pPr>
      <w:r w:rsidRPr="00FE50B8">
        <w:rPr>
          <w:rFonts w:cs="Calibri"/>
          <w:noProof/>
          <w:sz w:val="24"/>
          <w:szCs w:val="24"/>
          <w:lang w:eastAsia="pl-PL"/>
        </w:rPr>
        <w:lastRenderedPageBreak/>
        <w:drawing>
          <wp:inline distT="0" distB="0" distL="0" distR="0" wp14:anchorId="4C6B36B8" wp14:editId="481F0FA1">
            <wp:extent cx="5760720" cy="4199599"/>
            <wp:effectExtent l="76200" t="0" r="11430" b="0"/>
            <wp:docPr id="1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07A00" w:rsidRPr="00D07A00" w:rsidRDefault="00D07A00" w:rsidP="00D07A00">
      <w:pPr>
        <w:pStyle w:val="Akapitzlist"/>
        <w:spacing w:after="100" w:afterAutospacing="1" w:line="240" w:lineRule="auto"/>
        <w:ind w:left="0"/>
        <w:contextualSpacing w:val="0"/>
        <w:jc w:val="both"/>
        <w:rPr>
          <w:rFonts w:cs="Calibri"/>
          <w:b/>
          <w:i/>
          <w:sz w:val="20"/>
          <w:szCs w:val="20"/>
        </w:rPr>
      </w:pPr>
      <w:r>
        <w:rPr>
          <w:rFonts w:cs="Calibri"/>
          <w:b/>
          <w:i/>
          <w:sz w:val="20"/>
          <w:szCs w:val="20"/>
        </w:rPr>
        <w:t xml:space="preserve">Wykres 4. </w:t>
      </w:r>
      <w:r w:rsidRPr="00D07A00">
        <w:rPr>
          <w:rFonts w:cs="Calibri"/>
          <w:b/>
          <w:i/>
          <w:sz w:val="20"/>
          <w:szCs w:val="20"/>
        </w:rPr>
        <w:t>Schemat organizacyjny IZ i polskiej IK:</w:t>
      </w:r>
    </w:p>
    <w:p w:rsidR="00BB19CA" w:rsidRPr="001268E7" w:rsidRDefault="00BB19CA" w:rsidP="004240AD">
      <w:pPr>
        <w:pStyle w:val="Akapitzlist"/>
        <w:spacing w:before="100" w:beforeAutospacing="1" w:after="100" w:afterAutospacing="1" w:line="240" w:lineRule="auto"/>
        <w:ind w:left="0"/>
        <w:contextualSpacing w:val="0"/>
        <w:jc w:val="both"/>
        <w:rPr>
          <w:rFonts w:cs="Calibri"/>
          <w:sz w:val="24"/>
          <w:szCs w:val="24"/>
        </w:rPr>
      </w:pPr>
    </w:p>
    <w:p w:rsidR="004B654C" w:rsidRPr="001268E7" w:rsidRDefault="004B654C" w:rsidP="004B654C">
      <w:pPr>
        <w:pStyle w:val="Akapitzlist"/>
        <w:spacing w:before="100" w:beforeAutospacing="1" w:after="100" w:afterAutospacing="1" w:line="240" w:lineRule="auto"/>
        <w:ind w:left="0"/>
        <w:contextualSpacing w:val="0"/>
        <w:jc w:val="both"/>
        <w:rPr>
          <w:rFonts w:cs="Calibri"/>
          <w:sz w:val="24"/>
          <w:szCs w:val="24"/>
        </w:rPr>
      </w:pPr>
    </w:p>
    <w:p w:rsidR="004B654C" w:rsidRPr="001268E7" w:rsidRDefault="003F2AC9" w:rsidP="00D61551">
      <w:pPr>
        <w:spacing w:after="0" w:line="240" w:lineRule="auto"/>
        <w:rPr>
          <w:rFonts w:cs="Calibri"/>
          <w:sz w:val="24"/>
          <w:szCs w:val="24"/>
        </w:rPr>
      </w:pPr>
      <w:bookmarkStart w:id="26" w:name="_Toc400970609"/>
      <w:r>
        <w:rPr>
          <w:rFonts w:asciiTheme="minorHAnsi" w:hAnsiTheme="minorHAnsi" w:cs="Calibri,Italic"/>
          <w:iCs/>
          <w:sz w:val="24"/>
          <w:szCs w:val="24"/>
          <w:lang w:eastAsia="pl-PL"/>
        </w:rPr>
        <w:br w:type="page"/>
      </w:r>
      <w:r w:rsidR="004240AD" w:rsidRPr="001268E7">
        <w:rPr>
          <w:rFonts w:asciiTheme="minorHAnsi" w:hAnsiTheme="minorHAnsi" w:cs="Calibri,Italic"/>
          <w:iCs/>
          <w:sz w:val="24"/>
          <w:szCs w:val="24"/>
          <w:lang w:eastAsia="pl-PL"/>
        </w:rPr>
        <w:lastRenderedPageBreak/>
        <w:t xml:space="preserve">Wyciąg ze schematu organizacyjnego Ministerstwa </w:t>
      </w:r>
      <w:r w:rsidR="00B174F1">
        <w:rPr>
          <w:rFonts w:asciiTheme="minorHAnsi" w:hAnsiTheme="minorHAnsi" w:cs="Calibri,Italic"/>
          <w:iCs/>
          <w:sz w:val="24"/>
          <w:szCs w:val="24"/>
          <w:lang w:eastAsia="pl-PL"/>
        </w:rPr>
        <w:t xml:space="preserve">Inwestycji i </w:t>
      </w:r>
      <w:r w:rsidR="004240AD" w:rsidRPr="001268E7">
        <w:rPr>
          <w:rFonts w:asciiTheme="minorHAnsi" w:hAnsiTheme="minorHAnsi" w:cs="Calibri,Italic"/>
          <w:iCs/>
          <w:sz w:val="24"/>
          <w:szCs w:val="24"/>
          <w:lang w:eastAsia="pl-PL"/>
        </w:rPr>
        <w:t>Rozwoju Polski w odniesieniu do EIS:</w:t>
      </w:r>
    </w:p>
    <w:p w:rsidR="004B654C" w:rsidRPr="001268E7" w:rsidRDefault="006B3745" w:rsidP="00D61551">
      <w:pPr>
        <w:spacing w:after="0" w:line="240" w:lineRule="auto"/>
        <w:jc w:val="both"/>
        <w:rPr>
          <w:rFonts w:cs="Calibri"/>
          <w:sz w:val="24"/>
          <w:szCs w:val="24"/>
        </w:rPr>
      </w:pPr>
      <w:r>
        <w:rPr>
          <w:rFonts w:cs="Calibri"/>
          <w:noProof/>
          <w:sz w:val="24"/>
          <w:szCs w:val="24"/>
          <w:lang w:eastAsia="pl-PL"/>
        </w:rPr>
        <w:drawing>
          <wp:inline distT="0" distB="0" distL="0" distR="0" wp14:anchorId="7906F1F1" wp14:editId="1A7CB5EC">
            <wp:extent cx="5762445" cy="3830128"/>
            <wp:effectExtent l="76200" t="0" r="6731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bookmarkEnd w:id="26"/>
    <w:p w:rsidR="00A030AB" w:rsidRDefault="00481C67" w:rsidP="00D61551">
      <w:pPr>
        <w:spacing w:after="0" w:line="240" w:lineRule="auto"/>
        <w:contextualSpacing/>
        <w:jc w:val="both"/>
      </w:pPr>
      <w:r w:rsidRPr="00F84354">
        <w:rPr>
          <w:b/>
          <w:i/>
          <w:sz w:val="20"/>
        </w:rPr>
        <w:t xml:space="preserve">Wykres </w:t>
      </w:r>
      <w:r w:rsidR="00881B50" w:rsidRPr="00F84354">
        <w:rPr>
          <w:b/>
          <w:i/>
          <w:sz w:val="20"/>
        </w:rPr>
        <w:t>5</w:t>
      </w:r>
      <w:r w:rsidRPr="00F84354">
        <w:rPr>
          <w:b/>
          <w:i/>
          <w:sz w:val="20"/>
        </w:rPr>
        <w:t xml:space="preserve">. Schemat organizacyjny </w:t>
      </w:r>
      <w:r w:rsidR="00D47EAA" w:rsidRPr="00F84354">
        <w:rPr>
          <w:b/>
          <w:i/>
          <w:sz w:val="20"/>
        </w:rPr>
        <w:t xml:space="preserve">Ministerstwa </w:t>
      </w:r>
      <w:r w:rsidR="00D07A00">
        <w:rPr>
          <w:b/>
          <w:i/>
          <w:sz w:val="20"/>
        </w:rPr>
        <w:t xml:space="preserve">Inwestycji i </w:t>
      </w:r>
      <w:r w:rsidR="00D47EAA" w:rsidRPr="00F84354">
        <w:rPr>
          <w:b/>
          <w:i/>
          <w:sz w:val="20"/>
        </w:rPr>
        <w:t>R</w:t>
      </w:r>
      <w:r w:rsidR="00CE0C06" w:rsidRPr="00F84354">
        <w:rPr>
          <w:b/>
          <w:i/>
          <w:sz w:val="20"/>
        </w:rPr>
        <w:t>ozwoju Polski w zakresie EIS</w:t>
      </w:r>
    </w:p>
    <w:p w:rsidR="004B654C" w:rsidRPr="001268E7" w:rsidRDefault="001A4962" w:rsidP="001A4962">
      <w:pPr>
        <w:pStyle w:val="Nagwek2"/>
      </w:pPr>
      <w:bookmarkStart w:id="27" w:name="_Toc530737576"/>
      <w:r w:rsidRPr="001268E7">
        <w:t>3.3 Instytucje Krajowe</w:t>
      </w:r>
      <w:bookmarkEnd w:id="27"/>
    </w:p>
    <w:p w:rsidR="004B654C" w:rsidRPr="001268E7" w:rsidRDefault="001A4962" w:rsidP="001A4962">
      <w:pPr>
        <w:spacing w:before="100" w:beforeAutospacing="1" w:after="100" w:afterAutospacing="1" w:line="240" w:lineRule="auto"/>
        <w:jc w:val="both"/>
        <w:rPr>
          <w:rFonts w:eastAsia="Times New Roman" w:cs="Calibri"/>
          <w:sz w:val="24"/>
          <w:szCs w:val="24"/>
          <w:lang w:eastAsia="en-GB"/>
        </w:rPr>
      </w:pPr>
      <w:r w:rsidRPr="001268E7">
        <w:rPr>
          <w:rFonts w:cs="Calibri"/>
          <w:sz w:val="24"/>
          <w:szCs w:val="24"/>
        </w:rPr>
        <w:t xml:space="preserve">IK Federacji Rosyjskiej i Polski </w:t>
      </w:r>
      <w:r w:rsidRPr="001268E7">
        <w:rPr>
          <w:rFonts w:cs="Calibri"/>
          <w:sz w:val="24"/>
          <w:szCs w:val="24"/>
          <w:lang w:eastAsia="pl-PL"/>
        </w:rPr>
        <w:t xml:space="preserve">współpracują z IZ w okresie przygotowywania i wdrażania Programu oraz odpowiadają za koordynowanie procesu tworzenia Programu i jego wdrażania na podległym sobie obszarze </w:t>
      </w:r>
      <w:r w:rsidR="00142A3B" w:rsidRPr="001268E7">
        <w:rPr>
          <w:rFonts w:cs="Calibri"/>
          <w:sz w:val="24"/>
          <w:szCs w:val="24"/>
          <w:lang w:eastAsia="pl-PL"/>
        </w:rPr>
        <w:t xml:space="preserve">w </w:t>
      </w:r>
      <w:r w:rsidRPr="001268E7">
        <w:rPr>
          <w:rFonts w:cs="Calibri"/>
          <w:sz w:val="24"/>
          <w:szCs w:val="24"/>
          <w:lang w:eastAsia="pl-PL"/>
        </w:rPr>
        <w:t>sferze zarządzania Programem, kontroli, audytu, nieprawidłowości i odzyskiwania środków.</w:t>
      </w:r>
      <w:r w:rsidR="00FD16BC">
        <w:rPr>
          <w:rFonts w:cs="Calibri"/>
          <w:sz w:val="24"/>
          <w:szCs w:val="24"/>
          <w:lang w:eastAsia="pl-PL"/>
        </w:rPr>
        <w:t xml:space="preserve"> Rosyjska IK jest odpowiedzialna za prawidłowe wdrożenie zapisów porozumienia finansowego w Federacji Rosyjskiej.</w:t>
      </w:r>
    </w:p>
    <w:p w:rsidR="004B654C" w:rsidRPr="001268E7" w:rsidRDefault="001A4962" w:rsidP="001A4962">
      <w:pPr>
        <w:spacing w:after="0" w:line="240" w:lineRule="auto"/>
        <w:contextualSpacing/>
        <w:jc w:val="both"/>
        <w:rPr>
          <w:rFonts w:eastAsia="Times New Roman" w:cs="Calibri"/>
          <w:sz w:val="24"/>
          <w:szCs w:val="24"/>
          <w:lang w:eastAsia="en-GB"/>
        </w:rPr>
      </w:pPr>
      <w:r w:rsidRPr="001268E7">
        <w:rPr>
          <w:rFonts w:cs="Calibri"/>
          <w:sz w:val="24"/>
          <w:szCs w:val="24"/>
          <w:lang w:eastAsia="pl-PL"/>
        </w:rPr>
        <w:t>Funkcję IK realizowane będą przez następujące instytucje krajowe:</w:t>
      </w:r>
    </w:p>
    <w:p w:rsidR="001A4962" w:rsidRPr="001268E7" w:rsidRDefault="001A4962" w:rsidP="00246345">
      <w:pPr>
        <w:pStyle w:val="Akapitzlist"/>
        <w:numPr>
          <w:ilvl w:val="0"/>
          <w:numId w:val="49"/>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W Polsce: </w:t>
      </w:r>
      <w:r w:rsidR="004F372D">
        <w:rPr>
          <w:rFonts w:cs="Calibri"/>
          <w:sz w:val="24"/>
          <w:szCs w:val="24"/>
        </w:rPr>
        <w:t>Wydział Systemów Zarządzania i Kontroli</w:t>
      </w:r>
      <w:r w:rsidRPr="001268E7">
        <w:rPr>
          <w:rFonts w:cs="Calibri"/>
          <w:sz w:val="24"/>
          <w:szCs w:val="24"/>
        </w:rPr>
        <w:t xml:space="preserve"> Departament</w:t>
      </w:r>
      <w:r w:rsidR="004F372D">
        <w:rPr>
          <w:rFonts w:cs="Calibri"/>
          <w:sz w:val="24"/>
          <w:szCs w:val="24"/>
        </w:rPr>
        <w:t>u</w:t>
      </w:r>
      <w:r w:rsidRPr="001268E7">
        <w:rPr>
          <w:rFonts w:cs="Calibri"/>
          <w:sz w:val="24"/>
          <w:szCs w:val="24"/>
        </w:rPr>
        <w:t xml:space="preserve"> Współpracy Terytorialnej Ministerstwa</w:t>
      </w:r>
      <w:r w:rsidR="00A42C02">
        <w:rPr>
          <w:rFonts w:cs="Calibri"/>
          <w:sz w:val="24"/>
          <w:szCs w:val="24"/>
        </w:rPr>
        <w:t xml:space="preserve"> Inwestycji i</w:t>
      </w:r>
      <w:r w:rsidRPr="001268E7">
        <w:rPr>
          <w:rFonts w:cs="Calibri"/>
          <w:sz w:val="24"/>
          <w:szCs w:val="24"/>
        </w:rPr>
        <w:t xml:space="preserve"> Rozwoju,</w:t>
      </w:r>
    </w:p>
    <w:p w:rsidR="001A4962" w:rsidRPr="001268E7" w:rsidRDefault="001A4962" w:rsidP="00246345">
      <w:pPr>
        <w:pStyle w:val="Akapitzlist1"/>
        <w:numPr>
          <w:ilvl w:val="0"/>
          <w:numId w:val="49"/>
        </w:numPr>
        <w:spacing w:before="100" w:beforeAutospacing="1" w:after="100" w:afterAutospacing="1" w:line="240" w:lineRule="auto"/>
        <w:contextualSpacing w:val="0"/>
        <w:jc w:val="both"/>
        <w:rPr>
          <w:rFonts w:cs="Calibri"/>
          <w:bCs/>
          <w:iCs/>
          <w:smallCaps/>
          <w:vanish/>
          <w:sz w:val="24"/>
          <w:szCs w:val="24"/>
        </w:rPr>
      </w:pPr>
      <w:r w:rsidRPr="001268E7">
        <w:rPr>
          <w:rFonts w:cs="Calibri"/>
          <w:sz w:val="24"/>
          <w:szCs w:val="24"/>
        </w:rPr>
        <w:t>W Federacji Rosyjskiej: Ministerstwo Rozwoju Gospodarczego Federacji Rosyjskiej, Departament Rozwoju Współpracy Regionalnej i Transgranicznej, jednostka ds. koordynacji i wsparcia prawnego rozwoju współpracy regionalnej i transgranicznej.</w:t>
      </w:r>
    </w:p>
    <w:p w:rsidR="007B2451" w:rsidRDefault="007B2451" w:rsidP="001A4962">
      <w:pPr>
        <w:pStyle w:val="Default"/>
        <w:spacing w:before="100" w:beforeAutospacing="1" w:after="100" w:afterAutospacing="1"/>
        <w:jc w:val="both"/>
        <w:rPr>
          <w:lang w:eastAsia="pl-PL"/>
        </w:rPr>
      </w:pPr>
    </w:p>
    <w:p w:rsidR="00354358" w:rsidRPr="005A2E98" w:rsidRDefault="00354358" w:rsidP="001A4962">
      <w:pPr>
        <w:pStyle w:val="Default"/>
        <w:spacing w:before="100" w:beforeAutospacing="1" w:after="100" w:afterAutospacing="1"/>
        <w:jc w:val="both"/>
        <w:rPr>
          <w:lang w:eastAsia="en-GB"/>
        </w:rPr>
      </w:pPr>
      <w:r w:rsidRPr="00354358">
        <w:rPr>
          <w:lang w:eastAsia="en-GB"/>
        </w:rPr>
        <w:t>Wydział Programowy “Wschód” oraz Wydział Systemów Zarządzania i Kontroli są funkcjonalnie oddzieln</w:t>
      </w:r>
      <w:r>
        <w:rPr>
          <w:lang w:eastAsia="en-GB"/>
        </w:rPr>
        <w:t xml:space="preserve">ymi wydziałami. </w:t>
      </w:r>
      <w:r w:rsidR="00A030AB">
        <w:rPr>
          <w:lang w:eastAsia="en-GB"/>
        </w:rPr>
        <w:t xml:space="preserve">Funkcje IZ w zakresie wsparcia pracy WKM, monitoringu wdrażania programu, przygotowywania i składania rocznych/końcowych raportów, udostępnia informacji odpowiednim jednostkom, funkcjonowania komputerowego systemu programu, wdrażania planu informacji i promocji, jak również planu ewaluacji, są zlokalizowane w Wydziale Programowym „Wschód”. </w:t>
      </w:r>
      <w:r w:rsidR="00A030AB" w:rsidRPr="00155ABF">
        <w:rPr>
          <w:lang w:eastAsia="en-GB"/>
        </w:rPr>
        <w:t xml:space="preserve">Wydział jest także odpowiedzialny za </w:t>
      </w:r>
      <w:r w:rsidR="00155ABF" w:rsidRPr="00155ABF">
        <w:rPr>
          <w:lang w:eastAsia="en-GB"/>
        </w:rPr>
        <w:t xml:space="preserve">przygotowanie i zarządzanie procedurami wyboru projektów, </w:t>
      </w:r>
      <w:r w:rsidR="00155ABF" w:rsidRPr="00155ABF">
        <w:rPr>
          <w:lang w:eastAsia="en-GB"/>
        </w:rPr>
        <w:lastRenderedPageBreak/>
        <w:t xml:space="preserve">podpisywania umów oraz zarządzania projektami (włączając projekty Pomocy Technicznej). </w:t>
      </w:r>
      <w:r w:rsidR="005A2E98" w:rsidRPr="005A2E98">
        <w:rPr>
          <w:lang w:eastAsia="en-GB"/>
        </w:rPr>
        <w:t xml:space="preserve">Wydział Systemów Zarządzania i Kontroli </w:t>
      </w:r>
      <w:r w:rsidR="005A2E98">
        <w:rPr>
          <w:lang w:eastAsia="en-GB"/>
        </w:rPr>
        <w:t>działa jako</w:t>
      </w:r>
      <w:r w:rsidR="005A2E98" w:rsidRPr="005A2E98">
        <w:rPr>
          <w:lang w:eastAsia="en-GB"/>
        </w:rPr>
        <w:t xml:space="preserve"> Instytucj</w:t>
      </w:r>
      <w:r w:rsidR="005A2E98">
        <w:rPr>
          <w:lang w:eastAsia="en-GB"/>
        </w:rPr>
        <w:t>a Krajowa</w:t>
      </w:r>
      <w:r w:rsidR="005A2E98" w:rsidRPr="005A2E98">
        <w:rPr>
          <w:lang w:eastAsia="en-GB"/>
        </w:rPr>
        <w:t xml:space="preserve">. Jest odpowiedzialny za </w:t>
      </w:r>
      <w:r w:rsidR="005A2E98">
        <w:rPr>
          <w:lang w:eastAsia="en-GB"/>
        </w:rPr>
        <w:t xml:space="preserve">pełnienie funkcji kontrolnych IK na poziomie krajowym, jak również funkcji kontrolnych IZ. </w:t>
      </w:r>
      <w:r w:rsidR="00625362">
        <w:rPr>
          <w:lang w:eastAsia="en-GB"/>
        </w:rPr>
        <w:t xml:space="preserve">Kontrole włączają weryfikację, iż usługi, dostawy i roboty zostały wykonane, dostarczone i/lub zainstalowane oraz czy wydatki zadeklarowane przez beneficjentów zostały przez nich zapłacone oraz że są zgodne z odpowiednim prawodawstwem, zasadami programowymi oraz warunkami wsparcia projektów, zapewniającymi, że beneficjent jest zgodny z wymaganiami dotyczącymi księgowania i zapewniającymi </w:t>
      </w:r>
      <w:r w:rsidR="00C700E8">
        <w:rPr>
          <w:lang w:eastAsia="en-GB"/>
        </w:rPr>
        <w:t xml:space="preserve">odpowiednią ścieżkę audytu. Funkcje kontrolne na poziomie krajowym oraz Programu będą przeprowadzone przez ten sam Wydział ze względów praktycznych. </w:t>
      </w:r>
      <w:r w:rsidR="005E26AA">
        <w:rPr>
          <w:lang w:eastAsia="en-GB"/>
        </w:rPr>
        <w:t xml:space="preserve">Pozostałe funkcje IK (utworzenie oraz efektywne funkcjonowanie systemów zarządzania i kontroli </w:t>
      </w:r>
      <w:r w:rsidR="00C42E92">
        <w:rPr>
          <w:lang w:eastAsia="en-GB"/>
        </w:rPr>
        <w:t>na poziomie krajowym, koordynacja instytucji zaangażowanych na poziomie krajowym) są oddzielone od IZ na poziomie wydziałów.</w:t>
      </w:r>
    </w:p>
    <w:p w:rsidR="004B654C" w:rsidRPr="001268E7" w:rsidRDefault="001A4962" w:rsidP="001A4962">
      <w:pPr>
        <w:pStyle w:val="Default"/>
        <w:spacing w:before="100" w:beforeAutospacing="1" w:after="100" w:afterAutospacing="1"/>
        <w:jc w:val="both"/>
        <w:rPr>
          <w:rFonts w:eastAsia="Times New Roman"/>
          <w:lang w:eastAsia="en-GB"/>
        </w:rPr>
      </w:pPr>
      <w:r w:rsidRPr="001268E7">
        <w:rPr>
          <w:lang w:eastAsia="pl-PL"/>
        </w:rPr>
        <w:t>IK wspierają IZ w ramach zarządzania Programem zgodnie z zasadą należytego zarządzania finansami.</w:t>
      </w:r>
      <w:r w:rsidR="004B654C" w:rsidRPr="001268E7">
        <w:rPr>
          <w:rFonts w:eastAsia="Times New Roman"/>
          <w:color w:val="auto"/>
          <w:lang w:eastAsia="en-GB"/>
        </w:rPr>
        <w:t xml:space="preserve"> </w:t>
      </w:r>
      <w:r w:rsidRPr="001268E7">
        <w:rPr>
          <w:lang w:eastAsia="pl-PL"/>
        </w:rPr>
        <w:t>IK realizowały będą m. in. następujące zadania:</w:t>
      </w:r>
    </w:p>
    <w:p w:rsidR="001A4962" w:rsidRPr="001268E7" w:rsidRDefault="00B017A5" w:rsidP="00246345">
      <w:pPr>
        <w:pStyle w:val="Akapitzlist"/>
        <w:numPr>
          <w:ilvl w:val="0"/>
          <w:numId w:val="5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utworzenie i </w:t>
      </w:r>
      <w:r w:rsidR="00142A3B" w:rsidRPr="001268E7">
        <w:rPr>
          <w:rFonts w:cs="Calibri"/>
          <w:sz w:val="24"/>
          <w:szCs w:val="24"/>
          <w:lang w:eastAsia="pl-PL"/>
        </w:rPr>
        <w:t>efektywne funkcjonowanie systemów</w:t>
      </w:r>
      <w:r w:rsidRPr="001268E7">
        <w:rPr>
          <w:rFonts w:cs="Calibri"/>
          <w:sz w:val="24"/>
          <w:szCs w:val="24"/>
          <w:lang w:eastAsia="pl-PL"/>
        </w:rPr>
        <w:t xml:space="preserve"> zarządzania i kontroli na poziomie krajowym;</w:t>
      </w:r>
    </w:p>
    <w:p w:rsidR="00B017A5" w:rsidRPr="001268E7" w:rsidRDefault="00B017A5" w:rsidP="00246345">
      <w:pPr>
        <w:pStyle w:val="Akapitzlist"/>
        <w:numPr>
          <w:ilvl w:val="0"/>
          <w:numId w:val="5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zapewnianie ogólnej koordynacji instytucji zaangażowanych na poziomie krajowym we wdrażanie Programu, w tym między innymi instytucji działających jako K</w:t>
      </w:r>
      <w:r w:rsidR="00142A3B" w:rsidRPr="001268E7">
        <w:rPr>
          <w:rFonts w:cs="Calibri"/>
          <w:sz w:val="24"/>
          <w:szCs w:val="24"/>
          <w:lang w:eastAsia="pl-PL"/>
        </w:rPr>
        <w:t>ontrolne Punkty Kontaktowe oraz jako członkowie Grupy Audytorów</w:t>
      </w:r>
      <w:r w:rsidRPr="001268E7">
        <w:rPr>
          <w:rFonts w:cs="Calibri"/>
          <w:sz w:val="24"/>
          <w:szCs w:val="24"/>
          <w:lang w:eastAsia="pl-PL"/>
        </w:rPr>
        <w:t>;</w:t>
      </w:r>
    </w:p>
    <w:p w:rsidR="00B017A5" w:rsidRPr="001268E7" w:rsidRDefault="00B017A5" w:rsidP="00246345">
      <w:pPr>
        <w:pStyle w:val="Akapitzlist"/>
        <w:numPr>
          <w:ilvl w:val="0"/>
          <w:numId w:val="5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reprezentowanie kraju w WKM.</w:t>
      </w:r>
    </w:p>
    <w:p w:rsidR="004B654C" w:rsidRPr="001268E7" w:rsidRDefault="00B017A5" w:rsidP="00B017A5">
      <w:pPr>
        <w:spacing w:before="100" w:beforeAutospacing="1" w:after="100" w:afterAutospacing="1" w:line="240" w:lineRule="auto"/>
        <w:jc w:val="both"/>
        <w:rPr>
          <w:rFonts w:eastAsia="Times New Roman" w:cs="Calibri"/>
          <w:sz w:val="24"/>
          <w:szCs w:val="24"/>
          <w:lang w:eastAsia="en-GB"/>
        </w:rPr>
      </w:pPr>
      <w:r w:rsidRPr="001268E7">
        <w:rPr>
          <w:rFonts w:cs="Calibri"/>
          <w:sz w:val="24"/>
          <w:szCs w:val="24"/>
          <w:lang w:eastAsia="pl-PL"/>
        </w:rPr>
        <w:t>Działania wspomagające realizowane przez IK w ramach zarządzania Programem obejmować mogą następujące czynności:</w:t>
      </w:r>
    </w:p>
    <w:p w:rsidR="00B017A5" w:rsidRPr="001268E7" w:rsidRDefault="00B017A5" w:rsidP="00246345">
      <w:pPr>
        <w:pStyle w:val="Akapitzlist"/>
        <w:numPr>
          <w:ilvl w:val="0"/>
          <w:numId w:val="51"/>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udzielanie IZ wsparcia w zakresie przekazywania konkretnych krajowych danych dotyczących wdrażania Programu;</w:t>
      </w:r>
    </w:p>
    <w:p w:rsidR="00B017A5" w:rsidRPr="001268E7" w:rsidRDefault="00B017A5" w:rsidP="00246345">
      <w:pPr>
        <w:pStyle w:val="Akapitzlist"/>
        <w:numPr>
          <w:ilvl w:val="0"/>
          <w:numId w:val="51"/>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udzielanie IZ wsparcia w zakresie przeprowadzania konsultacji dotyczących OOŚ na swoim obszarze (ze wsparciem właściwych instytucji), jeśli to konieczne;</w:t>
      </w:r>
    </w:p>
    <w:p w:rsidR="00B017A5" w:rsidRPr="001268E7" w:rsidRDefault="00B017A5" w:rsidP="00246345">
      <w:pPr>
        <w:pStyle w:val="Akapitzlist"/>
        <w:numPr>
          <w:ilvl w:val="0"/>
          <w:numId w:val="51"/>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udzielanie IZ/WST wsparcia w zakresie przeprowadzania oceny administracyjnej/ kwalifikowalności (przekazywanie swoich opinii np. na temat kwalifikowalności danego wnioskodawcy/partnera, zgodności danego dokumentu z wymaganiami przepisów prawa krajowego itd.);</w:t>
      </w:r>
    </w:p>
    <w:p w:rsidR="00FE72ED" w:rsidRPr="001268E7" w:rsidRDefault="00B017A5" w:rsidP="00246345">
      <w:pPr>
        <w:pStyle w:val="Akapitzlist"/>
        <w:numPr>
          <w:ilvl w:val="0"/>
          <w:numId w:val="51"/>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wspomaganie procesu tworzenia oddział</w:t>
      </w:r>
      <w:r w:rsidR="007B2451">
        <w:rPr>
          <w:rFonts w:cs="Calibri"/>
          <w:sz w:val="24"/>
          <w:szCs w:val="24"/>
          <w:lang w:eastAsia="pl-PL"/>
        </w:rPr>
        <w:t>u</w:t>
      </w:r>
      <w:r w:rsidRPr="001268E7">
        <w:rPr>
          <w:rFonts w:cs="Calibri"/>
          <w:sz w:val="24"/>
          <w:szCs w:val="24"/>
          <w:lang w:eastAsia="pl-PL"/>
        </w:rPr>
        <w:t xml:space="preserve"> na swoi</w:t>
      </w:r>
      <w:r w:rsidR="001C30FA">
        <w:rPr>
          <w:rFonts w:cs="Calibri"/>
          <w:sz w:val="24"/>
          <w:szCs w:val="24"/>
          <w:lang w:eastAsia="pl-PL"/>
        </w:rPr>
        <w:t>m</w:t>
      </w:r>
      <w:r w:rsidRPr="001268E7">
        <w:rPr>
          <w:rFonts w:cs="Calibri"/>
          <w:sz w:val="24"/>
          <w:szCs w:val="24"/>
          <w:lang w:eastAsia="pl-PL"/>
        </w:rPr>
        <w:t xml:space="preserve"> terytori</w:t>
      </w:r>
      <w:r w:rsidR="001C30FA">
        <w:rPr>
          <w:rFonts w:cs="Calibri"/>
          <w:sz w:val="24"/>
          <w:szCs w:val="24"/>
          <w:lang w:eastAsia="pl-PL"/>
        </w:rPr>
        <w:t>um</w:t>
      </w:r>
      <w:r w:rsidRPr="001268E7">
        <w:rPr>
          <w:rFonts w:cs="Calibri"/>
          <w:sz w:val="24"/>
          <w:szCs w:val="24"/>
          <w:lang w:eastAsia="pl-PL"/>
        </w:rPr>
        <w:t>, np. poprzez przekazywanie niezbędnych informacji dotyczących: instytucji mogącej pełnić rolę gospodarza oddziału bądź przejąć jego funkcję, a także poprzez udzielanie innych form wsparcia, jeśli takowe będą potrzebne i zostaną uzgodnione;</w:t>
      </w:r>
    </w:p>
    <w:p w:rsidR="00B017A5" w:rsidRPr="001268E7" w:rsidRDefault="00B017A5" w:rsidP="00246345">
      <w:pPr>
        <w:pStyle w:val="Akapitzlist"/>
        <w:numPr>
          <w:ilvl w:val="0"/>
          <w:numId w:val="51"/>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udzielanie IZ/WST wsparcia w zakresie pokonywania potencjalnych trudności i wyzwań w trakcie wdrażania projektów w poszczególnych krajach, udzielanie IZ wsparcia w zakresie prewencji, wykrywania i eliminowania nieprawidłowości, wliczając w to nadużycie finansowe oraz odzyskiwanie </w:t>
      </w:r>
      <w:r w:rsidR="00FE72ED" w:rsidRPr="001268E7">
        <w:rPr>
          <w:rFonts w:cs="Calibri"/>
          <w:sz w:val="24"/>
          <w:szCs w:val="24"/>
          <w:lang w:eastAsia="pl-PL"/>
        </w:rPr>
        <w:t xml:space="preserve">nienależnie wypłaconych </w:t>
      </w:r>
      <w:r w:rsidRPr="001268E7">
        <w:rPr>
          <w:rFonts w:cs="Calibri"/>
          <w:sz w:val="24"/>
          <w:szCs w:val="24"/>
          <w:lang w:eastAsia="pl-PL"/>
        </w:rPr>
        <w:t>należności wraz z odsetkam</w:t>
      </w:r>
      <w:r w:rsidR="00AA4AF5" w:rsidRPr="001268E7">
        <w:rPr>
          <w:rFonts w:cs="Calibri"/>
          <w:sz w:val="24"/>
          <w:szCs w:val="24"/>
          <w:lang w:eastAsia="pl-PL"/>
        </w:rPr>
        <w:t>i zgodnie z umową finansową</w:t>
      </w:r>
      <w:r w:rsidRPr="001268E7">
        <w:rPr>
          <w:rFonts w:cs="Calibri"/>
          <w:sz w:val="24"/>
          <w:szCs w:val="24"/>
          <w:lang w:eastAsia="pl-PL"/>
        </w:rPr>
        <w:t xml:space="preserve"> w przypadku Federacji Rosyjskiej, a w przypadku Rzeczpospolitej Polskiej zgodnie z art.</w:t>
      </w:r>
      <w:r w:rsidRPr="001268E7">
        <w:rPr>
          <w:rFonts w:cs="Calibri"/>
          <w:sz w:val="24"/>
          <w:szCs w:val="24"/>
        </w:rPr>
        <w:t xml:space="preserve"> 74 RW</w:t>
      </w:r>
      <w:r w:rsidR="005A6304">
        <w:rPr>
          <w:rFonts w:cs="Calibri"/>
          <w:sz w:val="24"/>
          <w:szCs w:val="24"/>
        </w:rPr>
        <w:t xml:space="preserve"> oraz prawodawstwem stron</w:t>
      </w:r>
      <w:r w:rsidRPr="001268E7">
        <w:rPr>
          <w:rFonts w:cs="Calibri"/>
          <w:sz w:val="24"/>
          <w:szCs w:val="24"/>
        </w:rPr>
        <w:t xml:space="preserve">. </w:t>
      </w:r>
      <w:r w:rsidRPr="001268E7">
        <w:rPr>
          <w:rFonts w:cs="Calibri"/>
          <w:sz w:val="24"/>
          <w:szCs w:val="24"/>
          <w:lang w:eastAsia="pl-PL"/>
        </w:rPr>
        <w:t xml:space="preserve">IK niezwłocznie powiadamiać będą IZ o tego rodzaju nieprawidłowościach i będą informować je na temat postępów w zakresie </w:t>
      </w:r>
      <w:r w:rsidRPr="001268E7">
        <w:rPr>
          <w:rFonts w:cs="Calibri"/>
          <w:sz w:val="24"/>
          <w:szCs w:val="24"/>
          <w:lang w:eastAsia="pl-PL"/>
        </w:rPr>
        <w:lastRenderedPageBreak/>
        <w:t>związanych z tym postępowań administracyjnych i prawnych.</w:t>
      </w:r>
      <w:r w:rsidRPr="001268E7">
        <w:rPr>
          <w:rFonts w:cs="Calibri"/>
          <w:sz w:val="24"/>
          <w:szCs w:val="24"/>
        </w:rPr>
        <w:t xml:space="preserve"> </w:t>
      </w:r>
      <w:r w:rsidRPr="001268E7">
        <w:rPr>
          <w:rFonts w:cs="Calibri"/>
          <w:sz w:val="24"/>
          <w:szCs w:val="24"/>
          <w:lang w:eastAsia="pl-PL"/>
        </w:rPr>
        <w:t xml:space="preserve">Zakres odpowiedzialności państw uczestniczących </w:t>
      </w:r>
      <w:r w:rsidR="00FE72ED" w:rsidRPr="001268E7">
        <w:rPr>
          <w:rFonts w:cs="Calibri"/>
          <w:sz w:val="24"/>
          <w:szCs w:val="24"/>
          <w:lang w:eastAsia="pl-PL"/>
        </w:rPr>
        <w:t xml:space="preserve">z </w:t>
      </w:r>
      <w:r w:rsidRPr="001268E7">
        <w:rPr>
          <w:rFonts w:cs="Calibri"/>
          <w:sz w:val="24"/>
          <w:szCs w:val="24"/>
          <w:lang w:eastAsia="pl-PL"/>
        </w:rPr>
        <w:t>tytułu środków nienależnie wypłaconych na rzecz beneficjenta wskazan</w:t>
      </w:r>
      <w:r w:rsidR="00AA4AF5" w:rsidRPr="001268E7">
        <w:rPr>
          <w:rFonts w:cs="Calibri"/>
          <w:sz w:val="24"/>
          <w:szCs w:val="24"/>
          <w:lang w:eastAsia="pl-PL"/>
        </w:rPr>
        <w:t>y został w umowie finansowej</w:t>
      </w:r>
      <w:r w:rsidRPr="001268E7">
        <w:rPr>
          <w:rFonts w:cs="Calibri"/>
          <w:sz w:val="24"/>
          <w:szCs w:val="24"/>
          <w:lang w:eastAsia="pl-PL"/>
        </w:rPr>
        <w:t xml:space="preserve"> w przypadku Federacji Rosyjskiej, a w przypadku Rzeczpospolitej Polskiej w art.</w:t>
      </w:r>
      <w:r w:rsidRPr="001268E7">
        <w:rPr>
          <w:rFonts w:cs="Calibri"/>
          <w:sz w:val="24"/>
          <w:szCs w:val="24"/>
        </w:rPr>
        <w:t xml:space="preserve"> 74 RW. </w:t>
      </w:r>
    </w:p>
    <w:p w:rsidR="004B654C" w:rsidRPr="001268E7" w:rsidRDefault="00B017A5" w:rsidP="00B017A5">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cs="Calibri"/>
          <w:sz w:val="24"/>
          <w:szCs w:val="24"/>
          <w:lang w:eastAsia="pl-PL"/>
        </w:rPr>
        <w:t>Wsparcie udzielane IZ przez IK w zakresie prewencji, wykrywania i eliminowania nieprawidłowości oraz odzyskiwania należności na ich obszarze obejmować mogą następujące działania:</w:t>
      </w:r>
    </w:p>
    <w:p w:rsidR="00B017A5" w:rsidRPr="001268E7" w:rsidRDefault="00B017A5" w:rsidP="00246345">
      <w:pPr>
        <w:pStyle w:val="Akapitzlist"/>
        <w:numPr>
          <w:ilvl w:val="0"/>
          <w:numId w:val="5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prewencja: uczestnictwo w procesie opracowywania wytycznych dotyczących kwalifikowalności wydat</w:t>
      </w:r>
      <w:r w:rsidR="00FE72ED" w:rsidRPr="001268E7">
        <w:rPr>
          <w:rFonts w:cs="Calibri"/>
          <w:sz w:val="24"/>
          <w:szCs w:val="24"/>
          <w:lang w:eastAsia="pl-PL"/>
        </w:rPr>
        <w:t>ków dla beneficjentów projektów</w:t>
      </w:r>
      <w:r w:rsidRPr="001268E7">
        <w:rPr>
          <w:rFonts w:cs="Calibri"/>
          <w:sz w:val="24"/>
          <w:szCs w:val="24"/>
          <w:lang w:eastAsia="pl-PL"/>
        </w:rPr>
        <w:t xml:space="preserve"> itd.;</w:t>
      </w:r>
    </w:p>
    <w:p w:rsidR="00B017A5" w:rsidRPr="001268E7" w:rsidRDefault="00B017A5" w:rsidP="00246345">
      <w:pPr>
        <w:pStyle w:val="Akapitzlist"/>
        <w:numPr>
          <w:ilvl w:val="0"/>
          <w:numId w:val="5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wykrywanie: samodzielna weryfikacja zarządzania i/lub wsparcie weryfikacji zarządzania IZ/WST, samodzielna weryfikacja wydatków bądź wsparcie weryfikacj</w:t>
      </w:r>
      <w:r w:rsidR="00FE72ED" w:rsidRPr="001268E7">
        <w:rPr>
          <w:rFonts w:cs="Calibri"/>
          <w:sz w:val="24"/>
          <w:szCs w:val="24"/>
          <w:lang w:eastAsia="pl-PL"/>
        </w:rPr>
        <w:t xml:space="preserve">i wydatków prowadzonej przez IZ </w:t>
      </w:r>
      <w:r w:rsidRPr="001268E7">
        <w:rPr>
          <w:rFonts w:cs="Calibri"/>
          <w:sz w:val="24"/>
          <w:szCs w:val="24"/>
          <w:lang w:eastAsia="pl-PL"/>
        </w:rPr>
        <w:t xml:space="preserve">(funkcja Kontrolnego Punktu </w:t>
      </w:r>
      <w:r w:rsidR="00FE72ED" w:rsidRPr="001268E7">
        <w:rPr>
          <w:rFonts w:cs="Calibri"/>
          <w:sz w:val="24"/>
          <w:szCs w:val="24"/>
          <w:lang w:eastAsia="pl-PL"/>
        </w:rPr>
        <w:t>Kontaktowego</w:t>
      </w:r>
      <w:r w:rsidRPr="001268E7">
        <w:rPr>
          <w:rFonts w:cs="Calibri"/>
          <w:sz w:val="24"/>
          <w:szCs w:val="24"/>
          <w:lang w:eastAsia="pl-PL"/>
        </w:rPr>
        <w:t>);</w:t>
      </w:r>
      <w:r w:rsidRPr="001268E7">
        <w:rPr>
          <w:rFonts w:cs="Calibri"/>
          <w:sz w:val="24"/>
          <w:szCs w:val="24"/>
        </w:rPr>
        <w:t xml:space="preserve"> </w:t>
      </w:r>
    </w:p>
    <w:p w:rsidR="00B017A5" w:rsidRPr="001268E7" w:rsidRDefault="00B017A5" w:rsidP="00246345">
      <w:pPr>
        <w:pStyle w:val="Akapitzlist"/>
        <w:numPr>
          <w:ilvl w:val="0"/>
          <w:numId w:val="5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działania naprawcze: wspieranie IZ w ramach wdrażania działań naprawczych w odniesieniu do stwierdzonych nieprawidłowości;</w:t>
      </w:r>
      <w:r w:rsidRPr="001268E7">
        <w:rPr>
          <w:rFonts w:cs="Calibri"/>
          <w:sz w:val="24"/>
          <w:szCs w:val="24"/>
        </w:rPr>
        <w:t xml:space="preserve"> </w:t>
      </w:r>
    </w:p>
    <w:p w:rsidR="00B017A5" w:rsidRPr="001268E7" w:rsidRDefault="00B017A5" w:rsidP="00246345">
      <w:pPr>
        <w:pStyle w:val="Akapitzlist"/>
        <w:numPr>
          <w:ilvl w:val="0"/>
          <w:numId w:val="5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niezwłoczne zgłaszanie IZ wszelkich nieprawidłowości;</w:t>
      </w:r>
    </w:p>
    <w:p w:rsidR="00B017A5" w:rsidRPr="001268E7" w:rsidRDefault="00B017A5" w:rsidP="00246345">
      <w:pPr>
        <w:pStyle w:val="Akapitzlist"/>
        <w:numPr>
          <w:ilvl w:val="0"/>
          <w:numId w:val="5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zdefiniowanie, wspólnie z IZ, skutecznych i proporcjonalnych środków przeciwdziałania nadużyciom, które mają być wdrożone na ich obszarze;</w:t>
      </w:r>
    </w:p>
    <w:p w:rsidR="00B017A5" w:rsidRPr="001268E7" w:rsidRDefault="00B017A5" w:rsidP="00246345">
      <w:pPr>
        <w:pStyle w:val="Akapitzlist"/>
        <w:numPr>
          <w:ilvl w:val="0"/>
          <w:numId w:val="5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udzielanie IZ wsparcia w zakresie odzyskiwania płatności od beneficjentów projektów (podmiotów prywatnych i publicznych) działających na ich obszarze, a także innych form wsparcia, jeśli takowe będą potrzebne i zostaną uzgodnione.</w:t>
      </w:r>
    </w:p>
    <w:p w:rsidR="004B654C" w:rsidRPr="001268E7" w:rsidRDefault="00B017A5" w:rsidP="00B017A5">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eastAsia="Times New Roman" w:cs="Calibri"/>
          <w:sz w:val="24"/>
          <w:szCs w:val="24"/>
          <w:lang w:eastAsia="en-GB"/>
        </w:rPr>
        <w:t xml:space="preserve">W przypadku rosyjskiej IK, </w:t>
      </w:r>
      <w:r w:rsidRPr="001268E7">
        <w:rPr>
          <w:rFonts w:cs="Calibri"/>
          <w:sz w:val="24"/>
          <w:szCs w:val="24"/>
          <w:lang w:eastAsia="pl-PL"/>
        </w:rPr>
        <w:t xml:space="preserve">warunki dotyczące odpowiedzialności </w:t>
      </w:r>
      <w:r w:rsidR="00FE72ED" w:rsidRPr="001268E7">
        <w:rPr>
          <w:rFonts w:cs="Calibri"/>
          <w:sz w:val="24"/>
          <w:szCs w:val="24"/>
          <w:lang w:eastAsia="pl-PL"/>
        </w:rPr>
        <w:t xml:space="preserve">z </w:t>
      </w:r>
      <w:r w:rsidRPr="001268E7">
        <w:rPr>
          <w:rFonts w:cs="Calibri"/>
          <w:sz w:val="24"/>
          <w:szCs w:val="24"/>
          <w:lang w:eastAsia="pl-PL"/>
        </w:rPr>
        <w:t>tytułu kwot nienależnie wypłaconych beneficjentom działającym w ramach rosyjskiej części Programu – w sytuacji, gdy odzyskanie tych kwot okaże się niemożliwe – a także mechanizmy odzyskiwania tego rodzaju kwot, ustalone zostaną w Umowie Finansowej pomiędzy Federacją Rosyjską a Unią Europejską.</w:t>
      </w:r>
    </w:p>
    <w:p w:rsidR="004B654C" w:rsidRPr="00D61551" w:rsidRDefault="007263FD" w:rsidP="00D61551">
      <w:pPr>
        <w:pStyle w:val="Nagwek2"/>
      </w:pPr>
      <w:bookmarkStart w:id="28" w:name="_Toc530737577"/>
      <w:r w:rsidRPr="00D61551">
        <w:t>3.4 Wspólny Sekretariat Techniczny i Oddział</w:t>
      </w:r>
      <w:bookmarkEnd w:id="28"/>
    </w:p>
    <w:p w:rsidR="004B654C" w:rsidRPr="001268E7" w:rsidRDefault="007263FD" w:rsidP="007263FD">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eastAsia="Times New Roman" w:cs="Calibri"/>
          <w:sz w:val="24"/>
          <w:szCs w:val="24"/>
          <w:lang w:eastAsia="en-GB"/>
        </w:rPr>
        <w:t>IZ utworzyła Wspólny</w:t>
      </w:r>
      <w:r w:rsidR="00FE72ED" w:rsidRPr="001268E7">
        <w:rPr>
          <w:rFonts w:eastAsia="Times New Roman" w:cs="Calibri"/>
          <w:sz w:val="24"/>
          <w:szCs w:val="24"/>
          <w:lang w:eastAsia="en-GB"/>
        </w:rPr>
        <w:t xml:space="preserve"> Sekretariat Techniczny powołany</w:t>
      </w:r>
      <w:r w:rsidRPr="001268E7">
        <w:rPr>
          <w:rFonts w:eastAsia="Times New Roman" w:cs="Calibri"/>
          <w:sz w:val="24"/>
          <w:szCs w:val="24"/>
          <w:lang w:eastAsia="en-GB"/>
        </w:rPr>
        <w:t xml:space="preserve"> jako instytucja pośrednicząca, o której mowa w art. 20(3) RW w celu realizacji praktycznej części wdrażania Programu.</w:t>
      </w:r>
      <w:r w:rsidR="004B654C" w:rsidRPr="001268E7">
        <w:rPr>
          <w:rFonts w:eastAsia="Times New Roman" w:cs="Calibri"/>
          <w:sz w:val="24"/>
          <w:szCs w:val="24"/>
          <w:lang w:eastAsia="en-GB"/>
        </w:rPr>
        <w:t xml:space="preserve"> </w:t>
      </w:r>
      <w:r w:rsidRPr="001268E7">
        <w:rPr>
          <w:rFonts w:eastAsia="Times New Roman" w:cs="Calibri"/>
          <w:sz w:val="24"/>
          <w:szCs w:val="24"/>
          <w:lang w:eastAsia="en-GB"/>
        </w:rPr>
        <w:t xml:space="preserve">WST będzie wspierać IZ, WKM </w:t>
      </w:r>
      <w:r w:rsidRPr="001268E7">
        <w:rPr>
          <w:rFonts w:cs="Calibri"/>
          <w:sz w:val="24"/>
          <w:szCs w:val="24"/>
          <w:lang w:eastAsia="pl-PL"/>
        </w:rPr>
        <w:t>oraz, w stosownych przypadkach, IA</w:t>
      </w:r>
      <w:r w:rsidR="00345866" w:rsidRPr="001268E7">
        <w:rPr>
          <w:rFonts w:cs="Calibri"/>
          <w:sz w:val="24"/>
          <w:szCs w:val="24"/>
          <w:lang w:eastAsia="pl-PL"/>
        </w:rPr>
        <w:t>,</w:t>
      </w:r>
      <w:r w:rsidRPr="001268E7">
        <w:rPr>
          <w:rFonts w:cs="Calibri"/>
          <w:sz w:val="24"/>
          <w:szCs w:val="24"/>
          <w:lang w:eastAsia="pl-PL"/>
        </w:rPr>
        <w:t xml:space="preserve"> w realizacji przypisanych im funkcji.</w:t>
      </w:r>
      <w:r w:rsidR="004B654C" w:rsidRPr="001268E7">
        <w:rPr>
          <w:rFonts w:eastAsia="Times New Roman" w:cs="Calibri"/>
          <w:sz w:val="24"/>
          <w:szCs w:val="24"/>
          <w:lang w:eastAsia="en-GB"/>
        </w:rPr>
        <w:t xml:space="preserve"> </w:t>
      </w:r>
      <w:r w:rsidRPr="001268E7">
        <w:rPr>
          <w:rFonts w:cs="Calibri"/>
          <w:sz w:val="24"/>
          <w:szCs w:val="24"/>
          <w:lang w:eastAsia="pl-PL"/>
        </w:rPr>
        <w:t>W szczególności, WST będzie informować potencjalnych beneficjentów w Federacji Rosyjskiej i Polsce o możliwościach uzyskania finansowania w ramach Programu i udzielać będzie pomocy beneficjentom w trakcie realizacji projektów.</w:t>
      </w:r>
      <w:r w:rsidR="004B654C" w:rsidRPr="001268E7">
        <w:rPr>
          <w:rFonts w:eastAsia="Times New Roman" w:cs="Calibri"/>
          <w:sz w:val="24"/>
          <w:szCs w:val="24"/>
          <w:lang w:eastAsia="en-GB"/>
        </w:rPr>
        <w:t xml:space="preserve"> </w:t>
      </w:r>
      <w:r w:rsidRPr="001268E7">
        <w:rPr>
          <w:rFonts w:cs="Calibri"/>
          <w:sz w:val="24"/>
          <w:szCs w:val="24"/>
          <w:lang w:eastAsia="pl-PL"/>
        </w:rPr>
        <w:t>WST funkcjonować będzie w ramach państwowej jednostki Centrum Projektów Europejskich.</w:t>
      </w:r>
      <w:r w:rsidR="004B654C" w:rsidRPr="001268E7">
        <w:rPr>
          <w:rFonts w:eastAsia="Times New Roman" w:cs="Calibri"/>
          <w:sz w:val="24"/>
          <w:szCs w:val="24"/>
          <w:lang w:eastAsia="en-GB"/>
        </w:rPr>
        <w:t xml:space="preserve"> </w:t>
      </w:r>
      <w:r w:rsidRPr="001268E7">
        <w:rPr>
          <w:rFonts w:cs="Calibri"/>
          <w:sz w:val="24"/>
          <w:szCs w:val="24"/>
          <w:lang w:eastAsia="pl-PL"/>
        </w:rPr>
        <w:t>Odpowiednie umowy pomiędzy IZ i WST zostaną zawarte w formie pisemnej.</w:t>
      </w:r>
      <w:r w:rsidR="004B654C" w:rsidRPr="001268E7">
        <w:rPr>
          <w:rFonts w:eastAsia="Times New Roman" w:cs="Calibri"/>
          <w:sz w:val="24"/>
          <w:szCs w:val="24"/>
          <w:lang w:eastAsia="en-GB"/>
        </w:rPr>
        <w:t xml:space="preserve"> </w:t>
      </w:r>
    </w:p>
    <w:p w:rsidR="004B654C" w:rsidRPr="001268E7" w:rsidRDefault="007263FD" w:rsidP="007263FD">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cs="Calibri"/>
          <w:sz w:val="24"/>
          <w:szCs w:val="24"/>
          <w:lang w:eastAsia="pl-PL"/>
        </w:rPr>
        <w:t xml:space="preserve">WST będzie funkcjonować w odrębnym wydziale CPE, który będzie niezależny funkcjonalnie od wydziału, </w:t>
      </w:r>
      <w:r w:rsidR="00AD7508">
        <w:rPr>
          <w:rFonts w:cs="Calibri"/>
          <w:sz w:val="24"/>
          <w:szCs w:val="24"/>
          <w:lang w:eastAsia="pl-PL"/>
        </w:rPr>
        <w:t>działającego</w:t>
      </w:r>
      <w:r w:rsidRPr="001268E7">
        <w:rPr>
          <w:rFonts w:cs="Calibri"/>
          <w:sz w:val="24"/>
          <w:szCs w:val="24"/>
          <w:lang w:eastAsia="pl-PL"/>
        </w:rPr>
        <w:t xml:space="preserve"> jako polski KPK.</w:t>
      </w:r>
    </w:p>
    <w:p w:rsidR="004B654C" w:rsidRPr="001268E7" w:rsidRDefault="007263FD" w:rsidP="007263FD">
      <w:pPr>
        <w:autoSpaceDE w:val="0"/>
        <w:autoSpaceDN w:val="0"/>
        <w:adjustRightInd w:val="0"/>
        <w:spacing w:before="100" w:beforeAutospacing="1" w:after="100" w:afterAutospacing="1" w:line="240" w:lineRule="auto"/>
        <w:jc w:val="both"/>
        <w:rPr>
          <w:rFonts w:eastAsia="Times New Roman" w:cs="Calibri"/>
          <w:bCs/>
          <w:iCs/>
          <w:sz w:val="24"/>
          <w:szCs w:val="24"/>
          <w:lang w:eastAsia="en-GB"/>
        </w:rPr>
      </w:pPr>
      <w:r w:rsidRPr="001268E7">
        <w:rPr>
          <w:rFonts w:eastAsia="Times New Roman" w:cs="Calibri"/>
          <w:bCs/>
          <w:sz w:val="24"/>
          <w:szCs w:val="24"/>
          <w:lang w:eastAsia="en-GB"/>
        </w:rPr>
        <w:t xml:space="preserve">Zaleca się, aby </w:t>
      </w:r>
      <w:r w:rsidR="003E77D9">
        <w:rPr>
          <w:rFonts w:eastAsia="Times New Roman" w:cs="Calibri"/>
          <w:bCs/>
          <w:sz w:val="24"/>
          <w:szCs w:val="24"/>
          <w:lang w:eastAsia="en-GB"/>
        </w:rPr>
        <w:t>pracownicy</w:t>
      </w:r>
      <w:r w:rsidR="003E77D9" w:rsidRPr="001268E7">
        <w:rPr>
          <w:rFonts w:eastAsia="Times New Roman" w:cs="Calibri"/>
          <w:bCs/>
          <w:sz w:val="24"/>
          <w:szCs w:val="24"/>
          <w:lang w:eastAsia="en-GB"/>
        </w:rPr>
        <w:t xml:space="preserve"> </w:t>
      </w:r>
      <w:r w:rsidRPr="001268E7">
        <w:rPr>
          <w:rFonts w:eastAsia="Times New Roman" w:cs="Calibri"/>
          <w:bCs/>
          <w:sz w:val="24"/>
          <w:szCs w:val="24"/>
          <w:lang w:eastAsia="en-GB"/>
        </w:rPr>
        <w:t xml:space="preserve">z całego </w:t>
      </w:r>
      <w:r w:rsidR="003E77D9">
        <w:rPr>
          <w:rFonts w:eastAsia="Times New Roman" w:cs="Calibri"/>
          <w:bCs/>
          <w:sz w:val="24"/>
          <w:szCs w:val="24"/>
          <w:lang w:eastAsia="en-GB"/>
        </w:rPr>
        <w:t>obszaru</w:t>
      </w:r>
      <w:r w:rsidR="003E77D9" w:rsidRPr="001268E7">
        <w:rPr>
          <w:rFonts w:eastAsia="Times New Roman" w:cs="Calibri"/>
          <w:bCs/>
          <w:sz w:val="24"/>
          <w:szCs w:val="24"/>
          <w:lang w:eastAsia="en-GB"/>
        </w:rPr>
        <w:t xml:space="preserve"> </w:t>
      </w:r>
      <w:r w:rsidR="00345866" w:rsidRPr="001268E7">
        <w:rPr>
          <w:rFonts w:eastAsia="Times New Roman" w:cs="Calibri"/>
          <w:bCs/>
          <w:sz w:val="24"/>
          <w:szCs w:val="24"/>
          <w:lang w:eastAsia="en-GB"/>
        </w:rPr>
        <w:t>Programu uczestniczy</w:t>
      </w:r>
      <w:r w:rsidR="003E77D9">
        <w:rPr>
          <w:rFonts w:eastAsia="Times New Roman" w:cs="Calibri"/>
          <w:bCs/>
          <w:sz w:val="24"/>
          <w:szCs w:val="24"/>
          <w:lang w:eastAsia="en-GB"/>
        </w:rPr>
        <w:t>li</w:t>
      </w:r>
      <w:r w:rsidR="00345866" w:rsidRPr="001268E7">
        <w:rPr>
          <w:rFonts w:eastAsia="Times New Roman" w:cs="Calibri"/>
          <w:bCs/>
          <w:sz w:val="24"/>
          <w:szCs w:val="24"/>
          <w:lang w:eastAsia="en-GB"/>
        </w:rPr>
        <w:t xml:space="preserve"> w działaniach</w:t>
      </w:r>
      <w:r w:rsidRPr="001268E7">
        <w:rPr>
          <w:rFonts w:eastAsia="Times New Roman" w:cs="Calibri"/>
          <w:bCs/>
          <w:sz w:val="24"/>
          <w:szCs w:val="24"/>
          <w:lang w:eastAsia="en-GB"/>
        </w:rPr>
        <w:t xml:space="preserve"> WST.</w:t>
      </w:r>
      <w:r w:rsidR="004B654C" w:rsidRPr="001268E7">
        <w:rPr>
          <w:rFonts w:eastAsia="Times New Roman" w:cs="Calibri"/>
          <w:bCs/>
          <w:sz w:val="24"/>
          <w:szCs w:val="24"/>
          <w:lang w:eastAsia="en-GB"/>
        </w:rPr>
        <w:t xml:space="preserve"> </w:t>
      </w:r>
      <w:r w:rsidR="00345866" w:rsidRPr="001268E7">
        <w:rPr>
          <w:rFonts w:eastAsia="Times New Roman" w:cs="Calibri"/>
          <w:bCs/>
          <w:sz w:val="24"/>
          <w:szCs w:val="24"/>
          <w:lang w:eastAsia="en-GB"/>
        </w:rPr>
        <w:t xml:space="preserve">WST i </w:t>
      </w:r>
      <w:r w:rsidRPr="001268E7">
        <w:rPr>
          <w:rFonts w:eastAsia="Times New Roman" w:cs="Calibri"/>
          <w:bCs/>
          <w:sz w:val="24"/>
          <w:szCs w:val="24"/>
          <w:lang w:eastAsia="en-GB"/>
        </w:rPr>
        <w:t xml:space="preserve">Oddział </w:t>
      </w:r>
      <w:r w:rsidR="00345866" w:rsidRPr="001268E7">
        <w:rPr>
          <w:rFonts w:eastAsia="Times New Roman" w:cs="Calibri"/>
          <w:bCs/>
          <w:sz w:val="24"/>
          <w:szCs w:val="24"/>
          <w:lang w:eastAsia="en-GB"/>
        </w:rPr>
        <w:t>współ</w:t>
      </w:r>
      <w:r w:rsidRPr="001268E7">
        <w:rPr>
          <w:rFonts w:eastAsia="Times New Roman" w:cs="Calibri"/>
          <w:bCs/>
          <w:sz w:val="24"/>
          <w:szCs w:val="24"/>
          <w:lang w:eastAsia="en-GB"/>
        </w:rPr>
        <w:t>pracują ze społeczeństwem i stronami zainteresowanym nie tylko w języku angielskim, ale również w języku polskim i rosyjskim.</w:t>
      </w:r>
    </w:p>
    <w:p w:rsidR="004B654C" w:rsidRPr="001268E7" w:rsidRDefault="007263FD" w:rsidP="007263FD">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cs="Calibri"/>
          <w:sz w:val="24"/>
          <w:szCs w:val="24"/>
          <w:lang w:eastAsia="pl-PL"/>
        </w:rPr>
        <w:lastRenderedPageBreak/>
        <w:t>Kształt struktury wewnętrznej WST wskazany zostanie w OSZiK.</w:t>
      </w:r>
      <w:r w:rsidR="004B654C" w:rsidRPr="001268E7">
        <w:rPr>
          <w:rFonts w:eastAsia="Times New Roman" w:cs="Calibri"/>
          <w:sz w:val="24"/>
          <w:szCs w:val="24"/>
          <w:lang w:eastAsia="en-GB"/>
        </w:rPr>
        <w:t xml:space="preserve"> </w:t>
      </w:r>
      <w:r w:rsidRPr="001268E7">
        <w:rPr>
          <w:rFonts w:eastAsia="Times New Roman" w:cs="Calibri"/>
          <w:sz w:val="24"/>
          <w:szCs w:val="24"/>
          <w:lang w:eastAsia="en-GB"/>
        </w:rPr>
        <w:t>Funkcje zarządzania operacyjnego i zarządzania finansami realizowane będą</w:t>
      </w:r>
      <w:r w:rsidRPr="001268E7">
        <w:rPr>
          <w:rFonts w:cs="Calibri"/>
          <w:sz w:val="24"/>
          <w:szCs w:val="24"/>
          <w:lang w:eastAsia="pl-PL"/>
        </w:rPr>
        <w:t xml:space="preserve"> oddzielnie w ramach struktur wewnątrz WST.</w:t>
      </w:r>
      <w:r w:rsidR="004B654C" w:rsidRPr="001268E7">
        <w:rPr>
          <w:rFonts w:eastAsia="Times New Roman" w:cs="Calibri"/>
          <w:sz w:val="24"/>
          <w:szCs w:val="24"/>
          <w:lang w:eastAsia="en-GB"/>
        </w:rPr>
        <w:t xml:space="preserve"> </w:t>
      </w:r>
    </w:p>
    <w:p w:rsidR="004B654C" w:rsidRPr="001268E7" w:rsidRDefault="007263FD" w:rsidP="007263FD">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cs="Calibri"/>
          <w:sz w:val="24"/>
          <w:szCs w:val="24"/>
          <w:lang w:eastAsia="pl-PL"/>
        </w:rPr>
        <w:t>Koszty funkcjonowania WST pokrywane będą z budżetu PT Programu.</w:t>
      </w:r>
    </w:p>
    <w:p w:rsidR="004B654C" w:rsidRPr="001268E7" w:rsidRDefault="007263FD" w:rsidP="007263FD">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cs="Calibri"/>
          <w:sz w:val="24"/>
          <w:szCs w:val="24"/>
          <w:lang w:eastAsia="pl-PL"/>
        </w:rPr>
        <w:t>WST odpowiedzialny będzie za realizację następujących zadań:</w:t>
      </w:r>
    </w:p>
    <w:p w:rsidR="007263FD" w:rsidRPr="001268E7" w:rsidRDefault="007263FD" w:rsidP="00246345">
      <w:pPr>
        <w:pStyle w:val="Akapitzlist"/>
        <w:numPr>
          <w:ilvl w:val="0"/>
          <w:numId w:val="53"/>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Udzielanie wsparcia w organizacji naborów wniosków:</w:t>
      </w:r>
    </w:p>
    <w:p w:rsidR="007263FD" w:rsidRPr="001268E7" w:rsidRDefault="007263FD" w:rsidP="00246345">
      <w:pPr>
        <w:pStyle w:val="Akapitzlist"/>
        <w:numPr>
          <w:ilvl w:val="0"/>
          <w:numId w:val="5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Przygotowywanie, we współpracy z IZ, wzorów dokumentów dla beneficjentów w ramach Programu (wytycznych, podręczników, instrukcji do wiążących dokumentów);</w:t>
      </w:r>
    </w:p>
    <w:p w:rsidR="007263FD" w:rsidRPr="001268E7" w:rsidRDefault="00345866" w:rsidP="00246345">
      <w:pPr>
        <w:pStyle w:val="Akapitzlist"/>
        <w:numPr>
          <w:ilvl w:val="0"/>
          <w:numId w:val="5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Ogłaszanie naborów wniosków na mocy</w:t>
      </w:r>
      <w:r w:rsidR="007263FD" w:rsidRPr="001268E7">
        <w:rPr>
          <w:rFonts w:cs="Calibri"/>
          <w:sz w:val="24"/>
          <w:szCs w:val="24"/>
          <w:lang w:eastAsia="pl-PL"/>
        </w:rPr>
        <w:t xml:space="preserve"> decyzji WKM;</w:t>
      </w:r>
    </w:p>
    <w:p w:rsidR="007263FD" w:rsidRPr="001268E7" w:rsidRDefault="007263FD" w:rsidP="00246345">
      <w:pPr>
        <w:pStyle w:val="Akapitzlist"/>
        <w:numPr>
          <w:ilvl w:val="0"/>
          <w:numId w:val="5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Otrzymywanie i rejestracja wniosków aplikacyjnych projektu;</w:t>
      </w:r>
    </w:p>
    <w:p w:rsidR="007263FD" w:rsidRPr="001268E7" w:rsidRDefault="007263FD" w:rsidP="00246345">
      <w:pPr>
        <w:pStyle w:val="Akapitzlist"/>
        <w:numPr>
          <w:ilvl w:val="0"/>
          <w:numId w:val="5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Przeprowadzanie i koordynowanie oceny administracyjnej, </w:t>
      </w:r>
      <w:r w:rsidR="00345866" w:rsidRPr="001268E7">
        <w:rPr>
          <w:rFonts w:cs="Calibri"/>
          <w:sz w:val="24"/>
          <w:szCs w:val="24"/>
          <w:lang w:eastAsia="pl-PL"/>
        </w:rPr>
        <w:t>jakości oraz</w:t>
      </w:r>
      <w:r w:rsidR="00650AC0" w:rsidRPr="001268E7">
        <w:rPr>
          <w:rFonts w:cs="Calibri"/>
          <w:sz w:val="24"/>
          <w:szCs w:val="24"/>
          <w:lang w:eastAsia="pl-PL"/>
        </w:rPr>
        <w:t xml:space="preserve"> </w:t>
      </w:r>
      <w:r w:rsidR="00345866" w:rsidRPr="001268E7">
        <w:rPr>
          <w:rFonts w:cs="Calibri"/>
          <w:sz w:val="24"/>
          <w:szCs w:val="24"/>
          <w:lang w:eastAsia="pl-PL"/>
        </w:rPr>
        <w:t xml:space="preserve">kwalifikowalności </w:t>
      </w:r>
      <w:r w:rsidRPr="001268E7">
        <w:rPr>
          <w:rFonts w:cs="Calibri"/>
          <w:sz w:val="24"/>
          <w:szCs w:val="24"/>
          <w:lang w:eastAsia="pl-PL"/>
        </w:rPr>
        <w:t>wniosków aplikacyjnych;</w:t>
      </w:r>
    </w:p>
    <w:p w:rsidR="007263FD" w:rsidRPr="001268E7" w:rsidRDefault="00345866" w:rsidP="00246345">
      <w:pPr>
        <w:pStyle w:val="Akapitzlist"/>
        <w:numPr>
          <w:ilvl w:val="0"/>
          <w:numId w:val="5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Zaangażowanie niezależnych ekspertów zewnętrznych</w:t>
      </w:r>
      <w:r w:rsidR="007263FD" w:rsidRPr="001268E7">
        <w:rPr>
          <w:rFonts w:cs="Calibri"/>
          <w:sz w:val="24"/>
          <w:szCs w:val="24"/>
          <w:lang w:eastAsia="pl-PL"/>
        </w:rPr>
        <w:t xml:space="preserve"> zarówno z Rosji, jak i z Polski, w celu przeprowadzania oceny wniosków oraz organizowanie, w razie konieczności, spotkań z udziałem ekspertów;</w:t>
      </w:r>
    </w:p>
    <w:p w:rsidR="007263FD" w:rsidRPr="001268E7" w:rsidRDefault="007263FD" w:rsidP="00246345">
      <w:pPr>
        <w:pStyle w:val="Akapitzlist"/>
        <w:numPr>
          <w:ilvl w:val="0"/>
          <w:numId w:val="5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Przygotowywanie listy rankingowej;</w:t>
      </w:r>
    </w:p>
    <w:p w:rsidR="007263FD" w:rsidRPr="001268E7" w:rsidRDefault="007263FD" w:rsidP="00246345">
      <w:pPr>
        <w:pStyle w:val="Akapitzlist"/>
        <w:numPr>
          <w:ilvl w:val="0"/>
          <w:numId w:val="5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Informowanie </w:t>
      </w:r>
      <w:r w:rsidR="00345866" w:rsidRPr="001268E7">
        <w:rPr>
          <w:rFonts w:cs="Calibri"/>
          <w:sz w:val="24"/>
          <w:szCs w:val="24"/>
          <w:lang w:eastAsia="pl-PL"/>
        </w:rPr>
        <w:t>każdego wnioskodawcy</w:t>
      </w:r>
      <w:r w:rsidRPr="001268E7">
        <w:rPr>
          <w:rFonts w:cs="Calibri"/>
          <w:sz w:val="24"/>
          <w:szCs w:val="24"/>
          <w:lang w:eastAsia="pl-PL"/>
        </w:rPr>
        <w:t xml:space="preserve"> o wynikach oc</w:t>
      </w:r>
      <w:r w:rsidR="00345866" w:rsidRPr="001268E7">
        <w:rPr>
          <w:rFonts w:cs="Calibri"/>
          <w:sz w:val="24"/>
          <w:szCs w:val="24"/>
          <w:lang w:eastAsia="pl-PL"/>
        </w:rPr>
        <w:t>eny złożonego przez niego wniosku</w:t>
      </w:r>
      <w:r w:rsidRPr="001268E7">
        <w:rPr>
          <w:rFonts w:cs="Calibri"/>
          <w:sz w:val="24"/>
          <w:szCs w:val="24"/>
          <w:lang w:eastAsia="pl-PL"/>
        </w:rPr>
        <w:t>.</w:t>
      </w:r>
    </w:p>
    <w:p w:rsidR="007263FD" w:rsidRPr="001268E7" w:rsidRDefault="007263FD" w:rsidP="00246345">
      <w:pPr>
        <w:pStyle w:val="Akapitzlist"/>
        <w:numPr>
          <w:ilvl w:val="0"/>
          <w:numId w:val="55"/>
        </w:numPr>
        <w:autoSpaceDE w:val="0"/>
        <w:autoSpaceDN w:val="0"/>
        <w:adjustRightInd w:val="0"/>
        <w:spacing w:before="100" w:beforeAutospacing="1" w:after="100" w:afterAutospacing="1" w:line="240" w:lineRule="auto"/>
        <w:jc w:val="both"/>
        <w:rPr>
          <w:rFonts w:cs="Calibri"/>
          <w:bCs/>
          <w:iCs/>
          <w:smallCaps/>
          <w:vanish/>
          <w:sz w:val="24"/>
          <w:szCs w:val="24"/>
        </w:rPr>
      </w:pPr>
      <w:r w:rsidRPr="001268E7">
        <w:rPr>
          <w:rFonts w:cs="Calibri"/>
          <w:sz w:val="24"/>
          <w:szCs w:val="24"/>
          <w:lang w:eastAsia="pl-PL"/>
        </w:rPr>
        <w:t>Udzielanie wsparcia strukturom zarządzają</w:t>
      </w:r>
      <w:r w:rsidR="00634A21" w:rsidRPr="001268E7">
        <w:rPr>
          <w:rFonts w:cs="Calibri"/>
          <w:sz w:val="24"/>
          <w:szCs w:val="24"/>
          <w:lang w:eastAsia="pl-PL"/>
        </w:rPr>
        <w:t>cym Programem (WKM, IK, KPK, GA</w:t>
      </w:r>
      <w:r w:rsidRPr="001268E7">
        <w:rPr>
          <w:rFonts w:cs="Calibri"/>
          <w:sz w:val="24"/>
          <w:szCs w:val="24"/>
          <w:lang w:eastAsia="pl-PL"/>
        </w:rPr>
        <w:t xml:space="preserve"> itd.),</w:t>
      </w:r>
      <w:r w:rsidRPr="001268E7">
        <w:rPr>
          <w:rFonts w:cs="Calibri"/>
          <w:sz w:val="24"/>
          <w:szCs w:val="24"/>
        </w:rPr>
        <w:t xml:space="preserve"> włączając następujące działania:</w:t>
      </w:r>
    </w:p>
    <w:p w:rsidR="00AD7508" w:rsidRDefault="00AD7508" w:rsidP="00246345">
      <w:pPr>
        <w:pStyle w:val="Akapitzlist"/>
        <w:numPr>
          <w:ilvl w:val="0"/>
          <w:numId w:val="56"/>
        </w:numPr>
        <w:spacing w:before="100" w:beforeAutospacing="1" w:after="100" w:afterAutospacing="1" w:line="240" w:lineRule="auto"/>
        <w:contextualSpacing w:val="0"/>
        <w:jc w:val="both"/>
        <w:rPr>
          <w:rFonts w:cs="Calibri"/>
          <w:sz w:val="24"/>
          <w:szCs w:val="24"/>
        </w:rPr>
      </w:pPr>
    </w:p>
    <w:p w:rsidR="007263FD" w:rsidRPr="001268E7" w:rsidRDefault="007263FD" w:rsidP="00246345">
      <w:pPr>
        <w:pStyle w:val="Akapitzlist"/>
        <w:numPr>
          <w:ilvl w:val="0"/>
          <w:numId w:val="5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Przygotowywanie niezbędnych materiałów, dokumentów, opinii ekspertów oraz innego wkładu na spotkania</w:t>
      </w:r>
      <w:r w:rsidR="00634A21" w:rsidRPr="001268E7">
        <w:rPr>
          <w:rFonts w:cs="Calibri"/>
          <w:sz w:val="24"/>
          <w:szCs w:val="24"/>
          <w:lang w:eastAsia="pl-PL"/>
        </w:rPr>
        <w:t>ch</w:t>
      </w:r>
      <w:r w:rsidRPr="001268E7">
        <w:rPr>
          <w:rFonts w:cs="Calibri"/>
          <w:sz w:val="24"/>
          <w:szCs w:val="24"/>
          <w:lang w:eastAsia="pl-PL"/>
        </w:rPr>
        <w:t xml:space="preserve"> struktur zarządzających Programem;</w:t>
      </w:r>
    </w:p>
    <w:p w:rsidR="007263FD" w:rsidRPr="001268E7" w:rsidRDefault="007263FD" w:rsidP="00246345">
      <w:pPr>
        <w:pStyle w:val="Akapitzlist"/>
        <w:numPr>
          <w:ilvl w:val="0"/>
          <w:numId w:val="5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Sporządzanie zaproszeń, protokołów oraz innych dokumentów z odbytych posiedzeń;</w:t>
      </w:r>
    </w:p>
    <w:p w:rsidR="007263FD" w:rsidRPr="001268E7" w:rsidRDefault="007263FD" w:rsidP="00246345">
      <w:pPr>
        <w:pStyle w:val="Akapitzlist"/>
        <w:numPr>
          <w:ilvl w:val="0"/>
          <w:numId w:val="56"/>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Udzielanie IZ/WKM wsparcia w zakresie realizacji procedur </w:t>
      </w:r>
      <w:r w:rsidR="00056C0B" w:rsidRPr="001268E7">
        <w:rPr>
          <w:rFonts w:cs="Calibri"/>
          <w:sz w:val="24"/>
          <w:szCs w:val="24"/>
          <w:lang w:eastAsia="pl-PL"/>
        </w:rPr>
        <w:t>obiegowych zgodnie z Zasadami Postępowania</w:t>
      </w:r>
      <w:r w:rsidRPr="001268E7">
        <w:rPr>
          <w:rFonts w:cs="Calibri"/>
          <w:sz w:val="24"/>
          <w:szCs w:val="24"/>
          <w:lang w:eastAsia="pl-PL"/>
        </w:rPr>
        <w:t xml:space="preserve"> WKM;</w:t>
      </w:r>
    </w:p>
    <w:p w:rsidR="007263FD" w:rsidRPr="001268E7" w:rsidRDefault="007263FD" w:rsidP="00246345">
      <w:pPr>
        <w:pStyle w:val="Akapitzlist"/>
        <w:numPr>
          <w:ilvl w:val="0"/>
          <w:numId w:val="56"/>
        </w:numPr>
        <w:spacing w:before="100" w:beforeAutospacing="1" w:after="100" w:afterAutospacing="1" w:line="240" w:lineRule="auto"/>
        <w:contextualSpacing w:val="0"/>
        <w:jc w:val="both"/>
        <w:rPr>
          <w:rFonts w:cs="Calibri"/>
          <w:sz w:val="24"/>
          <w:szCs w:val="24"/>
        </w:rPr>
      </w:pPr>
      <w:r w:rsidRPr="001268E7">
        <w:rPr>
          <w:rFonts w:cs="Calibri"/>
          <w:sz w:val="24"/>
          <w:szCs w:val="24"/>
        </w:rPr>
        <w:t>Udzielanie wsparcia informacyjnego instytucjom kraj</w:t>
      </w:r>
      <w:r w:rsidR="00634A21" w:rsidRPr="001268E7">
        <w:rPr>
          <w:rFonts w:cs="Calibri"/>
          <w:sz w:val="24"/>
          <w:szCs w:val="24"/>
        </w:rPr>
        <w:t>owym w zakresie projektów i P</w:t>
      </w:r>
      <w:r w:rsidRPr="001268E7">
        <w:rPr>
          <w:rFonts w:cs="Calibri"/>
          <w:sz w:val="24"/>
          <w:szCs w:val="24"/>
        </w:rPr>
        <w:t xml:space="preserve">rogramu na </w:t>
      </w:r>
      <w:r w:rsidR="00634A21" w:rsidRPr="001268E7">
        <w:rPr>
          <w:rFonts w:cs="Calibri"/>
          <w:sz w:val="24"/>
          <w:szCs w:val="24"/>
        </w:rPr>
        <w:t xml:space="preserve">ich </w:t>
      </w:r>
      <w:r w:rsidRPr="001268E7">
        <w:rPr>
          <w:rFonts w:cs="Calibri"/>
          <w:sz w:val="24"/>
          <w:szCs w:val="24"/>
        </w:rPr>
        <w:t>wniosek.</w:t>
      </w:r>
    </w:p>
    <w:p w:rsidR="007263FD" w:rsidRPr="001268E7" w:rsidRDefault="007263FD" w:rsidP="00246345">
      <w:pPr>
        <w:pStyle w:val="Akapitzlist"/>
        <w:numPr>
          <w:ilvl w:val="0"/>
          <w:numId w:val="57"/>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Udzielanie wsparcia wnioskodawcom i beneficjentom, włączając następujące działania:</w:t>
      </w:r>
    </w:p>
    <w:p w:rsidR="007263FD" w:rsidRPr="001268E7" w:rsidRDefault="007263FD" w:rsidP="00246345">
      <w:pPr>
        <w:pStyle w:val="Akapitzlist"/>
        <w:numPr>
          <w:ilvl w:val="0"/>
          <w:numId w:val="58"/>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Przekazywanie wszelkich informacji dotyczących zasad ap</w:t>
      </w:r>
      <w:r w:rsidR="00634A21" w:rsidRPr="001268E7">
        <w:rPr>
          <w:rFonts w:cs="Calibri"/>
          <w:sz w:val="24"/>
          <w:szCs w:val="24"/>
          <w:lang w:eastAsia="pl-PL"/>
        </w:rPr>
        <w:t xml:space="preserve">likowania o dofinansowanie </w:t>
      </w:r>
      <w:r w:rsidRPr="001268E7">
        <w:rPr>
          <w:rFonts w:cs="Calibri"/>
          <w:sz w:val="24"/>
          <w:szCs w:val="24"/>
          <w:lang w:eastAsia="pl-PL"/>
        </w:rPr>
        <w:t>dla Programu, kwalifikowalności wydatków, formularzy aplikacyjnych, procedur dofinansowania projektów, udzielania pomocy i wsparcia na każdym etapie wdrażania projektu;</w:t>
      </w:r>
    </w:p>
    <w:p w:rsidR="007263FD" w:rsidRPr="001268E7" w:rsidRDefault="007263FD" w:rsidP="00246345">
      <w:pPr>
        <w:pStyle w:val="Akapitzlist"/>
        <w:numPr>
          <w:ilvl w:val="0"/>
          <w:numId w:val="58"/>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Organizowanie niezbędnych szkoleń, forów pos</w:t>
      </w:r>
      <w:r w:rsidR="00634A21" w:rsidRPr="001268E7">
        <w:rPr>
          <w:rFonts w:cs="Calibri"/>
          <w:sz w:val="24"/>
          <w:szCs w:val="24"/>
          <w:lang w:eastAsia="pl-PL"/>
        </w:rPr>
        <w:t>zukiwania partnerów, warsztatów</w:t>
      </w:r>
      <w:r w:rsidRPr="001268E7">
        <w:rPr>
          <w:rFonts w:cs="Calibri"/>
          <w:sz w:val="24"/>
          <w:szCs w:val="24"/>
          <w:lang w:eastAsia="pl-PL"/>
        </w:rPr>
        <w:t xml:space="preserve"> itd.</w:t>
      </w:r>
    </w:p>
    <w:p w:rsidR="007263FD" w:rsidRPr="001268E7" w:rsidRDefault="007263FD" w:rsidP="00246345">
      <w:pPr>
        <w:pStyle w:val="Akapitzlist"/>
        <w:numPr>
          <w:ilvl w:val="0"/>
          <w:numId w:val="58"/>
        </w:numPr>
        <w:spacing w:before="100" w:beforeAutospacing="1" w:after="100" w:afterAutospacing="1" w:line="240" w:lineRule="auto"/>
        <w:contextualSpacing w:val="0"/>
        <w:jc w:val="both"/>
        <w:rPr>
          <w:rFonts w:cs="Calibri"/>
          <w:sz w:val="24"/>
          <w:szCs w:val="24"/>
        </w:rPr>
      </w:pPr>
      <w:r w:rsidRPr="001268E7">
        <w:rPr>
          <w:rFonts w:cs="Calibri"/>
          <w:sz w:val="24"/>
          <w:szCs w:val="24"/>
        </w:rPr>
        <w:t>W przypadkach problemowych, kontaktowanie się ze wszystkimi partnerami projektu (nie tylko z głównym partnerem) oraz udzielanie wsparcia w zakresie rozwiązywania problemów.</w:t>
      </w:r>
    </w:p>
    <w:p w:rsidR="007263FD" w:rsidRPr="001268E7" w:rsidRDefault="007263FD" w:rsidP="00246345">
      <w:pPr>
        <w:pStyle w:val="Akapitzlist"/>
        <w:numPr>
          <w:ilvl w:val="0"/>
          <w:numId w:val="59"/>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lastRenderedPageBreak/>
        <w:t>Przekazywanie informacji na temat Programu i promowanie go, włączając następujące działania:</w:t>
      </w:r>
    </w:p>
    <w:p w:rsidR="007263FD" w:rsidRPr="001268E7" w:rsidRDefault="007263FD" w:rsidP="00246345">
      <w:pPr>
        <w:pStyle w:val="Akapitzlist"/>
        <w:numPr>
          <w:ilvl w:val="0"/>
          <w:numId w:val="6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Publikowanie i rozpowszechnianie ulotek i innych materiałów informacyjnych służących promocji Programu;</w:t>
      </w:r>
    </w:p>
    <w:p w:rsidR="007263FD" w:rsidRPr="001268E7" w:rsidRDefault="007263FD" w:rsidP="00246345">
      <w:pPr>
        <w:pStyle w:val="Akapitzlist"/>
        <w:numPr>
          <w:ilvl w:val="0"/>
          <w:numId w:val="6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Organizowanie konferencji i seminariów adresowanych do wnioskodawców i beneficjentów;</w:t>
      </w:r>
    </w:p>
    <w:p w:rsidR="007263FD" w:rsidRPr="001268E7" w:rsidRDefault="007263FD" w:rsidP="00246345">
      <w:pPr>
        <w:pStyle w:val="Akapitzlist"/>
        <w:numPr>
          <w:ilvl w:val="0"/>
          <w:numId w:val="6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Organizowanie szkoleń i warsztatów dla beneficjentów;</w:t>
      </w:r>
    </w:p>
    <w:p w:rsidR="007263FD" w:rsidRPr="001268E7" w:rsidRDefault="007263FD" w:rsidP="00246345">
      <w:pPr>
        <w:pStyle w:val="Akapitzlist"/>
        <w:numPr>
          <w:ilvl w:val="0"/>
          <w:numId w:val="6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Prowadzenie i aktualizowanie strony internetowej Programu;</w:t>
      </w:r>
    </w:p>
    <w:p w:rsidR="007263FD" w:rsidRPr="001268E7" w:rsidRDefault="007263FD" w:rsidP="00246345">
      <w:pPr>
        <w:pStyle w:val="Akapitzlist"/>
        <w:numPr>
          <w:ilvl w:val="0"/>
          <w:numId w:val="6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Rozpowszechnianie publikacji;</w:t>
      </w:r>
    </w:p>
    <w:p w:rsidR="007263FD" w:rsidRPr="001268E7" w:rsidRDefault="007263FD" w:rsidP="00246345">
      <w:pPr>
        <w:pStyle w:val="Akapitzlist"/>
        <w:numPr>
          <w:ilvl w:val="0"/>
          <w:numId w:val="6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Współpraca z mediami w zakresie informowania o możliwościach uzyskania pomocy w ramach Programu;</w:t>
      </w:r>
    </w:p>
    <w:p w:rsidR="007263FD" w:rsidRPr="001268E7" w:rsidRDefault="007263FD" w:rsidP="00246345">
      <w:pPr>
        <w:pStyle w:val="Akapitzlist"/>
        <w:numPr>
          <w:ilvl w:val="0"/>
          <w:numId w:val="6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Przygotowywanie rocznego planu </w:t>
      </w:r>
      <w:r w:rsidR="00634A21" w:rsidRPr="001268E7">
        <w:rPr>
          <w:rFonts w:cs="Calibri"/>
          <w:sz w:val="24"/>
          <w:szCs w:val="24"/>
          <w:lang w:eastAsia="pl-PL"/>
        </w:rPr>
        <w:t>działań informacyjnych i promocyjnych</w:t>
      </w:r>
      <w:r w:rsidRPr="001268E7">
        <w:rPr>
          <w:rFonts w:cs="Calibri"/>
          <w:sz w:val="24"/>
          <w:szCs w:val="24"/>
          <w:lang w:eastAsia="pl-PL"/>
        </w:rPr>
        <w:t xml:space="preserve"> w ramach Programu wraz z szacunkowym budżetem, a także przekazywanie ww. planu do IZ;</w:t>
      </w:r>
    </w:p>
    <w:p w:rsidR="007263FD" w:rsidRPr="00FE4921" w:rsidRDefault="007263FD" w:rsidP="00246345">
      <w:pPr>
        <w:pStyle w:val="Akapitzlist"/>
        <w:numPr>
          <w:ilvl w:val="0"/>
          <w:numId w:val="60"/>
        </w:numPr>
        <w:spacing w:before="100" w:beforeAutospacing="1" w:after="100" w:afterAutospacing="1" w:line="240" w:lineRule="auto"/>
        <w:contextualSpacing w:val="0"/>
        <w:jc w:val="both"/>
        <w:rPr>
          <w:rFonts w:cs="Calibri"/>
          <w:bCs/>
          <w:iCs/>
          <w:smallCaps/>
          <w:vanish/>
          <w:sz w:val="24"/>
          <w:szCs w:val="24"/>
        </w:rPr>
      </w:pPr>
      <w:r w:rsidRPr="00FE4921">
        <w:rPr>
          <w:rFonts w:cs="Calibri"/>
          <w:sz w:val="24"/>
          <w:szCs w:val="24"/>
          <w:lang w:eastAsia="pl-PL"/>
        </w:rPr>
        <w:t>Zapewnienie, aby beneficjenci spełniali wymogi</w:t>
      </w:r>
      <w:r w:rsidR="00FE4921" w:rsidRPr="00FE4921">
        <w:rPr>
          <w:rFonts w:cs="Calibri"/>
          <w:sz w:val="24"/>
          <w:szCs w:val="24"/>
          <w:lang w:eastAsia="pl-PL"/>
        </w:rPr>
        <w:t xml:space="preserve"> UE i</w:t>
      </w:r>
      <w:r w:rsidRPr="00FE4921">
        <w:rPr>
          <w:rFonts w:cs="Calibri"/>
          <w:sz w:val="24"/>
          <w:szCs w:val="24"/>
          <w:lang w:eastAsia="pl-PL"/>
        </w:rPr>
        <w:t xml:space="preserve"> Pr</w:t>
      </w:r>
      <w:r w:rsidR="00634A21" w:rsidRPr="00FE4921">
        <w:rPr>
          <w:rFonts w:cs="Calibri"/>
          <w:sz w:val="24"/>
          <w:szCs w:val="24"/>
          <w:lang w:eastAsia="pl-PL"/>
        </w:rPr>
        <w:t>ogramu</w:t>
      </w:r>
      <w:r w:rsidR="00575F80" w:rsidRPr="00FE4921">
        <w:rPr>
          <w:rFonts w:cs="Calibri"/>
          <w:sz w:val="24"/>
          <w:szCs w:val="24"/>
          <w:lang w:eastAsia="pl-PL"/>
        </w:rPr>
        <w:t xml:space="preserve"> w zakresie widoczności </w:t>
      </w:r>
      <w:r w:rsidR="00FE4921" w:rsidRPr="00FE4921">
        <w:rPr>
          <w:rFonts w:cs="Calibri"/>
          <w:sz w:val="24"/>
          <w:szCs w:val="24"/>
          <w:lang w:eastAsia="pl-PL"/>
        </w:rPr>
        <w:t>na całym obszarze wsparcia Programu,</w:t>
      </w:r>
      <w:r w:rsidRPr="00FE4921">
        <w:rPr>
          <w:rFonts w:cs="Calibri"/>
          <w:sz w:val="24"/>
          <w:szCs w:val="24"/>
        </w:rPr>
        <w:t xml:space="preserve"> jak również </w:t>
      </w:r>
      <w:r w:rsidR="00575F80" w:rsidRPr="00FE4921">
        <w:rPr>
          <w:rFonts w:cs="Calibri"/>
          <w:sz w:val="24"/>
          <w:szCs w:val="24"/>
        </w:rPr>
        <w:t>rosyjskie wymogi w zakresie widoczności</w:t>
      </w:r>
      <w:r w:rsidRPr="00FE4921">
        <w:rPr>
          <w:rFonts w:cs="Calibri"/>
          <w:sz w:val="24"/>
          <w:szCs w:val="24"/>
        </w:rPr>
        <w:t xml:space="preserve"> na terytorium Federacji Rosyjskiej.</w:t>
      </w:r>
    </w:p>
    <w:p w:rsidR="00C85E0C" w:rsidRPr="00FE4921" w:rsidRDefault="00C85E0C" w:rsidP="00246345">
      <w:pPr>
        <w:pStyle w:val="Akapitzlist"/>
        <w:numPr>
          <w:ilvl w:val="0"/>
          <w:numId w:val="61"/>
        </w:numPr>
        <w:autoSpaceDE w:val="0"/>
        <w:autoSpaceDN w:val="0"/>
        <w:adjustRightInd w:val="0"/>
        <w:spacing w:before="100" w:beforeAutospacing="1" w:after="100" w:afterAutospacing="1" w:line="240" w:lineRule="auto"/>
        <w:jc w:val="both"/>
        <w:rPr>
          <w:rFonts w:cs="Calibri"/>
          <w:bCs/>
          <w:sz w:val="24"/>
          <w:szCs w:val="24"/>
          <w:highlight w:val="yellow"/>
        </w:rPr>
      </w:pPr>
    </w:p>
    <w:p w:rsidR="007263FD" w:rsidRPr="001268E7" w:rsidRDefault="007263FD" w:rsidP="00246345">
      <w:pPr>
        <w:pStyle w:val="Akapitzlist"/>
        <w:numPr>
          <w:ilvl w:val="0"/>
          <w:numId w:val="61"/>
        </w:numPr>
        <w:autoSpaceDE w:val="0"/>
        <w:autoSpaceDN w:val="0"/>
        <w:adjustRightInd w:val="0"/>
        <w:spacing w:before="100" w:beforeAutospacing="1" w:after="100" w:afterAutospacing="1" w:line="240" w:lineRule="auto"/>
        <w:jc w:val="both"/>
        <w:rPr>
          <w:rFonts w:cs="Calibri"/>
          <w:bCs/>
          <w:sz w:val="24"/>
          <w:szCs w:val="24"/>
        </w:rPr>
      </w:pPr>
      <w:r w:rsidRPr="001268E7">
        <w:rPr>
          <w:rFonts w:cs="Calibri"/>
          <w:sz w:val="24"/>
          <w:szCs w:val="24"/>
          <w:lang w:eastAsia="pl-PL"/>
        </w:rPr>
        <w:t>Działania komunikacyjne i informacyjne oraz udzielanie IZ pomocy w zakresie zarządzania projektami oraz monitorowania wdrażania projektów, włączając wspieranie beneficjentów obydwu państw w następującym zakresie:</w:t>
      </w:r>
    </w:p>
    <w:p w:rsidR="007263F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Współpraca z IZ w ramach procesu wdrażania i korzystania z elektronicznego systemu mającego na celu gromadzenie i przetwarzanie danych finansowych i statystycznych dotyczących Programu i projektów;</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Przygotowywanie analiz, wykazów i raportów bieżących, a tak</w:t>
      </w:r>
      <w:r w:rsidR="00634A21" w:rsidRPr="001268E7">
        <w:rPr>
          <w:rFonts w:cs="Calibri"/>
          <w:sz w:val="24"/>
          <w:szCs w:val="24"/>
          <w:lang w:eastAsia="pl-PL"/>
        </w:rPr>
        <w:t>że raportów rocznych i końcowych</w:t>
      </w:r>
      <w:r w:rsidRPr="001268E7">
        <w:rPr>
          <w:rFonts w:cs="Calibri"/>
          <w:sz w:val="24"/>
          <w:szCs w:val="24"/>
          <w:lang w:eastAsia="pl-PL"/>
        </w:rPr>
        <w:t xml:space="preserve"> na temat realizacji Programu i przekazywanie ich do IZ;</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Przygotowywanie, zarządzanie i mo</w:t>
      </w:r>
      <w:r w:rsidR="009E5F22" w:rsidRPr="001268E7">
        <w:rPr>
          <w:rFonts w:cs="Calibri"/>
          <w:sz w:val="24"/>
          <w:szCs w:val="24"/>
          <w:lang w:eastAsia="pl-PL"/>
        </w:rPr>
        <w:t>nitorowanie umów serwisowych z O</w:t>
      </w:r>
      <w:r w:rsidRPr="001268E7">
        <w:rPr>
          <w:rFonts w:cs="Calibri"/>
          <w:sz w:val="24"/>
          <w:szCs w:val="24"/>
          <w:lang w:eastAsia="pl-PL"/>
        </w:rPr>
        <w:t>ddział</w:t>
      </w:r>
      <w:r w:rsidR="009E5F22" w:rsidRPr="001268E7">
        <w:rPr>
          <w:rFonts w:cs="Calibri"/>
          <w:sz w:val="24"/>
          <w:szCs w:val="24"/>
          <w:lang w:eastAsia="pl-PL"/>
        </w:rPr>
        <w:t>em</w:t>
      </w:r>
      <w:r w:rsidRPr="001268E7">
        <w:rPr>
          <w:rFonts w:cs="Calibri"/>
          <w:sz w:val="24"/>
          <w:szCs w:val="24"/>
          <w:lang w:eastAsia="pl-PL"/>
        </w:rPr>
        <w:t xml:space="preserve"> (we współpracy z jednostkami IZ do spraw finansów i płatności oraz rosyjską IK w odniesieniu do Oddziału na terytorium Rosji);</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Monitorowanie budżetu PT (np. umów WST z usługodawcami, w</w:t>
      </w:r>
      <w:r w:rsidR="009E5F22" w:rsidRPr="001268E7">
        <w:rPr>
          <w:rFonts w:cs="Calibri"/>
          <w:sz w:val="24"/>
          <w:szCs w:val="24"/>
          <w:lang w:eastAsia="pl-PL"/>
        </w:rPr>
        <w:t>ykorzystania środków, relokacji</w:t>
      </w:r>
      <w:r w:rsidRPr="001268E7">
        <w:rPr>
          <w:rFonts w:cs="Calibri"/>
          <w:sz w:val="24"/>
          <w:szCs w:val="24"/>
          <w:lang w:eastAsia="pl-PL"/>
        </w:rPr>
        <w:t xml:space="preserve"> itd.);</w:t>
      </w:r>
    </w:p>
    <w:p w:rsidR="009E5F22"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We współpracy z jednostką płatni</w:t>
      </w:r>
      <w:r w:rsidR="009E5F22" w:rsidRPr="001268E7">
        <w:rPr>
          <w:rFonts w:cs="Calibri"/>
          <w:sz w:val="24"/>
          <w:szCs w:val="24"/>
          <w:lang w:eastAsia="pl-PL"/>
        </w:rPr>
        <w:t>czą, przygotowywanie projektów Umów o D</w:t>
      </w:r>
      <w:r w:rsidRPr="001268E7">
        <w:rPr>
          <w:rFonts w:cs="Calibri"/>
          <w:sz w:val="24"/>
          <w:szCs w:val="24"/>
          <w:lang w:eastAsia="pl-PL"/>
        </w:rPr>
        <w:t>ofinansowanie, przekazywanie ich IZ do podpisu i</w:t>
      </w:r>
      <w:r w:rsidR="009E5F22" w:rsidRPr="001268E7">
        <w:rPr>
          <w:rFonts w:cs="Calibri"/>
          <w:sz w:val="24"/>
          <w:szCs w:val="24"/>
          <w:lang w:eastAsia="pl-PL"/>
        </w:rPr>
        <w:t xml:space="preserve"> wysyła</w:t>
      </w:r>
      <w:r w:rsidR="00575F80" w:rsidRPr="001268E7">
        <w:rPr>
          <w:rFonts w:cs="Calibri"/>
          <w:sz w:val="24"/>
          <w:szCs w:val="24"/>
          <w:lang w:eastAsia="pl-PL"/>
        </w:rPr>
        <w:t>nie ich w imieniu IZ do Wiodących</w:t>
      </w:r>
      <w:r w:rsidR="009E5F22" w:rsidRPr="001268E7">
        <w:rPr>
          <w:rFonts w:cs="Calibri"/>
          <w:sz w:val="24"/>
          <w:szCs w:val="24"/>
          <w:lang w:eastAsia="pl-PL"/>
        </w:rPr>
        <w:t xml:space="preserve"> B</w:t>
      </w:r>
      <w:r w:rsidRPr="001268E7">
        <w:rPr>
          <w:rFonts w:cs="Calibri"/>
          <w:sz w:val="24"/>
          <w:szCs w:val="24"/>
          <w:lang w:eastAsia="pl-PL"/>
        </w:rPr>
        <w:t xml:space="preserve">eneficjentów w celu podpisania, a także, w razie potrzeby, przygotowywanie aneksów do zawartych umów; </w:t>
      </w:r>
    </w:p>
    <w:p w:rsidR="008F084D" w:rsidRPr="001268E7" w:rsidRDefault="009E5F22"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Udzielanie</w:t>
      </w:r>
      <w:r w:rsidR="008F084D" w:rsidRPr="001268E7">
        <w:rPr>
          <w:rFonts w:cs="Calibri"/>
          <w:sz w:val="24"/>
          <w:szCs w:val="24"/>
          <w:lang w:eastAsia="pl-PL"/>
        </w:rPr>
        <w:t xml:space="preserve"> wsparcia GA;</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Przeprowadzanie weryfikacji formalnej i finansowej na podstawie odpowiednich list kontrolnych raportów pośrednich i końcowych otrzymywanych od beneficjentów</w:t>
      </w:r>
      <w:r w:rsidR="00C85E0C">
        <w:rPr>
          <w:rFonts w:cs="Calibri"/>
          <w:sz w:val="24"/>
          <w:szCs w:val="24"/>
          <w:lang w:eastAsia="pl-PL"/>
        </w:rPr>
        <w:t xml:space="preserve"> (z wyjątkiem beneficjentów Pomocy Technicznej);</w:t>
      </w:r>
      <w:r w:rsidRPr="001268E7">
        <w:rPr>
          <w:rFonts w:cs="Calibri"/>
          <w:sz w:val="24"/>
          <w:szCs w:val="24"/>
          <w:lang w:eastAsia="pl-PL"/>
        </w:rPr>
        <w:t xml:space="preserve"> </w:t>
      </w:r>
    </w:p>
    <w:p w:rsidR="008F084D" w:rsidRDefault="00612FD4" w:rsidP="00246345">
      <w:pPr>
        <w:pStyle w:val="Akapitzlist"/>
        <w:numPr>
          <w:ilvl w:val="0"/>
          <w:numId w:val="62"/>
        </w:numPr>
        <w:spacing w:before="100" w:beforeAutospacing="1" w:after="100" w:afterAutospacing="1" w:line="240" w:lineRule="auto"/>
        <w:contextualSpacing w:val="0"/>
        <w:jc w:val="both"/>
        <w:rPr>
          <w:rFonts w:cs="Calibri"/>
          <w:sz w:val="24"/>
          <w:szCs w:val="24"/>
        </w:rPr>
      </w:pPr>
      <w:r>
        <w:rPr>
          <w:rFonts w:cs="Calibri"/>
          <w:sz w:val="24"/>
          <w:szCs w:val="24"/>
          <w:lang w:eastAsia="pl-PL"/>
        </w:rPr>
        <w:t>Przygotowywanie</w:t>
      </w:r>
      <w:r w:rsidRPr="001268E7">
        <w:rPr>
          <w:rFonts w:cs="Calibri"/>
          <w:sz w:val="24"/>
          <w:szCs w:val="24"/>
          <w:lang w:eastAsia="pl-PL"/>
        </w:rPr>
        <w:t xml:space="preserve"> </w:t>
      </w:r>
      <w:r w:rsidR="008F084D" w:rsidRPr="001268E7">
        <w:rPr>
          <w:rFonts w:cs="Calibri"/>
          <w:sz w:val="24"/>
          <w:szCs w:val="24"/>
          <w:lang w:eastAsia="pl-PL"/>
        </w:rPr>
        <w:t xml:space="preserve">wniosków o płatność </w:t>
      </w:r>
      <w:r w:rsidR="009E5F22" w:rsidRPr="001268E7">
        <w:rPr>
          <w:rFonts w:cs="Calibri"/>
          <w:sz w:val="24"/>
          <w:szCs w:val="24"/>
          <w:lang w:eastAsia="pl-PL"/>
        </w:rPr>
        <w:t>i</w:t>
      </w:r>
      <w:r w:rsidR="008F084D" w:rsidRPr="001268E7">
        <w:rPr>
          <w:rFonts w:cs="Calibri"/>
          <w:sz w:val="24"/>
          <w:szCs w:val="24"/>
          <w:lang w:eastAsia="pl-PL"/>
        </w:rPr>
        <w:t xml:space="preserve"> przekazywanie ich jednostce płatniczej IZ;</w:t>
      </w:r>
    </w:p>
    <w:p w:rsidR="00AD7508" w:rsidRPr="001268E7" w:rsidRDefault="00AD7508" w:rsidP="00246345">
      <w:pPr>
        <w:pStyle w:val="Akapitzlist"/>
        <w:numPr>
          <w:ilvl w:val="0"/>
          <w:numId w:val="62"/>
        </w:numPr>
        <w:spacing w:before="100" w:beforeAutospacing="1" w:after="100" w:afterAutospacing="1" w:line="240" w:lineRule="auto"/>
        <w:contextualSpacing w:val="0"/>
        <w:jc w:val="both"/>
        <w:rPr>
          <w:rFonts w:cs="Calibri"/>
          <w:sz w:val="24"/>
          <w:szCs w:val="24"/>
        </w:rPr>
      </w:pPr>
      <w:r>
        <w:rPr>
          <w:rFonts w:cs="Calibri"/>
          <w:sz w:val="24"/>
          <w:szCs w:val="24"/>
          <w:lang w:eastAsia="pl-PL"/>
        </w:rPr>
        <w:t>Uwzględnianie wyników wszystkich audytów przeprowadzonych przez IA lub na ich odpowiedzialność przy sporządzaniu i przekazywaniu wniosków o płatność;</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Przeprowadzanie kontroli na miejscu oraz wizyt monitorujących;</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Weryfikacja proponowanych przez</w:t>
      </w:r>
      <w:r w:rsidR="00575F80" w:rsidRPr="001268E7">
        <w:rPr>
          <w:rFonts w:cs="Calibri"/>
          <w:sz w:val="24"/>
          <w:szCs w:val="24"/>
          <w:lang w:eastAsia="pl-PL"/>
        </w:rPr>
        <w:t xml:space="preserve"> Wiodących B</w:t>
      </w:r>
      <w:r w:rsidR="009E5F22" w:rsidRPr="001268E7">
        <w:rPr>
          <w:rFonts w:cs="Calibri"/>
          <w:sz w:val="24"/>
          <w:szCs w:val="24"/>
          <w:lang w:eastAsia="pl-PL"/>
        </w:rPr>
        <w:t xml:space="preserve">eneficjentów </w:t>
      </w:r>
      <w:r w:rsidRPr="001268E7">
        <w:rPr>
          <w:rFonts w:cs="Calibri"/>
          <w:sz w:val="24"/>
          <w:szCs w:val="24"/>
          <w:lang w:eastAsia="pl-PL"/>
        </w:rPr>
        <w:t>zmian w projektach (zarówno drobnych jak i znaczących);</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Współpraca z organizacjami, instytucjami i sieciami w zakresie istotnym z punktu widzenia realizacji celów Programu;</w:t>
      </w:r>
    </w:p>
    <w:p w:rsidR="008F084D" w:rsidRPr="001268E7" w:rsidRDefault="008F084D" w:rsidP="00246345">
      <w:pPr>
        <w:pStyle w:val="Akapitzlist"/>
        <w:numPr>
          <w:ilvl w:val="0"/>
          <w:numId w:val="6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lastRenderedPageBreak/>
        <w:t>Informowanie IZ o wykrytych nieprawidłowościach.</w:t>
      </w:r>
    </w:p>
    <w:p w:rsidR="008F084D" w:rsidRPr="001268E7" w:rsidRDefault="008F084D" w:rsidP="00246345">
      <w:pPr>
        <w:pStyle w:val="Akapitzlist"/>
        <w:numPr>
          <w:ilvl w:val="0"/>
          <w:numId w:val="63"/>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Przechowywanie wszystkich dokumentów dotyczących realizacji projektów i Programu, w szczególności dokumentów dotyczących wydatków i kontroli wymaganych do zapewnienia właściwej ścieżki audytu.</w:t>
      </w:r>
      <w:r w:rsidRPr="001268E7">
        <w:rPr>
          <w:rFonts w:cs="Calibri"/>
          <w:sz w:val="24"/>
          <w:szCs w:val="24"/>
        </w:rPr>
        <w:t xml:space="preserve"> </w:t>
      </w:r>
    </w:p>
    <w:p w:rsidR="004B654C" w:rsidRPr="001268E7" w:rsidRDefault="008F084D" w:rsidP="008F084D">
      <w:pPr>
        <w:spacing w:before="100" w:beforeAutospacing="1" w:after="100" w:afterAutospacing="1" w:line="240" w:lineRule="auto"/>
        <w:jc w:val="both"/>
        <w:rPr>
          <w:rStyle w:val="Wyrnieniedelikatne"/>
          <w:szCs w:val="24"/>
        </w:rPr>
      </w:pPr>
      <w:r w:rsidRPr="001268E7">
        <w:rPr>
          <w:rStyle w:val="Wyrnieniedelikatne"/>
          <w:szCs w:val="24"/>
        </w:rPr>
        <w:t xml:space="preserve">Oddział WST i </w:t>
      </w:r>
      <w:r w:rsidR="009C6898">
        <w:rPr>
          <w:rStyle w:val="Wyrnieniedelikatne"/>
          <w:szCs w:val="24"/>
        </w:rPr>
        <w:t>jego</w:t>
      </w:r>
      <w:r w:rsidRPr="001268E7">
        <w:rPr>
          <w:rStyle w:val="Wyrnieniedelikatne"/>
          <w:szCs w:val="24"/>
        </w:rPr>
        <w:t xml:space="preserve"> funkcje</w:t>
      </w:r>
    </w:p>
    <w:p w:rsidR="004B654C" w:rsidRPr="001268E7" w:rsidRDefault="000A0032" w:rsidP="000A0032">
      <w:pPr>
        <w:spacing w:before="100" w:beforeAutospacing="1" w:after="100" w:afterAutospacing="1" w:line="240" w:lineRule="auto"/>
        <w:jc w:val="both"/>
        <w:rPr>
          <w:rFonts w:cs="Calibri"/>
          <w:sz w:val="24"/>
          <w:szCs w:val="24"/>
        </w:rPr>
      </w:pPr>
      <w:r w:rsidRPr="001268E7">
        <w:rPr>
          <w:rFonts w:cs="Calibri"/>
          <w:sz w:val="24"/>
          <w:szCs w:val="24"/>
          <w:lang w:eastAsia="pl-PL"/>
        </w:rPr>
        <w:t>W wyniku podjęcia decyzji przez państwa uczestniczące</w:t>
      </w:r>
      <w:r w:rsidR="009E5F22" w:rsidRPr="001268E7">
        <w:rPr>
          <w:rFonts w:cs="Calibri"/>
          <w:sz w:val="24"/>
          <w:szCs w:val="24"/>
          <w:lang w:eastAsia="pl-PL"/>
        </w:rPr>
        <w:t>,</w:t>
      </w:r>
      <w:r w:rsidRPr="001268E7">
        <w:rPr>
          <w:rFonts w:cs="Calibri"/>
          <w:sz w:val="24"/>
          <w:szCs w:val="24"/>
          <w:lang w:eastAsia="pl-PL"/>
        </w:rPr>
        <w:t xml:space="preserve"> utworzony zostanie Oddział w Kaliningradzie (Rosja).</w:t>
      </w:r>
      <w:r w:rsidR="004B654C" w:rsidRPr="001268E7">
        <w:rPr>
          <w:rFonts w:cs="Calibri"/>
          <w:sz w:val="24"/>
          <w:szCs w:val="24"/>
        </w:rPr>
        <w:t xml:space="preserve"> </w:t>
      </w:r>
      <w:r w:rsidRPr="001268E7">
        <w:rPr>
          <w:rFonts w:cs="Calibri"/>
          <w:sz w:val="24"/>
          <w:szCs w:val="24"/>
        </w:rPr>
        <w:t>Oddział będzie funkcjonować we współpracy i pod nadzorem WST.</w:t>
      </w:r>
      <w:r w:rsidR="00096306" w:rsidRPr="001268E7">
        <w:rPr>
          <w:rFonts w:cs="Calibri"/>
          <w:sz w:val="24"/>
          <w:szCs w:val="24"/>
        </w:rPr>
        <w:t xml:space="preserve"> </w:t>
      </w:r>
      <w:r w:rsidR="002A64F3">
        <w:rPr>
          <w:rFonts w:cs="Calibri"/>
          <w:sz w:val="24"/>
          <w:szCs w:val="24"/>
        </w:rPr>
        <w:t>Dzięki rekomendacji Rosyjskiej Instytucji Krajowej oraz władz regionalnych organizacją goszczącą Oddział w Kaliningradzie będzie Kaliningradzka Regionalna Organizacja „</w:t>
      </w:r>
      <w:r w:rsidR="002A64F3" w:rsidRPr="00F4406E">
        <w:rPr>
          <w:rFonts w:asciiTheme="minorHAnsi" w:hAnsiTheme="minorHAnsi" w:cstheme="minorHAnsi"/>
          <w:sz w:val="24"/>
          <w:szCs w:val="24"/>
        </w:rPr>
        <w:t xml:space="preserve">Transboundary Initiatives Support Center”. </w:t>
      </w:r>
      <w:r w:rsidR="002A64F3">
        <w:rPr>
          <w:rFonts w:cs="Calibri"/>
          <w:sz w:val="24"/>
          <w:szCs w:val="24"/>
        </w:rPr>
        <w:t>Jego</w:t>
      </w:r>
      <w:r w:rsidRPr="001268E7">
        <w:rPr>
          <w:rFonts w:cs="Calibri"/>
          <w:sz w:val="24"/>
          <w:szCs w:val="24"/>
          <w:lang w:eastAsia="pl-PL"/>
        </w:rPr>
        <w:t xml:space="preserve"> rola może obejmować między innymi:</w:t>
      </w:r>
    </w:p>
    <w:p w:rsidR="000A0032" w:rsidRPr="001268E7" w:rsidRDefault="000A0032"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konsultowanie się z krajowymi i regionalnymi instytucjami w sprawach związanych z Programem</w:t>
      </w:r>
      <w:r w:rsidR="00F425F7" w:rsidRPr="001268E7">
        <w:rPr>
          <w:rFonts w:cs="Calibri"/>
          <w:sz w:val="24"/>
          <w:szCs w:val="24"/>
        </w:rPr>
        <w:t>,</w:t>
      </w:r>
      <w:r w:rsidRPr="001268E7">
        <w:rPr>
          <w:rFonts w:cs="Calibri"/>
          <w:sz w:val="24"/>
          <w:szCs w:val="24"/>
        </w:rPr>
        <w:t xml:space="preserve"> na ich wniosek</w:t>
      </w:r>
      <w:r w:rsidR="00235268">
        <w:rPr>
          <w:rFonts w:cs="Calibri"/>
          <w:sz w:val="24"/>
          <w:szCs w:val="24"/>
        </w:rPr>
        <w:t>;</w:t>
      </w:r>
    </w:p>
    <w:p w:rsidR="000A0032" w:rsidRPr="001268E7" w:rsidRDefault="000A0032"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wdrażanie planu informacji i komunikacji;</w:t>
      </w:r>
    </w:p>
    <w:p w:rsidR="000A0032" w:rsidRPr="001268E7" w:rsidRDefault="009E5F22"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działania</w:t>
      </w:r>
      <w:r w:rsidR="00F425F7" w:rsidRPr="001268E7">
        <w:rPr>
          <w:rFonts w:cs="Calibri"/>
          <w:sz w:val="24"/>
          <w:szCs w:val="24"/>
        </w:rPr>
        <w:t xml:space="preserve"> w zakresie komunikacji i informacji zgodnie z komunikacyjną strategią Programu, rocznymi planami komunikacji oraz wymaganiami określonymi w rosyjskich przepisach pr</w:t>
      </w:r>
      <w:r w:rsidRPr="001268E7">
        <w:rPr>
          <w:rFonts w:cs="Calibri"/>
          <w:sz w:val="24"/>
          <w:szCs w:val="24"/>
        </w:rPr>
        <w:t>awa oraz w Wytycznych</w:t>
      </w:r>
      <w:r w:rsidR="00575F80" w:rsidRPr="001268E7">
        <w:rPr>
          <w:rFonts w:cs="Calibri"/>
          <w:sz w:val="24"/>
          <w:szCs w:val="24"/>
        </w:rPr>
        <w:t xml:space="preserve"> </w:t>
      </w:r>
      <w:r w:rsidR="000C0727">
        <w:rPr>
          <w:rFonts w:cs="Calibri"/>
          <w:sz w:val="24"/>
          <w:szCs w:val="24"/>
        </w:rPr>
        <w:t>Programu</w:t>
      </w:r>
      <w:r w:rsidR="000C0727" w:rsidRPr="001268E7">
        <w:rPr>
          <w:rFonts w:cs="Calibri"/>
          <w:sz w:val="24"/>
          <w:szCs w:val="24"/>
        </w:rPr>
        <w:t xml:space="preserve"> </w:t>
      </w:r>
      <w:r w:rsidR="00575F80" w:rsidRPr="001268E7">
        <w:rPr>
          <w:rFonts w:cs="Calibri"/>
          <w:sz w:val="24"/>
          <w:szCs w:val="24"/>
        </w:rPr>
        <w:t>w zakresie Widoczności</w:t>
      </w:r>
      <w:r w:rsidR="00F425F7" w:rsidRPr="001268E7">
        <w:rPr>
          <w:rFonts w:cs="Calibri"/>
          <w:sz w:val="24"/>
          <w:szCs w:val="24"/>
        </w:rPr>
        <w:t xml:space="preserve"> we współpracy z WST;</w:t>
      </w:r>
    </w:p>
    <w:p w:rsidR="00F425F7" w:rsidRPr="001268E7" w:rsidRDefault="00F425F7"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wspier</w:t>
      </w:r>
      <w:r w:rsidR="009E5F22" w:rsidRPr="001268E7">
        <w:rPr>
          <w:rFonts w:cs="Calibri"/>
          <w:sz w:val="24"/>
          <w:szCs w:val="24"/>
        </w:rPr>
        <w:t>anie IZ w zakresie przygotowania</w:t>
      </w:r>
      <w:r w:rsidRPr="001268E7">
        <w:rPr>
          <w:rFonts w:cs="Calibri"/>
          <w:sz w:val="24"/>
          <w:szCs w:val="24"/>
        </w:rPr>
        <w:t xml:space="preserve"> rozmaitych dok</w:t>
      </w:r>
      <w:r w:rsidR="009E5F22" w:rsidRPr="001268E7">
        <w:rPr>
          <w:rFonts w:cs="Calibri"/>
          <w:sz w:val="24"/>
          <w:szCs w:val="24"/>
        </w:rPr>
        <w:t>umentów Programu, w tym wytycznych dotyczących</w:t>
      </w:r>
      <w:r w:rsidRPr="001268E7">
        <w:rPr>
          <w:rFonts w:cs="Calibri"/>
          <w:sz w:val="24"/>
          <w:szCs w:val="24"/>
        </w:rPr>
        <w:t xml:space="preserve"> zaproszeń do składania ofert </w:t>
      </w:r>
      <w:r w:rsidR="009E5F22" w:rsidRPr="001268E7">
        <w:rPr>
          <w:rFonts w:cs="Calibri"/>
          <w:sz w:val="24"/>
          <w:szCs w:val="24"/>
        </w:rPr>
        <w:t xml:space="preserve">i działań następczych w zakresie </w:t>
      </w:r>
      <w:r w:rsidRPr="001268E7">
        <w:rPr>
          <w:rFonts w:cs="Calibri"/>
          <w:sz w:val="24"/>
          <w:szCs w:val="24"/>
        </w:rPr>
        <w:t>wdrożenia projektów</w:t>
      </w:r>
      <w:r w:rsidR="0069488A" w:rsidRPr="001268E7">
        <w:rPr>
          <w:rFonts w:cs="Calibri"/>
          <w:sz w:val="24"/>
          <w:szCs w:val="24"/>
        </w:rPr>
        <w:t>;</w:t>
      </w:r>
    </w:p>
    <w:p w:rsidR="00F425F7" w:rsidRPr="001268E7" w:rsidRDefault="00F425F7"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uczestniczenie w kontrolach administracyjnych i weryfikacjach kwalifikowalności wnioskodawców znajdujących się w Rosji</w:t>
      </w:r>
      <w:r w:rsidR="0069488A" w:rsidRPr="001268E7">
        <w:rPr>
          <w:rFonts w:cs="Calibri"/>
          <w:sz w:val="24"/>
          <w:szCs w:val="24"/>
        </w:rPr>
        <w:t>;</w:t>
      </w:r>
    </w:p>
    <w:p w:rsidR="00F425F7" w:rsidRPr="001268E7" w:rsidRDefault="00590640" w:rsidP="00246345">
      <w:pPr>
        <w:pStyle w:val="Akapitzlist3"/>
        <w:numPr>
          <w:ilvl w:val="0"/>
          <w:numId w:val="64"/>
        </w:numPr>
        <w:spacing w:before="100" w:beforeAutospacing="1" w:after="100" w:afterAutospacing="1" w:line="240" w:lineRule="auto"/>
        <w:contextualSpacing w:val="0"/>
        <w:jc w:val="both"/>
        <w:rPr>
          <w:rFonts w:cs="Calibri"/>
          <w:sz w:val="24"/>
          <w:szCs w:val="24"/>
        </w:rPr>
      </w:pPr>
      <w:r>
        <w:rPr>
          <w:rFonts w:cs="Calibri"/>
          <w:sz w:val="24"/>
          <w:szCs w:val="24"/>
        </w:rPr>
        <w:t xml:space="preserve">organizacja spotkań programowych na terytorium Federacji </w:t>
      </w:r>
      <w:r>
        <w:rPr>
          <w:rFonts w:cs="Calibri"/>
          <w:sz w:val="24"/>
          <w:szCs w:val="24"/>
        </w:rPr>
        <w:br/>
        <w:t xml:space="preserve">Rosyjskiej, finansowanych ze </w:t>
      </w:r>
      <w:r w:rsidR="00F425F7" w:rsidRPr="001268E7">
        <w:rPr>
          <w:rFonts w:cs="Calibri"/>
          <w:sz w:val="24"/>
          <w:szCs w:val="24"/>
        </w:rPr>
        <w:t>środków budżetu pomocy technicznej</w:t>
      </w:r>
      <w:r>
        <w:rPr>
          <w:rFonts w:cs="Calibri"/>
          <w:sz w:val="24"/>
          <w:szCs w:val="24"/>
        </w:rPr>
        <w:t xml:space="preserve"> Programu</w:t>
      </w:r>
      <w:r w:rsidR="0069488A" w:rsidRPr="001268E7">
        <w:rPr>
          <w:rFonts w:cs="Calibri"/>
          <w:sz w:val="24"/>
          <w:szCs w:val="24"/>
        </w:rPr>
        <w:t>, finansowanie udziału instytucji</w:t>
      </w:r>
      <w:r w:rsidR="00F425F7" w:rsidRPr="001268E7">
        <w:rPr>
          <w:rFonts w:cs="Calibri"/>
          <w:sz w:val="24"/>
          <w:szCs w:val="24"/>
        </w:rPr>
        <w:t xml:space="preserve"> rosyjskich w wydarzeniach Programu itd.</w:t>
      </w:r>
      <w:r w:rsidR="0069488A" w:rsidRPr="001268E7">
        <w:rPr>
          <w:rFonts w:cs="Calibri"/>
          <w:sz w:val="24"/>
          <w:szCs w:val="24"/>
        </w:rPr>
        <w:t>;</w:t>
      </w:r>
    </w:p>
    <w:p w:rsidR="00F425F7" w:rsidRPr="001268E7" w:rsidRDefault="00F425F7"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monito</w:t>
      </w:r>
      <w:r w:rsidR="0069488A" w:rsidRPr="001268E7">
        <w:rPr>
          <w:rFonts w:cs="Calibri"/>
          <w:sz w:val="24"/>
          <w:szCs w:val="24"/>
        </w:rPr>
        <w:t>rowanie działań dotyczących projektów wdraża</w:t>
      </w:r>
      <w:r w:rsidRPr="001268E7">
        <w:rPr>
          <w:rFonts w:cs="Calibri"/>
          <w:sz w:val="24"/>
          <w:szCs w:val="24"/>
        </w:rPr>
        <w:t>nych na terytorium Rosji</w:t>
      </w:r>
      <w:r w:rsidR="00DA2041">
        <w:rPr>
          <w:rFonts w:cs="Calibri"/>
          <w:sz w:val="24"/>
          <w:szCs w:val="24"/>
        </w:rPr>
        <w:t>;</w:t>
      </w:r>
    </w:p>
    <w:p w:rsidR="00F425F7" w:rsidRPr="001268E7" w:rsidRDefault="0069488A"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uczestniczenie</w:t>
      </w:r>
      <w:r w:rsidR="00F425F7" w:rsidRPr="001268E7">
        <w:rPr>
          <w:rFonts w:cs="Calibri"/>
          <w:sz w:val="24"/>
          <w:szCs w:val="24"/>
        </w:rPr>
        <w:t xml:space="preserve"> w procesie </w:t>
      </w:r>
      <w:r w:rsidR="00DA2041">
        <w:rPr>
          <w:rFonts w:cs="Calibri"/>
          <w:sz w:val="24"/>
          <w:szCs w:val="24"/>
        </w:rPr>
        <w:t>ewaluacji</w:t>
      </w:r>
      <w:r w:rsidR="00DA2041" w:rsidRPr="001268E7">
        <w:rPr>
          <w:rFonts w:cs="Calibri"/>
          <w:sz w:val="24"/>
          <w:szCs w:val="24"/>
        </w:rPr>
        <w:t xml:space="preserve"> </w:t>
      </w:r>
      <w:r w:rsidR="00DA2041">
        <w:rPr>
          <w:rFonts w:cs="Calibri"/>
          <w:sz w:val="24"/>
          <w:szCs w:val="24"/>
        </w:rPr>
        <w:t>wdrożonych</w:t>
      </w:r>
      <w:r w:rsidR="00DA2041" w:rsidRPr="001268E7">
        <w:rPr>
          <w:rFonts w:cs="Calibri"/>
          <w:sz w:val="24"/>
          <w:szCs w:val="24"/>
        </w:rPr>
        <w:t xml:space="preserve"> </w:t>
      </w:r>
      <w:r w:rsidR="00F425F7" w:rsidRPr="001268E7">
        <w:rPr>
          <w:rFonts w:cs="Calibri"/>
          <w:sz w:val="24"/>
          <w:szCs w:val="24"/>
        </w:rPr>
        <w:t>projektów</w:t>
      </w:r>
      <w:r w:rsidRPr="001268E7">
        <w:rPr>
          <w:rFonts w:cs="Calibri"/>
          <w:sz w:val="24"/>
          <w:szCs w:val="24"/>
        </w:rPr>
        <w:t>;</w:t>
      </w:r>
    </w:p>
    <w:p w:rsidR="00F425F7" w:rsidRPr="001268E7" w:rsidRDefault="00F425F7"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konsultowanie się z potencjalnymi uczestnikami programu w zakresie prawnych warunków </w:t>
      </w:r>
      <w:r w:rsidR="0069488A" w:rsidRPr="001268E7">
        <w:rPr>
          <w:rFonts w:cs="Calibri"/>
          <w:sz w:val="24"/>
          <w:szCs w:val="24"/>
        </w:rPr>
        <w:t>udziału w programie, zarządzania</w:t>
      </w:r>
      <w:r w:rsidRPr="001268E7">
        <w:rPr>
          <w:rFonts w:cs="Calibri"/>
          <w:sz w:val="24"/>
          <w:szCs w:val="24"/>
        </w:rPr>
        <w:t xml:space="preserve"> projektami itd., udzielanie </w:t>
      </w:r>
      <w:r w:rsidR="0069488A" w:rsidRPr="001268E7">
        <w:rPr>
          <w:rFonts w:cs="Calibri"/>
          <w:sz w:val="24"/>
          <w:szCs w:val="24"/>
        </w:rPr>
        <w:t xml:space="preserve">im </w:t>
      </w:r>
      <w:r w:rsidRPr="001268E7">
        <w:rPr>
          <w:rFonts w:cs="Calibri"/>
          <w:sz w:val="24"/>
          <w:szCs w:val="24"/>
        </w:rPr>
        <w:t>pomocy w zakresie szukania partnerów i przygotowywania propozycji projektów</w:t>
      </w:r>
      <w:r w:rsidR="0069488A" w:rsidRPr="001268E7">
        <w:rPr>
          <w:rFonts w:cs="Calibri"/>
          <w:sz w:val="24"/>
          <w:szCs w:val="24"/>
        </w:rPr>
        <w:t>;</w:t>
      </w:r>
    </w:p>
    <w:p w:rsidR="00F425F7" w:rsidRPr="001268E7" w:rsidRDefault="0069488A"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przekazywanie informacji IZ, WST i partnerom projektu dotyczących</w:t>
      </w:r>
      <w:r w:rsidR="00F425F7" w:rsidRPr="001268E7">
        <w:rPr>
          <w:rFonts w:cs="Calibri"/>
          <w:sz w:val="24"/>
          <w:szCs w:val="24"/>
        </w:rPr>
        <w:t xml:space="preserve"> polskich i rosyjskich przepisów prawa</w:t>
      </w:r>
      <w:r w:rsidRPr="001268E7">
        <w:rPr>
          <w:rFonts w:cs="Calibri"/>
          <w:sz w:val="24"/>
          <w:szCs w:val="24"/>
        </w:rPr>
        <w:t>;</w:t>
      </w:r>
    </w:p>
    <w:p w:rsidR="00F425F7" w:rsidRPr="001268E7" w:rsidRDefault="00F425F7" w:rsidP="00246345">
      <w:pPr>
        <w:pStyle w:val="Akapitzlist3"/>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monitorowani</w:t>
      </w:r>
      <w:r w:rsidR="00575F80" w:rsidRPr="001268E7">
        <w:rPr>
          <w:rFonts w:cs="Calibri"/>
          <w:sz w:val="24"/>
          <w:szCs w:val="24"/>
        </w:rPr>
        <w:t xml:space="preserve">e wdrażania zasad </w:t>
      </w:r>
      <w:r w:rsidR="00C41F0E">
        <w:rPr>
          <w:rFonts w:cs="Calibri"/>
          <w:sz w:val="24"/>
          <w:szCs w:val="24"/>
        </w:rPr>
        <w:t>wizualizacji Unii Europejskiej</w:t>
      </w:r>
      <w:r w:rsidR="00C41F0E" w:rsidRPr="001268E7">
        <w:rPr>
          <w:rFonts w:cs="Calibri"/>
          <w:sz w:val="24"/>
          <w:szCs w:val="24"/>
        </w:rPr>
        <w:t xml:space="preserve"> </w:t>
      </w:r>
      <w:r w:rsidRPr="001268E7">
        <w:rPr>
          <w:rFonts w:cs="Calibri"/>
          <w:sz w:val="24"/>
          <w:szCs w:val="24"/>
        </w:rPr>
        <w:t>przez partnerów projektu na</w:t>
      </w:r>
      <w:r w:rsidR="0069488A" w:rsidRPr="001268E7">
        <w:rPr>
          <w:rFonts w:cs="Calibri"/>
          <w:sz w:val="24"/>
          <w:szCs w:val="24"/>
        </w:rPr>
        <w:t xml:space="preserve"> rosyjskim obszarze;</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udzielanie wsparcia w organizacji posiedzeń WKM oraz innych ważnych wydarzeń Programu;</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gromadzenie danych w celu poprawienia jakości monitorowania projektów;</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inne zadania wspierające IZ i WST w ramach ich codziennej realizacji Programu;</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udzielanie wsparcia IK i KPK w Federacji Rosyjskiej w ramach realizowanych przez nie zadań;</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przekazywanie informacji, konsultacje i wsparcie na rzecz partnerów projektu oraz udzielanie wskazówek potencjalnym wnioskodawcom i beneficjentom/partnerom;</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lastRenderedPageBreak/>
        <w:t>wspomagani</w:t>
      </w:r>
      <w:r w:rsidR="0069488A" w:rsidRPr="001268E7">
        <w:rPr>
          <w:rFonts w:cs="Calibri"/>
          <w:sz w:val="24"/>
          <w:szCs w:val="24"/>
        </w:rPr>
        <w:t>e krajowych i regionalnych instytucji w zakresie ich pracy wykonywanej w ramach Programu</w:t>
      </w:r>
      <w:r w:rsidRPr="001268E7">
        <w:rPr>
          <w:rFonts w:cs="Calibri"/>
          <w:sz w:val="24"/>
          <w:szCs w:val="24"/>
        </w:rPr>
        <w:t>;</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wspomaganie IZ i </w:t>
      </w:r>
      <w:r w:rsidR="006C249D">
        <w:rPr>
          <w:rFonts w:cs="Calibri"/>
          <w:sz w:val="24"/>
          <w:szCs w:val="24"/>
        </w:rPr>
        <w:t>WST</w:t>
      </w:r>
      <w:r w:rsidR="006C249D" w:rsidRPr="001268E7">
        <w:rPr>
          <w:rFonts w:cs="Calibri"/>
          <w:sz w:val="24"/>
          <w:szCs w:val="24"/>
        </w:rPr>
        <w:t xml:space="preserve"> </w:t>
      </w:r>
      <w:r w:rsidRPr="001268E7">
        <w:rPr>
          <w:rFonts w:cs="Calibri"/>
          <w:sz w:val="24"/>
          <w:szCs w:val="24"/>
        </w:rPr>
        <w:t>w kontaktach z rosyjskimi beneficjentami;</w:t>
      </w:r>
    </w:p>
    <w:p w:rsidR="00F425F7" w:rsidRPr="001268E7" w:rsidRDefault="00F425F7" w:rsidP="00246345">
      <w:pPr>
        <w:pStyle w:val="Akapitzlist"/>
        <w:numPr>
          <w:ilvl w:val="0"/>
          <w:numId w:val="64"/>
        </w:numPr>
        <w:spacing w:before="100" w:beforeAutospacing="1" w:after="100" w:afterAutospacing="1" w:line="240" w:lineRule="auto"/>
        <w:contextualSpacing w:val="0"/>
        <w:jc w:val="both"/>
        <w:rPr>
          <w:rFonts w:cs="Calibri"/>
          <w:sz w:val="24"/>
          <w:szCs w:val="24"/>
        </w:rPr>
      </w:pPr>
      <w:r w:rsidRPr="001268E7">
        <w:rPr>
          <w:rFonts w:cs="Calibri"/>
          <w:sz w:val="24"/>
          <w:szCs w:val="24"/>
        </w:rPr>
        <w:t>rosyjski Oddział będzie wysyłać sprawozdania dotycz</w:t>
      </w:r>
      <w:r w:rsidR="0069488A" w:rsidRPr="001268E7">
        <w:rPr>
          <w:rFonts w:cs="Calibri"/>
          <w:sz w:val="24"/>
          <w:szCs w:val="24"/>
        </w:rPr>
        <w:t>ące realizacji Programu do instytucji</w:t>
      </w:r>
      <w:r w:rsidRPr="001268E7">
        <w:rPr>
          <w:rFonts w:cs="Calibri"/>
          <w:sz w:val="24"/>
          <w:szCs w:val="24"/>
        </w:rPr>
        <w:t xml:space="preserve"> rosyjskich co kwartał oraz na ich wniosek;</w:t>
      </w:r>
    </w:p>
    <w:p w:rsidR="004B654C" w:rsidRPr="001268E7" w:rsidRDefault="00F425F7" w:rsidP="00F425F7">
      <w:pPr>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rPr>
        <w:t>Zasady dotyczące zamówień publicznych stosowane przez rosyjski Oddział będą opisane w stosown</w:t>
      </w:r>
      <w:r w:rsidR="00211820">
        <w:rPr>
          <w:rFonts w:asciiTheme="minorHAnsi" w:hAnsiTheme="minorHAnsi" w:cs="Calibri"/>
          <w:sz w:val="24"/>
          <w:szCs w:val="24"/>
        </w:rPr>
        <w:t>ym Porozumieniu</w:t>
      </w:r>
      <w:r w:rsidRPr="001268E7">
        <w:rPr>
          <w:rFonts w:asciiTheme="minorHAnsi" w:hAnsiTheme="minorHAnsi" w:cs="Calibri"/>
          <w:sz w:val="24"/>
          <w:szCs w:val="24"/>
        </w:rPr>
        <w:t xml:space="preserve"> </w:t>
      </w:r>
      <w:r w:rsidR="00211820">
        <w:rPr>
          <w:rFonts w:asciiTheme="minorHAnsi" w:hAnsiTheme="minorHAnsi" w:cs="Calibri"/>
          <w:sz w:val="24"/>
          <w:szCs w:val="24"/>
        </w:rPr>
        <w:t>F</w:t>
      </w:r>
      <w:r w:rsidRPr="001268E7">
        <w:rPr>
          <w:rFonts w:asciiTheme="minorHAnsi" w:hAnsiTheme="minorHAnsi" w:cs="Calibri"/>
          <w:sz w:val="24"/>
          <w:szCs w:val="24"/>
        </w:rPr>
        <w:t>inansow</w:t>
      </w:r>
      <w:r w:rsidR="00211820">
        <w:rPr>
          <w:rFonts w:asciiTheme="minorHAnsi" w:hAnsiTheme="minorHAnsi" w:cs="Calibri"/>
          <w:sz w:val="24"/>
          <w:szCs w:val="24"/>
        </w:rPr>
        <w:t>ym</w:t>
      </w:r>
      <w:r w:rsidRPr="001268E7">
        <w:rPr>
          <w:rFonts w:asciiTheme="minorHAnsi" w:hAnsiTheme="minorHAnsi" w:cs="Calibri"/>
          <w:sz w:val="24"/>
          <w:szCs w:val="24"/>
        </w:rPr>
        <w:t>.</w:t>
      </w:r>
      <w:r w:rsidR="004B654C" w:rsidRPr="001268E7">
        <w:rPr>
          <w:rFonts w:asciiTheme="minorHAnsi" w:hAnsiTheme="minorHAnsi" w:cs="Calibri"/>
          <w:sz w:val="24"/>
          <w:szCs w:val="24"/>
        </w:rPr>
        <w:t xml:space="preserve"> </w:t>
      </w:r>
    </w:p>
    <w:p w:rsidR="004B654C" w:rsidRPr="001268E7" w:rsidRDefault="00F425F7" w:rsidP="00F425F7">
      <w:pPr>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t>Oddziało</w:t>
      </w:r>
      <w:r w:rsidR="00211820">
        <w:rPr>
          <w:rFonts w:asciiTheme="minorHAnsi" w:hAnsiTheme="minorHAnsi" w:cs="Calibri"/>
          <w:sz w:val="24"/>
          <w:szCs w:val="24"/>
          <w:lang w:eastAsia="pl-PL"/>
        </w:rPr>
        <w:t>wi</w:t>
      </w:r>
      <w:r w:rsidRPr="001268E7">
        <w:rPr>
          <w:rFonts w:asciiTheme="minorHAnsi" w:hAnsiTheme="minorHAnsi" w:cs="Calibri"/>
          <w:sz w:val="24"/>
          <w:szCs w:val="24"/>
          <w:lang w:eastAsia="pl-PL"/>
        </w:rPr>
        <w:t xml:space="preserve"> nie mogą w żadnym przypadku być powierzone zadania obejmujące sprawowanie władzy publicznej lub korzystanie z uznaniowych uprawnień w odniesieniu do projektów.</w:t>
      </w:r>
      <w:r w:rsidR="004B654C" w:rsidRPr="001268E7">
        <w:rPr>
          <w:rFonts w:asciiTheme="minorHAnsi" w:hAnsiTheme="minorHAnsi" w:cs="Calibri"/>
          <w:sz w:val="24"/>
          <w:szCs w:val="24"/>
        </w:rPr>
        <w:t xml:space="preserve"> </w:t>
      </w:r>
    </w:p>
    <w:p w:rsidR="004B654C" w:rsidRPr="001268E7" w:rsidRDefault="00F425F7" w:rsidP="00F425F7">
      <w:pPr>
        <w:autoSpaceDE w:val="0"/>
        <w:autoSpaceDN w:val="0"/>
        <w:adjustRightInd w:val="0"/>
        <w:spacing w:before="100" w:beforeAutospacing="1" w:after="100" w:afterAutospacing="1" w:line="240" w:lineRule="auto"/>
        <w:jc w:val="both"/>
        <w:rPr>
          <w:rFonts w:eastAsia="Times New Roman" w:cs="Calibri"/>
          <w:sz w:val="24"/>
          <w:szCs w:val="24"/>
          <w:lang w:eastAsia="en-GB"/>
        </w:rPr>
      </w:pPr>
      <w:r w:rsidRPr="001268E7">
        <w:rPr>
          <w:rFonts w:asciiTheme="minorHAnsi" w:eastAsia="Times New Roman" w:hAnsiTheme="minorHAnsi" w:cs="Calibri"/>
          <w:sz w:val="24"/>
          <w:szCs w:val="24"/>
          <w:lang w:eastAsia="en-GB"/>
        </w:rPr>
        <w:t xml:space="preserve">W przypadku rosyjskiego Oddziału, Instytucja Zarządzająca sporządzi umowę prawną opartą na </w:t>
      </w:r>
      <w:r w:rsidRPr="001268E7">
        <w:rPr>
          <w:rFonts w:asciiTheme="minorHAnsi" w:hAnsiTheme="minorHAnsi" w:cs="Calibri,Italic"/>
          <w:iCs/>
          <w:sz w:val="24"/>
          <w:szCs w:val="24"/>
          <w:lang w:eastAsia="pl-PL"/>
        </w:rPr>
        <w:t xml:space="preserve">Praktycznym przewodniku po procedurach udzielania zamówień publicznych i dotacji na potrzeby działań zewnętrznych Unii Europejskiej </w:t>
      </w:r>
      <w:r w:rsidRPr="001268E7">
        <w:rPr>
          <w:rFonts w:asciiTheme="minorHAnsi" w:hAnsiTheme="minorHAnsi" w:cs="Calibri"/>
          <w:sz w:val="24"/>
          <w:szCs w:val="24"/>
          <w:lang w:eastAsia="pl-PL"/>
        </w:rPr>
        <w:t>(PRAG w wersji mającej zastosowanie w momencie przyjęcia WPO przez KE) dotyczącą Oddziału i zajmie się rekrutacją personelu, biorąc ściśle pod uwagę rekomendacje przekazane przez rosyjskich członków Wspólnego Komitetu Monitorującego.</w:t>
      </w:r>
      <w:r w:rsidR="004B654C" w:rsidRPr="001268E7">
        <w:rPr>
          <w:rFonts w:asciiTheme="minorHAnsi" w:eastAsia="Times New Roman" w:hAnsiTheme="minorHAnsi" w:cs="Calibri"/>
          <w:sz w:val="24"/>
          <w:szCs w:val="24"/>
          <w:lang w:eastAsia="en-GB"/>
        </w:rPr>
        <w:t xml:space="preserve"> </w:t>
      </w:r>
      <w:r w:rsidRPr="001268E7">
        <w:rPr>
          <w:rFonts w:asciiTheme="minorHAnsi" w:eastAsia="Times New Roman" w:hAnsiTheme="minorHAnsi" w:cs="Calibri"/>
          <w:sz w:val="24"/>
          <w:szCs w:val="24"/>
          <w:lang w:eastAsia="en-GB"/>
        </w:rPr>
        <w:t>W przypadku rosyjskiego Oddziału, wszystkie u</w:t>
      </w:r>
      <w:r w:rsidR="001F2E58" w:rsidRPr="001268E7">
        <w:rPr>
          <w:rFonts w:asciiTheme="minorHAnsi" w:eastAsia="Times New Roman" w:hAnsiTheme="minorHAnsi" w:cs="Calibri"/>
          <w:sz w:val="24"/>
          <w:szCs w:val="24"/>
          <w:lang w:eastAsia="en-GB"/>
        </w:rPr>
        <w:t>mowy</w:t>
      </w:r>
      <w:r w:rsidRPr="001268E7">
        <w:rPr>
          <w:rFonts w:asciiTheme="minorHAnsi" w:eastAsia="Times New Roman" w:hAnsiTheme="minorHAnsi" w:cs="Calibri"/>
          <w:sz w:val="24"/>
          <w:szCs w:val="24"/>
          <w:lang w:eastAsia="en-GB"/>
        </w:rPr>
        <w:t xml:space="preserve"> z organizacją goszczącą</w:t>
      </w:r>
      <w:r w:rsidR="001F2E58" w:rsidRPr="001268E7">
        <w:rPr>
          <w:rFonts w:eastAsia="Times New Roman" w:cs="Calibri"/>
          <w:sz w:val="24"/>
          <w:szCs w:val="24"/>
          <w:lang w:eastAsia="en-GB"/>
        </w:rPr>
        <w:t xml:space="preserve"> oraz wymogi powinny być uzgodnione przez rosyjską Instytucję</w:t>
      </w:r>
      <w:r w:rsidRPr="001268E7">
        <w:rPr>
          <w:rFonts w:eastAsia="Times New Roman" w:cs="Calibri"/>
          <w:sz w:val="24"/>
          <w:szCs w:val="24"/>
          <w:lang w:eastAsia="en-GB"/>
        </w:rPr>
        <w:t xml:space="preserve"> Krajową.</w:t>
      </w:r>
      <w:r w:rsidR="004B654C" w:rsidRPr="001268E7">
        <w:rPr>
          <w:rFonts w:eastAsia="Times New Roman" w:cs="Calibri"/>
          <w:sz w:val="24"/>
          <w:szCs w:val="24"/>
          <w:lang w:eastAsia="en-GB"/>
        </w:rPr>
        <w:t xml:space="preserve"> </w:t>
      </w:r>
      <w:r w:rsidRPr="001268E7">
        <w:rPr>
          <w:rFonts w:eastAsia="Times New Roman" w:cs="Calibri"/>
          <w:sz w:val="24"/>
          <w:szCs w:val="24"/>
          <w:lang w:eastAsia="en-GB"/>
        </w:rPr>
        <w:t>Wysokość wynagrodzenia będzie uwzględniać poziom kwalifikacji i fachowej wiedzy wymaganej na stanowisku(ach).</w:t>
      </w:r>
      <w:r w:rsidR="004B654C" w:rsidRPr="001268E7">
        <w:rPr>
          <w:rFonts w:eastAsia="Times New Roman" w:cs="Calibri"/>
          <w:sz w:val="24"/>
          <w:szCs w:val="24"/>
          <w:lang w:eastAsia="en-GB"/>
        </w:rPr>
        <w:t xml:space="preserve"> </w:t>
      </w:r>
    </w:p>
    <w:p w:rsidR="004B654C" w:rsidRPr="001268E7" w:rsidRDefault="00F425F7" w:rsidP="00F425F7">
      <w:pPr>
        <w:spacing w:before="120" w:after="120" w:line="240" w:lineRule="auto"/>
        <w:jc w:val="both"/>
        <w:rPr>
          <w:rFonts w:cs="Calibri"/>
          <w:sz w:val="24"/>
          <w:szCs w:val="24"/>
        </w:rPr>
      </w:pPr>
      <w:r w:rsidRPr="001268E7">
        <w:rPr>
          <w:rFonts w:cs="Calibri"/>
          <w:sz w:val="24"/>
          <w:szCs w:val="24"/>
          <w:lang w:eastAsia="pl-PL"/>
        </w:rPr>
        <w:t>Minimalne niezbędne kwalifikacje dla ekspertów Oddział</w:t>
      </w:r>
      <w:r w:rsidR="00211820">
        <w:rPr>
          <w:rFonts w:cs="Calibri"/>
          <w:sz w:val="24"/>
          <w:szCs w:val="24"/>
          <w:lang w:eastAsia="pl-PL"/>
        </w:rPr>
        <w:t>u</w:t>
      </w:r>
      <w:r w:rsidRPr="001268E7">
        <w:rPr>
          <w:rFonts w:cs="Calibri"/>
          <w:sz w:val="24"/>
          <w:szCs w:val="24"/>
          <w:lang w:eastAsia="pl-PL"/>
        </w:rPr>
        <w:t xml:space="preserve"> i liczba pracowników Oddział</w:t>
      </w:r>
      <w:r w:rsidR="00211820">
        <w:rPr>
          <w:rFonts w:cs="Calibri"/>
          <w:sz w:val="24"/>
          <w:szCs w:val="24"/>
          <w:lang w:eastAsia="pl-PL"/>
        </w:rPr>
        <w:t>u</w:t>
      </w:r>
      <w:r w:rsidRPr="001268E7">
        <w:rPr>
          <w:rFonts w:cs="Calibri"/>
          <w:sz w:val="24"/>
          <w:szCs w:val="24"/>
          <w:lang w:eastAsia="pl-PL"/>
        </w:rPr>
        <w:t xml:space="preserve"> zostaną wskazane w treści SIWZ umowy.</w:t>
      </w:r>
    </w:p>
    <w:p w:rsidR="00AF5C2D" w:rsidRPr="001268E7" w:rsidRDefault="00F425F7" w:rsidP="00F425F7">
      <w:pPr>
        <w:spacing w:before="120" w:after="120" w:line="240" w:lineRule="auto"/>
        <w:jc w:val="both"/>
        <w:rPr>
          <w:rFonts w:cs="Calibri"/>
          <w:sz w:val="24"/>
          <w:szCs w:val="24"/>
        </w:rPr>
      </w:pPr>
      <w:r w:rsidRPr="001268E7">
        <w:rPr>
          <w:rFonts w:cs="Calibri"/>
          <w:sz w:val="24"/>
          <w:szCs w:val="24"/>
        </w:rPr>
        <w:t>Umowa z kaliningradzkim Oddziałem będzie realizowana również zgodnie z przepisami prawa Federacji Rosyjskiej.</w:t>
      </w:r>
    </w:p>
    <w:p w:rsidR="004B654C" w:rsidRPr="001268E7" w:rsidRDefault="001F2E58" w:rsidP="004B654C">
      <w:pPr>
        <w:spacing w:before="120" w:after="120" w:line="240" w:lineRule="auto"/>
        <w:jc w:val="both"/>
        <w:rPr>
          <w:rFonts w:cs="Calibri"/>
          <w:sz w:val="24"/>
          <w:szCs w:val="24"/>
        </w:rPr>
      </w:pPr>
      <w:r w:rsidRPr="001268E7">
        <w:rPr>
          <w:rFonts w:cs="Calibri"/>
          <w:sz w:val="24"/>
          <w:szCs w:val="24"/>
        </w:rPr>
        <w:t>Kierownik</w:t>
      </w:r>
      <w:r w:rsidR="00F425F7" w:rsidRPr="001268E7">
        <w:rPr>
          <w:rFonts w:cs="Calibri"/>
          <w:sz w:val="24"/>
          <w:szCs w:val="24"/>
        </w:rPr>
        <w:t xml:space="preserve"> Zespołu kaliningradzkiego Oddziału zostanie </w:t>
      </w:r>
      <w:r w:rsidR="00603D49">
        <w:rPr>
          <w:rFonts w:cs="Calibri"/>
          <w:sz w:val="24"/>
          <w:szCs w:val="24"/>
        </w:rPr>
        <w:t>zatwierdzony</w:t>
      </w:r>
      <w:r w:rsidR="00603D49" w:rsidRPr="001268E7">
        <w:rPr>
          <w:rFonts w:cs="Calibri"/>
          <w:sz w:val="24"/>
          <w:szCs w:val="24"/>
        </w:rPr>
        <w:t xml:space="preserve"> </w:t>
      </w:r>
      <w:r w:rsidR="00373E8C" w:rsidRPr="001268E7">
        <w:rPr>
          <w:rFonts w:cs="Calibri"/>
          <w:sz w:val="24"/>
          <w:szCs w:val="24"/>
        </w:rPr>
        <w:t>w porozumieniu z</w:t>
      </w:r>
      <w:r w:rsidRPr="001268E7">
        <w:rPr>
          <w:rFonts w:cs="Calibri"/>
          <w:sz w:val="24"/>
          <w:szCs w:val="24"/>
        </w:rPr>
        <w:t xml:space="preserve"> IZ</w:t>
      </w:r>
      <w:r w:rsidR="00F425F7" w:rsidRPr="001268E7">
        <w:rPr>
          <w:rFonts w:cs="Calibri"/>
          <w:sz w:val="24"/>
          <w:szCs w:val="24"/>
        </w:rPr>
        <w:t xml:space="preserve"> i rosyjską IK.</w:t>
      </w:r>
    </w:p>
    <w:p w:rsidR="004B654C" w:rsidRPr="00D61551" w:rsidRDefault="00F425F7" w:rsidP="00D61551">
      <w:pPr>
        <w:pStyle w:val="Nagwek2"/>
      </w:pPr>
      <w:bookmarkStart w:id="29" w:name="_Toc530737578"/>
      <w:r w:rsidRPr="00D61551">
        <w:t>3.5 Instytucja Audytowa i Grupa Audytorów</w:t>
      </w:r>
      <w:bookmarkEnd w:id="29"/>
    </w:p>
    <w:p w:rsidR="004B654C" w:rsidRPr="001268E7" w:rsidRDefault="00F425F7" w:rsidP="00F425F7">
      <w:pPr>
        <w:spacing w:before="100" w:beforeAutospacing="1" w:after="100" w:afterAutospacing="1" w:line="240" w:lineRule="auto"/>
        <w:jc w:val="both"/>
        <w:rPr>
          <w:rFonts w:cs="Calibri"/>
          <w:sz w:val="24"/>
          <w:szCs w:val="24"/>
        </w:rPr>
      </w:pPr>
      <w:r w:rsidRPr="001268E7">
        <w:rPr>
          <w:rFonts w:cs="Calibri"/>
          <w:sz w:val="24"/>
          <w:szCs w:val="24"/>
        </w:rPr>
        <w:t>IA zapewnia prowadzenie audytów systemu zarządzania i kontroli Programu, stosownej próby projektów oraz rocznych sprawozdań finansowych Programu.</w:t>
      </w:r>
      <w:r w:rsidR="004B654C" w:rsidRPr="001268E7">
        <w:rPr>
          <w:rFonts w:cs="Calibri"/>
          <w:sz w:val="24"/>
          <w:szCs w:val="24"/>
        </w:rPr>
        <w:t xml:space="preserve"> </w:t>
      </w:r>
    </w:p>
    <w:p w:rsidR="004B654C" w:rsidRPr="001268E7" w:rsidRDefault="00465FFA" w:rsidP="00465FFA">
      <w:pPr>
        <w:spacing w:before="100" w:beforeAutospacing="1" w:after="100" w:afterAutospacing="1" w:line="240" w:lineRule="auto"/>
        <w:jc w:val="both"/>
        <w:rPr>
          <w:rFonts w:cs="Calibri"/>
          <w:sz w:val="24"/>
          <w:szCs w:val="24"/>
        </w:rPr>
      </w:pPr>
      <w:r w:rsidRPr="001268E7">
        <w:rPr>
          <w:rFonts w:cs="Calibri"/>
          <w:sz w:val="24"/>
          <w:szCs w:val="24"/>
          <w:lang w:eastAsia="pl-PL"/>
        </w:rPr>
        <w:t xml:space="preserve">Funkcję IA w Programie sprawuje </w:t>
      </w:r>
      <w:r w:rsidR="00456895">
        <w:rPr>
          <w:rFonts w:cs="Calibri"/>
          <w:sz w:val="24"/>
          <w:szCs w:val="24"/>
          <w:lang w:eastAsia="pl-PL"/>
        </w:rPr>
        <w:t>Szef Krajowej Administracji Skarbowej w</w:t>
      </w:r>
      <w:r w:rsidRPr="001268E7">
        <w:rPr>
          <w:rFonts w:cs="Calibri"/>
          <w:sz w:val="24"/>
          <w:szCs w:val="24"/>
          <w:lang w:eastAsia="pl-PL"/>
        </w:rPr>
        <w:t xml:space="preserve"> Ministerstw</w:t>
      </w:r>
      <w:r w:rsidR="00456895">
        <w:rPr>
          <w:rFonts w:cs="Calibri"/>
          <w:sz w:val="24"/>
          <w:szCs w:val="24"/>
          <w:lang w:eastAsia="pl-PL"/>
        </w:rPr>
        <w:t>ie</w:t>
      </w:r>
      <w:r w:rsidRPr="001268E7">
        <w:rPr>
          <w:rFonts w:cs="Calibri"/>
          <w:sz w:val="24"/>
          <w:szCs w:val="24"/>
          <w:lang w:eastAsia="pl-PL"/>
        </w:rPr>
        <w:t>Finansów Rzeczpospolitej Polskiej.</w:t>
      </w:r>
      <w:r w:rsidR="004B654C" w:rsidRPr="001268E7">
        <w:rPr>
          <w:rFonts w:cs="Calibri"/>
          <w:sz w:val="24"/>
          <w:szCs w:val="24"/>
        </w:rPr>
        <w:t xml:space="preserve"> </w:t>
      </w:r>
      <w:r w:rsidRPr="001268E7">
        <w:rPr>
          <w:rFonts w:cs="Calibri"/>
          <w:sz w:val="24"/>
          <w:szCs w:val="24"/>
        </w:rPr>
        <w:t>ekretarz lub Podsekretarz Stanu Ministerstwa Finansów</w:t>
      </w:r>
      <w:r w:rsidR="00B708DA">
        <w:rPr>
          <w:rFonts w:cs="Calibri"/>
          <w:sz w:val="24"/>
          <w:szCs w:val="24"/>
        </w:rPr>
        <w:t xml:space="preserve"> pełni funkcje IA</w:t>
      </w:r>
      <w:r w:rsidRPr="001268E7">
        <w:rPr>
          <w:rFonts w:cs="Calibri"/>
          <w:sz w:val="24"/>
          <w:szCs w:val="24"/>
        </w:rPr>
        <w:t>.</w:t>
      </w:r>
      <w:r w:rsidR="004B654C" w:rsidRPr="001268E7">
        <w:rPr>
          <w:rFonts w:cs="Calibri"/>
          <w:sz w:val="24"/>
          <w:szCs w:val="24"/>
        </w:rPr>
        <w:t xml:space="preserve"> </w:t>
      </w:r>
      <w:r w:rsidR="00B708DA">
        <w:rPr>
          <w:rFonts w:cs="Calibri"/>
          <w:sz w:val="24"/>
          <w:szCs w:val="24"/>
        </w:rPr>
        <w:t xml:space="preserve">W praktyce, </w:t>
      </w:r>
      <w:r w:rsidR="00B708DA">
        <w:rPr>
          <w:rFonts w:cs="Calibri"/>
          <w:sz w:val="24"/>
          <w:szCs w:val="24"/>
          <w:lang w:eastAsia="pl-PL"/>
        </w:rPr>
        <w:t>z</w:t>
      </w:r>
      <w:r w:rsidRPr="001268E7">
        <w:rPr>
          <w:rFonts w:cs="Calibri"/>
          <w:sz w:val="24"/>
          <w:szCs w:val="24"/>
          <w:lang w:eastAsia="pl-PL"/>
        </w:rPr>
        <w:t xml:space="preserve">adania IA </w:t>
      </w:r>
      <w:r w:rsidR="001F2E58" w:rsidRPr="001268E7">
        <w:rPr>
          <w:rFonts w:cs="Calibri"/>
          <w:sz w:val="24"/>
          <w:szCs w:val="24"/>
          <w:lang w:eastAsia="pl-PL"/>
        </w:rPr>
        <w:t>wykonywane są za pośrednictwem d</w:t>
      </w:r>
      <w:r w:rsidRPr="001268E7">
        <w:rPr>
          <w:rFonts w:cs="Calibri"/>
          <w:sz w:val="24"/>
          <w:szCs w:val="24"/>
          <w:lang w:eastAsia="pl-PL"/>
        </w:rPr>
        <w:t xml:space="preserve">epartamentu Ministerstwa Finansów (Departament </w:t>
      </w:r>
      <w:r w:rsidR="00456895">
        <w:rPr>
          <w:rFonts w:cs="Calibri"/>
          <w:sz w:val="24"/>
          <w:szCs w:val="24"/>
          <w:lang w:eastAsia="pl-PL"/>
        </w:rPr>
        <w:t>Audytu Środków Publicznych</w:t>
      </w:r>
      <w:r w:rsidRPr="001268E7">
        <w:rPr>
          <w:rFonts w:cs="Calibri"/>
          <w:sz w:val="24"/>
          <w:szCs w:val="24"/>
          <w:lang w:eastAsia="pl-PL"/>
        </w:rPr>
        <w:t>) i właściwych Urzędów Kontroli Skarbowej na poziomie wojewódzkim (w Polsce).</w:t>
      </w:r>
      <w:r w:rsidR="004B654C" w:rsidRPr="001268E7">
        <w:rPr>
          <w:rFonts w:cs="Calibri"/>
          <w:sz w:val="24"/>
          <w:szCs w:val="24"/>
        </w:rPr>
        <w:t xml:space="preserve"> </w:t>
      </w:r>
    </w:p>
    <w:p w:rsidR="004B654C" w:rsidRPr="001268E7" w:rsidRDefault="00465FFA" w:rsidP="00465FFA">
      <w:pPr>
        <w:spacing w:before="100" w:beforeAutospacing="1" w:after="100" w:afterAutospacing="1" w:line="240" w:lineRule="auto"/>
        <w:jc w:val="both"/>
        <w:rPr>
          <w:rFonts w:cs="Calibri"/>
          <w:sz w:val="24"/>
          <w:szCs w:val="24"/>
        </w:rPr>
      </w:pPr>
      <w:r w:rsidRPr="001268E7">
        <w:rPr>
          <w:rFonts w:cs="Calibri"/>
          <w:sz w:val="24"/>
          <w:szCs w:val="24"/>
          <w:lang w:eastAsia="pl-PL"/>
        </w:rPr>
        <w:t>Instytucja Audytowa pozostaje niezależna od Instytucji Zarządzającej oraz od Kontrolnych Punktów Kontaktowych (KPK).</w:t>
      </w:r>
      <w:r w:rsidR="004B654C" w:rsidRPr="001268E7">
        <w:rPr>
          <w:rFonts w:cs="Calibri"/>
          <w:sz w:val="24"/>
          <w:szCs w:val="24"/>
        </w:rPr>
        <w:t xml:space="preserve"> </w:t>
      </w:r>
      <w:r w:rsidRPr="001268E7">
        <w:rPr>
          <w:rFonts w:cs="Calibri"/>
          <w:sz w:val="24"/>
          <w:szCs w:val="24"/>
        </w:rPr>
        <w:t xml:space="preserve">Funkcje IA, IZ i KPK </w:t>
      </w:r>
      <w:r w:rsidRPr="001268E7">
        <w:rPr>
          <w:rFonts w:cs="Calibri"/>
          <w:sz w:val="24"/>
          <w:szCs w:val="24"/>
          <w:lang w:eastAsia="pl-PL"/>
        </w:rPr>
        <w:t>realizowane są przez organy od siebie niezależne i odrębne.</w:t>
      </w:r>
      <w:r w:rsidR="004B654C" w:rsidRPr="001268E7">
        <w:rPr>
          <w:rFonts w:cs="Calibri"/>
          <w:sz w:val="24"/>
          <w:szCs w:val="24"/>
        </w:rPr>
        <w:t xml:space="preserve"> </w:t>
      </w:r>
    </w:p>
    <w:p w:rsidR="004B654C" w:rsidRPr="001268E7" w:rsidRDefault="00465FFA" w:rsidP="00056C0B">
      <w:pPr>
        <w:spacing w:before="240" w:beforeAutospacing="1" w:after="100" w:afterAutospacing="1" w:line="240" w:lineRule="auto"/>
        <w:jc w:val="both"/>
        <w:rPr>
          <w:rFonts w:cs="Calibri"/>
          <w:sz w:val="24"/>
          <w:szCs w:val="24"/>
        </w:rPr>
      </w:pPr>
      <w:r w:rsidRPr="001268E7">
        <w:rPr>
          <w:rFonts w:cs="Calibri"/>
          <w:sz w:val="24"/>
          <w:szCs w:val="24"/>
          <w:lang w:eastAsia="pl-PL"/>
        </w:rPr>
        <w:lastRenderedPageBreak/>
        <w:t>Wszelkie organy audytowe pozostają w każdych okolicznościach w pełni niezależne w ramach realizowanych zadań audytowych w stosunku do IZ, KPK oraz WST, a także do innych organów zaangażowanych we wdrażanie Programu.</w:t>
      </w:r>
      <w:r w:rsidR="004B654C" w:rsidRPr="001268E7">
        <w:rPr>
          <w:rFonts w:cs="Calibri"/>
          <w:sz w:val="24"/>
          <w:szCs w:val="24"/>
        </w:rPr>
        <w:t xml:space="preserve"> </w:t>
      </w:r>
      <w:r w:rsidRPr="001268E7">
        <w:rPr>
          <w:rFonts w:cs="Calibri"/>
          <w:sz w:val="24"/>
          <w:szCs w:val="24"/>
          <w:lang w:eastAsia="pl-PL"/>
        </w:rPr>
        <w:t xml:space="preserve">Fakt ten zostanie w sposób </w:t>
      </w:r>
      <w:r w:rsidR="00056C0B" w:rsidRPr="001268E7">
        <w:rPr>
          <w:rFonts w:cs="Calibri"/>
          <w:sz w:val="24"/>
          <w:szCs w:val="24"/>
          <w:lang w:eastAsia="pl-PL"/>
        </w:rPr>
        <w:t>wyraźny zaznaczony w Zasadach Postępowania (ZP)</w:t>
      </w:r>
      <w:r w:rsidRPr="001268E7">
        <w:rPr>
          <w:rFonts w:cs="Calibri"/>
          <w:sz w:val="24"/>
          <w:szCs w:val="24"/>
          <w:lang w:eastAsia="pl-PL"/>
        </w:rPr>
        <w:t xml:space="preserve"> Grupy Audytorów (GA).</w:t>
      </w:r>
      <w:r w:rsidR="004B654C" w:rsidRPr="001268E7">
        <w:rPr>
          <w:rFonts w:cs="Calibri"/>
          <w:sz w:val="24"/>
          <w:szCs w:val="24"/>
        </w:rPr>
        <w:t xml:space="preserve"> </w:t>
      </w:r>
    </w:p>
    <w:p w:rsidR="004B654C" w:rsidRPr="001268E7" w:rsidRDefault="00465FFA" w:rsidP="00465FFA">
      <w:pPr>
        <w:spacing w:before="100" w:beforeAutospacing="1" w:after="100" w:afterAutospacing="1" w:line="240" w:lineRule="auto"/>
        <w:jc w:val="both"/>
        <w:rPr>
          <w:rFonts w:cs="Calibri"/>
          <w:sz w:val="24"/>
          <w:szCs w:val="24"/>
        </w:rPr>
      </w:pPr>
      <w:r w:rsidRPr="001268E7">
        <w:rPr>
          <w:rFonts w:cs="Calibri"/>
          <w:sz w:val="24"/>
          <w:szCs w:val="24"/>
          <w:lang w:eastAsia="pl-PL"/>
        </w:rPr>
        <w:t>Każde z państw uczestniczących wskazało minimalne kwalifikacje i zakres doświadczeń wymagany od członków GA wybranych przez to państwo, a także od audytorów realizujących obowiązki w zakresie audytu.</w:t>
      </w:r>
      <w:r w:rsidR="004B654C" w:rsidRPr="001268E7">
        <w:rPr>
          <w:rFonts w:cs="Calibri"/>
          <w:sz w:val="24"/>
          <w:szCs w:val="24"/>
        </w:rPr>
        <w:t xml:space="preserve"> </w:t>
      </w:r>
      <w:r w:rsidRPr="001268E7">
        <w:rPr>
          <w:rFonts w:cs="Calibri"/>
          <w:sz w:val="24"/>
          <w:szCs w:val="24"/>
          <w:lang w:eastAsia="pl-PL"/>
        </w:rPr>
        <w:t>Każda z wyżej wymienionych osób musi posiadać kwalifikacje pozwalające jej przeprowadzać audyty.</w:t>
      </w:r>
    </w:p>
    <w:p w:rsidR="004B654C" w:rsidRPr="001268E7" w:rsidRDefault="00465FFA" w:rsidP="00465FFA">
      <w:pPr>
        <w:spacing w:before="100" w:beforeAutospacing="1" w:after="100" w:afterAutospacing="1" w:line="240" w:lineRule="auto"/>
        <w:jc w:val="both"/>
        <w:rPr>
          <w:rFonts w:cs="Calibri"/>
          <w:sz w:val="24"/>
          <w:szCs w:val="24"/>
        </w:rPr>
      </w:pPr>
      <w:r w:rsidRPr="001268E7">
        <w:rPr>
          <w:rFonts w:cs="Calibri"/>
          <w:sz w:val="24"/>
          <w:szCs w:val="24"/>
          <w:lang w:eastAsia="pl-PL"/>
        </w:rPr>
        <w:t>Instytucja Audytowa w szczególności:</w:t>
      </w:r>
      <w:r w:rsidR="004B654C" w:rsidRPr="001268E7">
        <w:rPr>
          <w:rFonts w:cs="Calibri"/>
          <w:sz w:val="24"/>
          <w:szCs w:val="24"/>
        </w:rPr>
        <w:t xml:space="preserve"> </w:t>
      </w:r>
    </w:p>
    <w:p w:rsidR="00465FFA" w:rsidRPr="001268E7" w:rsidRDefault="00465FFA" w:rsidP="00246345">
      <w:pPr>
        <w:pStyle w:val="Akapitzlist"/>
        <w:numPr>
          <w:ilvl w:val="0"/>
          <w:numId w:val="65"/>
        </w:numPr>
        <w:spacing w:before="100" w:beforeAutospacing="1" w:after="100" w:afterAutospacing="1" w:line="240" w:lineRule="auto"/>
        <w:contextualSpacing w:val="0"/>
        <w:jc w:val="both"/>
        <w:rPr>
          <w:rFonts w:eastAsia="Times New Roman" w:cs="Calibri"/>
          <w:sz w:val="24"/>
          <w:szCs w:val="24"/>
          <w:lang w:eastAsia="en-GB"/>
        </w:rPr>
      </w:pPr>
      <w:r w:rsidRPr="001268E7">
        <w:rPr>
          <w:rFonts w:eastAsia="Times New Roman" w:cs="Calibri"/>
          <w:sz w:val="24"/>
          <w:szCs w:val="24"/>
          <w:lang w:eastAsia="en-GB"/>
        </w:rPr>
        <w:t>zape</w:t>
      </w:r>
      <w:r w:rsidR="008A095F" w:rsidRPr="001268E7">
        <w:rPr>
          <w:rFonts w:eastAsia="Times New Roman" w:cs="Calibri"/>
          <w:sz w:val="24"/>
          <w:szCs w:val="24"/>
          <w:lang w:eastAsia="en-GB"/>
        </w:rPr>
        <w:t>wnia prowadzenie audytów systemów</w:t>
      </w:r>
      <w:r w:rsidRPr="001268E7">
        <w:rPr>
          <w:rFonts w:eastAsia="Times New Roman" w:cs="Calibri"/>
          <w:sz w:val="24"/>
          <w:szCs w:val="24"/>
          <w:lang w:eastAsia="en-GB"/>
        </w:rPr>
        <w:t xml:space="preserve"> zarządzania i kontroli, stosownej próby projektów oraz rocznych sprawozdań finansowych Programu;</w:t>
      </w:r>
    </w:p>
    <w:p w:rsidR="00465FFA" w:rsidRPr="001268E7" w:rsidRDefault="00465FFA" w:rsidP="00246345">
      <w:pPr>
        <w:pStyle w:val="Akapitzlist"/>
        <w:numPr>
          <w:ilvl w:val="0"/>
          <w:numId w:val="6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 przypadku audytów przeprowadzanych przez podmiot inny niż IA, zapewnia takiemu podmiotowi niezbędną niezależność funkcjonalną;</w:t>
      </w:r>
    </w:p>
    <w:p w:rsidR="008A095F" w:rsidRPr="001268E7" w:rsidRDefault="00465FFA" w:rsidP="00246345">
      <w:pPr>
        <w:pStyle w:val="Akapitzlist"/>
        <w:numPr>
          <w:ilvl w:val="0"/>
          <w:numId w:val="6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zapewnia, aby czynności audytowe były zgodne z uznanymi międzynarodowo standardami audytu;</w:t>
      </w:r>
    </w:p>
    <w:p w:rsidR="00465FFA" w:rsidRPr="001268E7" w:rsidRDefault="00465FFA" w:rsidP="00246345">
      <w:pPr>
        <w:pStyle w:val="Akapitzlist"/>
        <w:numPr>
          <w:ilvl w:val="0"/>
          <w:numId w:val="6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 ciągu 9 miesięcy od podpisania umowy finansowej przedkłada Komisji Europejskiej strategię audytu na potrzeby przeprowadzania audytów.</w:t>
      </w:r>
      <w:r w:rsidRPr="001268E7">
        <w:rPr>
          <w:rFonts w:eastAsia="Times New Roman" w:cs="Calibri"/>
          <w:sz w:val="24"/>
          <w:szCs w:val="24"/>
          <w:lang w:eastAsia="en-GB"/>
        </w:rPr>
        <w:t xml:space="preserve"> Strategia audytu </w:t>
      </w:r>
      <w:r w:rsidRPr="001268E7">
        <w:rPr>
          <w:rFonts w:cs="Calibri"/>
          <w:sz w:val="24"/>
          <w:szCs w:val="24"/>
          <w:lang w:eastAsia="pl-PL"/>
        </w:rPr>
        <w:t>określa metodę kontroli rocznych sprawozdań finansowych i projektów, metodę doboru próby do audytów projektów oraz plan audytów na bieżący rok obrotowy i dwa następne lata obrotowe.</w:t>
      </w:r>
      <w:r w:rsidRPr="001268E7">
        <w:rPr>
          <w:rFonts w:cs="Calibri"/>
          <w:sz w:val="24"/>
          <w:szCs w:val="24"/>
        </w:rPr>
        <w:t xml:space="preserve"> </w:t>
      </w:r>
      <w:r w:rsidRPr="001268E7">
        <w:rPr>
          <w:rFonts w:cs="Calibri"/>
          <w:sz w:val="24"/>
          <w:szCs w:val="24"/>
          <w:lang w:eastAsia="pl-PL"/>
        </w:rPr>
        <w:t>Strategia audytu jest aktualizowana corocznie począwszy od 2017 r. do 2024 r. W przypadku</w:t>
      </w:r>
      <w:r w:rsidR="008A095F" w:rsidRPr="001268E7">
        <w:rPr>
          <w:rFonts w:cs="Calibri"/>
          <w:sz w:val="24"/>
          <w:szCs w:val="24"/>
          <w:lang w:eastAsia="pl-PL"/>
        </w:rPr>
        <w:t>,</w:t>
      </w:r>
      <w:r w:rsidRPr="001268E7">
        <w:rPr>
          <w:rFonts w:cs="Calibri"/>
          <w:sz w:val="24"/>
          <w:szCs w:val="24"/>
          <w:lang w:eastAsia="pl-PL"/>
        </w:rPr>
        <w:t xml:space="preserve"> gdy wspólny system zarządzania i kontroli ma zastosowanie do więcej niż jednego Programu, dla Programów tych można przygotować jedną strategię audytu.</w:t>
      </w:r>
      <w:r w:rsidRPr="001268E7">
        <w:rPr>
          <w:rFonts w:eastAsia="Times New Roman" w:cs="Calibri"/>
          <w:sz w:val="24"/>
          <w:szCs w:val="24"/>
          <w:lang w:eastAsia="en-GB"/>
        </w:rPr>
        <w:t xml:space="preserve"> Uaktualnioną </w:t>
      </w:r>
      <w:r w:rsidRPr="001268E7">
        <w:rPr>
          <w:rFonts w:cs="Calibri"/>
          <w:sz w:val="24"/>
          <w:szCs w:val="24"/>
          <w:lang w:eastAsia="pl-PL"/>
        </w:rPr>
        <w:t>strategię audytu przedkłada się Komisji Europejskiej wraz z rocznym sprawozdaniem z Programu;</w:t>
      </w:r>
    </w:p>
    <w:p w:rsidR="00465FFA" w:rsidRPr="001268E7" w:rsidRDefault="00465FFA" w:rsidP="00246345">
      <w:pPr>
        <w:pStyle w:val="Akapitzlist"/>
        <w:numPr>
          <w:ilvl w:val="0"/>
          <w:numId w:val="65"/>
        </w:numPr>
        <w:spacing w:before="100" w:beforeAutospacing="1" w:after="100" w:afterAutospacing="1" w:line="240" w:lineRule="auto"/>
        <w:contextualSpacing w:val="0"/>
        <w:jc w:val="both"/>
        <w:rPr>
          <w:rFonts w:eastAsia="Times New Roman" w:cs="Calibri"/>
          <w:sz w:val="24"/>
          <w:szCs w:val="24"/>
          <w:lang w:eastAsia="en-GB"/>
        </w:rPr>
      </w:pPr>
      <w:r w:rsidRPr="001268E7">
        <w:rPr>
          <w:rFonts w:cs="Calibri"/>
          <w:sz w:val="24"/>
          <w:szCs w:val="24"/>
          <w:lang w:eastAsia="pl-PL"/>
        </w:rPr>
        <w:t xml:space="preserve">sporządza opinię pokontrolną na temat </w:t>
      </w:r>
      <w:r w:rsidR="008A095F" w:rsidRPr="001268E7">
        <w:rPr>
          <w:rFonts w:cs="Calibri"/>
          <w:sz w:val="24"/>
          <w:szCs w:val="24"/>
          <w:lang w:eastAsia="pl-PL"/>
        </w:rPr>
        <w:t xml:space="preserve">rocznych </w:t>
      </w:r>
      <w:r w:rsidRPr="001268E7">
        <w:rPr>
          <w:rFonts w:cs="Calibri"/>
          <w:sz w:val="24"/>
          <w:szCs w:val="24"/>
          <w:lang w:eastAsia="pl-PL"/>
        </w:rPr>
        <w:t>sprawozdań finansowych za poprzedni rok obrotowy, a także roczne sprawozdanie z audytu.</w:t>
      </w:r>
    </w:p>
    <w:p w:rsidR="004B654C" w:rsidRPr="001268E7" w:rsidRDefault="00465FFA" w:rsidP="00465FFA">
      <w:pPr>
        <w:spacing w:before="100" w:beforeAutospacing="1" w:after="100" w:afterAutospacing="1" w:line="240" w:lineRule="auto"/>
        <w:jc w:val="both"/>
        <w:rPr>
          <w:rStyle w:val="Wyrnieniedelikatne"/>
          <w:szCs w:val="24"/>
        </w:rPr>
      </w:pPr>
      <w:r w:rsidRPr="001268E7">
        <w:rPr>
          <w:rStyle w:val="Wyrnieniedelikatne"/>
          <w:szCs w:val="24"/>
        </w:rPr>
        <w:t>Grupa Audytorów</w:t>
      </w:r>
    </w:p>
    <w:p w:rsidR="004B654C" w:rsidRPr="001268E7" w:rsidRDefault="00465FFA" w:rsidP="00465FFA">
      <w:pPr>
        <w:spacing w:before="100" w:beforeAutospacing="1" w:after="100" w:afterAutospacing="1" w:line="240" w:lineRule="auto"/>
        <w:jc w:val="both"/>
        <w:rPr>
          <w:rFonts w:cs="Calibri"/>
          <w:sz w:val="24"/>
          <w:szCs w:val="24"/>
        </w:rPr>
      </w:pPr>
      <w:r w:rsidRPr="001268E7">
        <w:rPr>
          <w:rFonts w:cs="Calibri"/>
          <w:sz w:val="24"/>
          <w:szCs w:val="24"/>
          <w:lang w:eastAsia="pl-PL"/>
        </w:rPr>
        <w:t>Członkowie GA udzielać będą IA wsparcia w zakresie oceny krajowej części systemu</w:t>
      </w:r>
      <w:r w:rsidR="00811590">
        <w:rPr>
          <w:rFonts w:cs="Calibri"/>
          <w:sz w:val="24"/>
          <w:szCs w:val="24"/>
          <w:lang w:eastAsia="pl-PL"/>
        </w:rPr>
        <w:t xml:space="preserve"> zarządzania i kontroli</w:t>
      </w:r>
      <w:r w:rsidRPr="001268E7">
        <w:rPr>
          <w:rFonts w:cs="Calibri"/>
          <w:sz w:val="24"/>
          <w:szCs w:val="24"/>
          <w:lang w:eastAsia="pl-PL"/>
        </w:rPr>
        <w:t xml:space="preserve"> oraz w trakcie przeprowadzania próbnych kontroli wydatków w ramach projektu.</w:t>
      </w:r>
      <w:r w:rsidR="004B654C" w:rsidRPr="001268E7">
        <w:rPr>
          <w:rFonts w:cs="Calibri"/>
          <w:sz w:val="24"/>
          <w:szCs w:val="24"/>
        </w:rPr>
        <w:t xml:space="preserve"> </w:t>
      </w:r>
      <w:r w:rsidRPr="001268E7">
        <w:rPr>
          <w:rFonts w:cs="Calibri"/>
          <w:sz w:val="24"/>
          <w:szCs w:val="24"/>
          <w:lang w:eastAsia="pl-PL"/>
        </w:rPr>
        <w:t>GA wspomaga też IA w zakresie opracowania strategii audytu Programu – bądź to poprzez jej wspólne przygotowywanie bądź też poprzez zatwierdzenie strategii przygotowanej przez IA.</w:t>
      </w:r>
      <w:r w:rsidR="004B654C" w:rsidRPr="001268E7">
        <w:rPr>
          <w:rFonts w:cs="Calibri"/>
          <w:sz w:val="24"/>
          <w:szCs w:val="24"/>
        </w:rPr>
        <w:t xml:space="preserve"> </w:t>
      </w:r>
    </w:p>
    <w:p w:rsidR="004B654C" w:rsidRPr="001268E7" w:rsidRDefault="00465FFA" w:rsidP="005E4186">
      <w:pPr>
        <w:spacing w:before="100" w:beforeAutospacing="1" w:after="100" w:afterAutospacing="1" w:line="240" w:lineRule="auto"/>
        <w:jc w:val="both"/>
        <w:rPr>
          <w:rFonts w:cs="Calibri"/>
          <w:sz w:val="24"/>
          <w:szCs w:val="24"/>
        </w:rPr>
      </w:pPr>
      <w:r w:rsidRPr="001268E7">
        <w:rPr>
          <w:rFonts w:cs="Calibri"/>
          <w:sz w:val="24"/>
          <w:szCs w:val="24"/>
          <w:lang w:eastAsia="pl-PL"/>
        </w:rPr>
        <w:t>W skład GA wchodzi przedstawiciel każdego z uczestniczących państw.</w:t>
      </w:r>
      <w:r w:rsidR="004B654C" w:rsidRPr="001268E7">
        <w:rPr>
          <w:rFonts w:cs="Calibri"/>
          <w:sz w:val="24"/>
          <w:szCs w:val="24"/>
        </w:rPr>
        <w:t xml:space="preserve"> </w:t>
      </w:r>
      <w:r w:rsidRPr="001268E7">
        <w:rPr>
          <w:rFonts w:cs="Calibri"/>
          <w:sz w:val="24"/>
          <w:szCs w:val="24"/>
          <w:lang w:eastAsia="pl-PL"/>
        </w:rPr>
        <w:t>GA powinna zostać powołana w przeciągu trzech miesięcy od daty desygnacji IZ.</w:t>
      </w:r>
      <w:r w:rsidR="004B654C" w:rsidRPr="001268E7">
        <w:rPr>
          <w:rFonts w:cs="Calibri"/>
          <w:sz w:val="24"/>
          <w:szCs w:val="24"/>
        </w:rPr>
        <w:t xml:space="preserve"> </w:t>
      </w:r>
      <w:r w:rsidR="00056C0B" w:rsidRPr="001268E7">
        <w:rPr>
          <w:rFonts w:cs="Calibri"/>
          <w:sz w:val="24"/>
          <w:szCs w:val="24"/>
          <w:lang w:eastAsia="pl-PL"/>
        </w:rPr>
        <w:t>GA ustala swoje własne Zasady Postępowania (ZP)</w:t>
      </w:r>
      <w:r w:rsidRPr="001268E7">
        <w:rPr>
          <w:rFonts w:cs="Calibri"/>
          <w:sz w:val="24"/>
          <w:szCs w:val="24"/>
          <w:lang w:eastAsia="pl-PL"/>
        </w:rPr>
        <w:t>.</w:t>
      </w:r>
      <w:r w:rsidR="004B654C" w:rsidRPr="001268E7">
        <w:rPr>
          <w:rFonts w:cs="Calibri"/>
          <w:sz w:val="24"/>
          <w:szCs w:val="24"/>
        </w:rPr>
        <w:t xml:space="preserve"> </w:t>
      </w:r>
      <w:r w:rsidRPr="001268E7">
        <w:rPr>
          <w:rFonts w:cs="Calibri"/>
          <w:sz w:val="24"/>
          <w:szCs w:val="24"/>
          <w:lang w:eastAsia="pl-PL"/>
        </w:rPr>
        <w:t>Przewodniczącym GA będzie przedstawiciel IA.</w:t>
      </w:r>
    </w:p>
    <w:p w:rsidR="004B654C" w:rsidRPr="001268E7" w:rsidRDefault="005E4186" w:rsidP="005E4186">
      <w:pPr>
        <w:spacing w:before="100" w:beforeAutospacing="1" w:after="100" w:afterAutospacing="1" w:line="240" w:lineRule="auto"/>
        <w:jc w:val="both"/>
        <w:rPr>
          <w:rFonts w:cs="Calibri"/>
          <w:sz w:val="24"/>
          <w:szCs w:val="24"/>
        </w:rPr>
      </w:pPr>
      <w:r w:rsidRPr="001268E7">
        <w:rPr>
          <w:rFonts w:cs="Calibri"/>
          <w:sz w:val="24"/>
          <w:szCs w:val="24"/>
          <w:lang w:eastAsia="pl-PL"/>
        </w:rPr>
        <w:t>W skład GA wchodzą wyznaczeni pracownicy służby cywilnej reprezentujący następujące instytucje i stanowiska:</w:t>
      </w:r>
    </w:p>
    <w:p w:rsidR="005E4186" w:rsidRPr="001268E7" w:rsidRDefault="005E4186" w:rsidP="00246345">
      <w:pPr>
        <w:pStyle w:val="Akapitzlist"/>
        <w:numPr>
          <w:ilvl w:val="0"/>
          <w:numId w:val="66"/>
        </w:numPr>
        <w:spacing w:before="100" w:beforeAutospacing="1" w:after="100" w:afterAutospacing="1" w:line="240" w:lineRule="auto"/>
        <w:contextualSpacing w:val="0"/>
        <w:jc w:val="both"/>
        <w:rPr>
          <w:rFonts w:cs="Calibri"/>
          <w:bCs/>
          <w:iCs/>
          <w:smallCaps/>
          <w:vanish/>
          <w:sz w:val="24"/>
          <w:szCs w:val="24"/>
        </w:rPr>
      </w:pPr>
      <w:r w:rsidRPr="001268E7">
        <w:rPr>
          <w:rFonts w:cs="Calibri"/>
          <w:sz w:val="24"/>
          <w:szCs w:val="24"/>
        </w:rPr>
        <w:t xml:space="preserve">Polska: </w:t>
      </w:r>
      <w:r w:rsidR="00456895">
        <w:rPr>
          <w:rFonts w:cs="Calibri"/>
          <w:sz w:val="24"/>
          <w:szCs w:val="24"/>
          <w:lang w:eastAsia="pl-PL"/>
        </w:rPr>
        <w:t xml:space="preserve">Szef Krajowej Administracji Skarbowej </w:t>
      </w:r>
      <w:r w:rsidRPr="001268E7">
        <w:rPr>
          <w:rFonts w:cs="Calibri"/>
          <w:sz w:val="24"/>
          <w:szCs w:val="24"/>
          <w:lang w:eastAsia="pl-PL"/>
        </w:rPr>
        <w:t xml:space="preserve"> (Ministerstwo Finansów, Departament </w:t>
      </w:r>
      <w:r w:rsidR="00456895">
        <w:rPr>
          <w:rFonts w:cs="Calibri"/>
          <w:sz w:val="24"/>
          <w:szCs w:val="24"/>
          <w:lang w:eastAsia="pl-PL"/>
        </w:rPr>
        <w:t>Audytu Środków Publicznych</w:t>
      </w:r>
      <w:r w:rsidRPr="001268E7">
        <w:rPr>
          <w:rFonts w:cs="Calibri"/>
          <w:sz w:val="24"/>
          <w:szCs w:val="24"/>
          <w:lang w:eastAsia="pl-PL"/>
        </w:rPr>
        <w:t>);</w:t>
      </w:r>
    </w:p>
    <w:p w:rsidR="00B120BC" w:rsidRPr="00B120BC" w:rsidRDefault="00B120BC" w:rsidP="00246345">
      <w:pPr>
        <w:pStyle w:val="Akapitzlist"/>
        <w:numPr>
          <w:ilvl w:val="0"/>
          <w:numId w:val="66"/>
        </w:numPr>
        <w:spacing w:before="100" w:beforeAutospacing="1" w:after="100" w:afterAutospacing="1" w:line="240" w:lineRule="auto"/>
        <w:contextualSpacing w:val="0"/>
        <w:jc w:val="both"/>
        <w:rPr>
          <w:rFonts w:cs="Calibri"/>
          <w:bCs/>
          <w:iCs/>
          <w:smallCaps/>
          <w:vanish/>
          <w:sz w:val="24"/>
          <w:szCs w:val="24"/>
        </w:rPr>
      </w:pPr>
    </w:p>
    <w:p w:rsidR="00B120BC" w:rsidRPr="00B120BC" w:rsidRDefault="00B120BC" w:rsidP="00246345">
      <w:pPr>
        <w:pStyle w:val="Akapitzlist"/>
        <w:numPr>
          <w:ilvl w:val="0"/>
          <w:numId w:val="66"/>
        </w:numPr>
        <w:spacing w:before="100" w:beforeAutospacing="1" w:after="100" w:afterAutospacing="1" w:line="240" w:lineRule="auto"/>
        <w:contextualSpacing w:val="0"/>
        <w:jc w:val="both"/>
        <w:rPr>
          <w:rFonts w:cs="Calibri"/>
          <w:bCs/>
          <w:iCs/>
          <w:smallCaps/>
          <w:vanish/>
          <w:sz w:val="24"/>
          <w:szCs w:val="24"/>
        </w:rPr>
      </w:pPr>
    </w:p>
    <w:p w:rsidR="005E4186" w:rsidRPr="001268E7" w:rsidRDefault="005E4186" w:rsidP="00246345">
      <w:pPr>
        <w:pStyle w:val="Akapitzlist"/>
        <w:numPr>
          <w:ilvl w:val="0"/>
          <w:numId w:val="66"/>
        </w:numPr>
        <w:spacing w:before="100" w:beforeAutospacing="1" w:after="100" w:afterAutospacing="1" w:line="240" w:lineRule="auto"/>
        <w:contextualSpacing w:val="0"/>
        <w:jc w:val="both"/>
        <w:rPr>
          <w:rFonts w:cs="Calibri"/>
          <w:bCs/>
          <w:iCs/>
          <w:smallCaps/>
          <w:vanish/>
          <w:sz w:val="24"/>
          <w:szCs w:val="24"/>
        </w:rPr>
      </w:pPr>
    </w:p>
    <w:p w:rsidR="00B120BC" w:rsidRDefault="00B120BC" w:rsidP="005E4186">
      <w:pPr>
        <w:autoSpaceDE w:val="0"/>
        <w:autoSpaceDN w:val="0"/>
        <w:adjustRightInd w:val="0"/>
        <w:spacing w:before="100" w:beforeAutospacing="1" w:after="100" w:afterAutospacing="1" w:line="240" w:lineRule="auto"/>
        <w:jc w:val="both"/>
        <w:rPr>
          <w:rFonts w:cs="Calibri"/>
          <w:sz w:val="24"/>
          <w:szCs w:val="24"/>
          <w:lang w:eastAsia="pl-PL"/>
        </w:rPr>
      </w:pPr>
    </w:p>
    <w:p w:rsidR="00B120BC" w:rsidRDefault="00B120BC" w:rsidP="00246345">
      <w:pPr>
        <w:pStyle w:val="Akapitzlist"/>
        <w:numPr>
          <w:ilvl w:val="0"/>
          <w:numId w:val="66"/>
        </w:numPr>
        <w:spacing w:before="100" w:beforeAutospacing="1" w:after="100" w:afterAutospacing="1" w:line="240" w:lineRule="auto"/>
        <w:contextualSpacing w:val="0"/>
        <w:jc w:val="both"/>
        <w:rPr>
          <w:rFonts w:cs="Calibri"/>
          <w:sz w:val="24"/>
          <w:szCs w:val="24"/>
          <w:lang w:eastAsia="pl-PL"/>
        </w:rPr>
      </w:pPr>
      <w:r w:rsidRPr="001268E7">
        <w:rPr>
          <w:rFonts w:cs="Calibri"/>
          <w:sz w:val="24"/>
          <w:szCs w:val="24"/>
        </w:rPr>
        <w:lastRenderedPageBreak/>
        <w:t xml:space="preserve">Federacja Rosyjska: </w:t>
      </w:r>
      <w:r w:rsidRPr="001268E7">
        <w:rPr>
          <w:rFonts w:cs="Calibri"/>
          <w:sz w:val="24"/>
          <w:szCs w:val="24"/>
          <w:lang w:eastAsia="pl-PL"/>
        </w:rPr>
        <w:t>Ministerstwo Finansów.</w:t>
      </w:r>
    </w:p>
    <w:p w:rsidR="004B654C" w:rsidRPr="001268E7" w:rsidRDefault="005E4186" w:rsidP="005E418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Podczas posiedzeń GA omawiane będą następujące zagadnienia dotyczące przeprowadzania audytów:</w:t>
      </w:r>
      <w:r w:rsidR="004B654C" w:rsidRPr="001268E7">
        <w:rPr>
          <w:rFonts w:cs="Calibri"/>
          <w:sz w:val="24"/>
          <w:szCs w:val="24"/>
        </w:rPr>
        <w:t xml:space="preserve"> </w:t>
      </w:r>
    </w:p>
    <w:p w:rsidR="005E4186" w:rsidRPr="001268E7" w:rsidRDefault="008A095F" w:rsidP="00246345">
      <w:pPr>
        <w:pStyle w:val="Akapitzlist"/>
        <w:numPr>
          <w:ilvl w:val="0"/>
          <w:numId w:val="67"/>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s</w:t>
      </w:r>
      <w:r w:rsidR="005E4186" w:rsidRPr="001268E7">
        <w:rPr>
          <w:rFonts w:cs="Calibri"/>
          <w:sz w:val="24"/>
          <w:szCs w:val="24"/>
          <w:lang w:eastAsia="pl-PL"/>
        </w:rPr>
        <w:t>t</w:t>
      </w:r>
      <w:r w:rsidR="004C6CB9" w:rsidRPr="001268E7">
        <w:rPr>
          <w:rFonts w:cs="Calibri"/>
          <w:sz w:val="24"/>
          <w:szCs w:val="24"/>
          <w:lang w:eastAsia="pl-PL"/>
        </w:rPr>
        <w:t>rategia audytu (łącznie z metodą</w:t>
      </w:r>
      <w:r w:rsidR="005E4186" w:rsidRPr="001268E7">
        <w:rPr>
          <w:rFonts w:cs="Calibri"/>
          <w:sz w:val="24"/>
          <w:szCs w:val="24"/>
          <w:lang w:eastAsia="pl-PL"/>
        </w:rPr>
        <w:t xml:space="preserve"> próbkowania, metodologią audytów rocznych sprawo</w:t>
      </w:r>
      <w:r w:rsidRPr="001268E7">
        <w:rPr>
          <w:rFonts w:cs="Calibri"/>
          <w:sz w:val="24"/>
          <w:szCs w:val="24"/>
          <w:lang w:eastAsia="pl-PL"/>
        </w:rPr>
        <w:t>zdań finansowych oraz projektów</w:t>
      </w:r>
      <w:r w:rsidR="005E4186" w:rsidRPr="001268E7">
        <w:rPr>
          <w:rFonts w:cs="Calibri"/>
          <w:sz w:val="24"/>
          <w:szCs w:val="24"/>
          <w:lang w:eastAsia="pl-PL"/>
        </w:rPr>
        <w:t xml:space="preserve"> itd.);</w:t>
      </w:r>
    </w:p>
    <w:p w:rsidR="005E4186" w:rsidRPr="001268E7" w:rsidRDefault="005E4186" w:rsidP="00246345">
      <w:pPr>
        <w:pStyle w:val="Akapitzlist"/>
        <w:numPr>
          <w:ilvl w:val="0"/>
          <w:numId w:val="67"/>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opinia pokontrolna nt. rocznych sprawozdań finansowych;</w:t>
      </w:r>
    </w:p>
    <w:p w:rsidR="005E4186" w:rsidRPr="001268E7" w:rsidRDefault="005E4186" w:rsidP="00246345">
      <w:pPr>
        <w:pStyle w:val="Akapitzlist"/>
        <w:numPr>
          <w:ilvl w:val="0"/>
          <w:numId w:val="67"/>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roczne sprawozdanie z audytu;</w:t>
      </w:r>
      <w:r w:rsidRPr="001268E7">
        <w:rPr>
          <w:rFonts w:cs="Calibri"/>
          <w:sz w:val="24"/>
          <w:szCs w:val="24"/>
        </w:rPr>
        <w:t xml:space="preserve"> </w:t>
      </w:r>
    </w:p>
    <w:p w:rsidR="005E4186" w:rsidRPr="001268E7" w:rsidRDefault="005E4186" w:rsidP="00246345">
      <w:pPr>
        <w:pStyle w:val="Akapitzlist"/>
        <w:numPr>
          <w:ilvl w:val="0"/>
          <w:numId w:val="67"/>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inne istotne zag</w:t>
      </w:r>
      <w:r w:rsidR="008A095F" w:rsidRPr="001268E7">
        <w:rPr>
          <w:rFonts w:cs="Calibri"/>
          <w:sz w:val="24"/>
          <w:szCs w:val="24"/>
          <w:lang w:eastAsia="pl-PL"/>
        </w:rPr>
        <w:t xml:space="preserve">adnienia poruszane przez </w:t>
      </w:r>
      <w:r w:rsidRPr="001268E7">
        <w:rPr>
          <w:rFonts w:cs="Calibri"/>
          <w:sz w:val="24"/>
          <w:szCs w:val="24"/>
          <w:lang w:eastAsia="pl-PL"/>
        </w:rPr>
        <w:t>członka(-ów) GA.</w:t>
      </w:r>
    </w:p>
    <w:p w:rsidR="004B654C" w:rsidRPr="001268E7" w:rsidRDefault="005E4186" w:rsidP="005E4186">
      <w:pPr>
        <w:pStyle w:val="Nagwek2"/>
        <w:rPr>
          <w:szCs w:val="28"/>
        </w:rPr>
      </w:pPr>
      <w:bookmarkStart w:id="30" w:name="_Toc530737579"/>
      <w:r w:rsidRPr="001268E7">
        <w:rPr>
          <w:szCs w:val="28"/>
        </w:rPr>
        <w:t>3.6 Kontrolne Punkty Kontaktowe</w:t>
      </w:r>
      <w:bookmarkEnd w:id="30"/>
    </w:p>
    <w:p w:rsidR="004B654C" w:rsidRPr="001268E7" w:rsidRDefault="005E4186" w:rsidP="005E4186">
      <w:p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KPK tworzone są w każdym z państw uczestniczących w celu udzielania wsparcia Instytucji Zarządzającej w zakresie weryfikacji wydatków deklarowanych przez beneficjentów.</w:t>
      </w:r>
    </w:p>
    <w:p w:rsidR="004B654C" w:rsidRPr="001268E7" w:rsidRDefault="005E4186" w:rsidP="005E418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Każdy z krajów uczestniczących ustanowił KPK.</w:t>
      </w:r>
      <w:r w:rsidR="004B654C" w:rsidRPr="001268E7">
        <w:rPr>
          <w:rFonts w:cs="Calibri"/>
          <w:sz w:val="24"/>
          <w:szCs w:val="24"/>
        </w:rPr>
        <w:t xml:space="preserve"> </w:t>
      </w:r>
      <w:r w:rsidRPr="001268E7">
        <w:rPr>
          <w:rFonts w:cs="Calibri"/>
          <w:sz w:val="24"/>
          <w:szCs w:val="24"/>
        </w:rPr>
        <w:t>Funkcję KPK realizowały będą następujące instytucje:</w:t>
      </w:r>
    </w:p>
    <w:p w:rsidR="005E4186" w:rsidRPr="001268E7" w:rsidRDefault="005E4186" w:rsidP="00246345">
      <w:pPr>
        <w:pStyle w:val="Akapitzlist"/>
        <w:numPr>
          <w:ilvl w:val="0"/>
          <w:numId w:val="68"/>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 xml:space="preserve">w Polsce - </w:t>
      </w:r>
      <w:r w:rsidRPr="001268E7">
        <w:rPr>
          <w:rFonts w:cs="Calibri"/>
          <w:sz w:val="24"/>
          <w:szCs w:val="24"/>
          <w:lang w:eastAsia="pl-PL"/>
        </w:rPr>
        <w:t xml:space="preserve">Centrum Projektów Europejskich (KPK będzie ustanowiony jako odrębny wydział w Centrum Projektów Europejskich i będzie funkcjonować niezależnie od </w:t>
      </w:r>
      <w:r w:rsidR="008A095F" w:rsidRPr="001268E7">
        <w:rPr>
          <w:rFonts w:cs="Calibri"/>
          <w:sz w:val="24"/>
          <w:szCs w:val="24"/>
          <w:lang w:eastAsia="pl-PL"/>
        </w:rPr>
        <w:t xml:space="preserve">innego </w:t>
      </w:r>
      <w:r w:rsidRPr="001268E7">
        <w:rPr>
          <w:rFonts w:cs="Calibri"/>
          <w:sz w:val="24"/>
          <w:szCs w:val="24"/>
          <w:lang w:eastAsia="pl-PL"/>
        </w:rPr>
        <w:t>wydziału pełniącego rolę WST).</w:t>
      </w:r>
    </w:p>
    <w:p w:rsidR="005E4186" w:rsidRPr="001268E7" w:rsidRDefault="005E4186" w:rsidP="00246345">
      <w:pPr>
        <w:pStyle w:val="Akapitzlist1"/>
        <w:numPr>
          <w:ilvl w:val="0"/>
          <w:numId w:val="68"/>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w Federacji Rosyjskiej - Ministerstwo Rozwoju Gospodarczego Federacji Rosyjskiej, Departament Rozwoju Współpracy Regionalnej i Transgranicznej, wiceszef departamentu</w:t>
      </w:r>
      <w:r w:rsidR="00D560E2">
        <w:rPr>
          <w:rFonts w:cs="Calibri"/>
          <w:sz w:val="24"/>
          <w:szCs w:val="24"/>
        </w:rPr>
        <w:t xml:space="preserve"> Rozwoju Współpracy Regionalnej i Transgranicznej, który będzie funkcjonalnie niezależny od zespołu pełniącego funkcję Instytucji Krajowej</w:t>
      </w:r>
      <w:r w:rsidRPr="001268E7">
        <w:rPr>
          <w:rFonts w:cs="Calibri"/>
          <w:sz w:val="24"/>
          <w:szCs w:val="24"/>
        </w:rPr>
        <w:t xml:space="preserve">. </w:t>
      </w:r>
    </w:p>
    <w:p w:rsidR="004B654C" w:rsidRPr="00116383" w:rsidRDefault="005E4186" w:rsidP="005E4186">
      <w:pPr>
        <w:autoSpaceDE w:val="0"/>
        <w:autoSpaceDN w:val="0"/>
        <w:adjustRightInd w:val="0"/>
        <w:spacing w:before="100" w:beforeAutospacing="1" w:after="100" w:afterAutospacing="1" w:line="240" w:lineRule="auto"/>
        <w:jc w:val="both"/>
        <w:rPr>
          <w:rStyle w:val="Wyrnieniedelikatne"/>
        </w:rPr>
      </w:pPr>
      <w:r w:rsidRPr="00116383">
        <w:rPr>
          <w:rStyle w:val="Wyrnieniedelikatne"/>
        </w:rPr>
        <w:t>Ogólne funkcje Kontrolnych Punktów Kontaktowych</w:t>
      </w:r>
    </w:p>
    <w:p w:rsidR="004B654C" w:rsidRPr="001268E7" w:rsidRDefault="005E4186" w:rsidP="005E4186">
      <w:p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Zadania KPK w Polsce mogą obejmować:</w:t>
      </w:r>
    </w:p>
    <w:p w:rsidR="005E4186" w:rsidRPr="001268E7" w:rsidRDefault="005E4186" w:rsidP="00246345">
      <w:pPr>
        <w:pStyle w:val="Akapitzlist"/>
        <w:numPr>
          <w:ilvl w:val="0"/>
          <w:numId w:val="71"/>
        </w:num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sz w:val="24"/>
          <w:szCs w:val="24"/>
          <w:lang w:eastAsia="pl-PL"/>
        </w:rPr>
        <w:t>Sprawowanie nadzoru nad weryfikacją wydatków na poziomie projektu, poprzez:</w:t>
      </w:r>
    </w:p>
    <w:p w:rsidR="005E4186" w:rsidRPr="001268E7" w:rsidRDefault="005E4186" w:rsidP="00246345">
      <w:pPr>
        <w:pStyle w:val="Akapitzlist"/>
        <w:numPr>
          <w:ilvl w:val="0"/>
          <w:numId w:val="69"/>
        </w:num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sz w:val="24"/>
          <w:szCs w:val="24"/>
          <w:lang w:eastAsia="pl-PL"/>
        </w:rPr>
        <w:t>Ustalanie kryteriów, jakie będą musieli spełniać audytorzy angażowani przez beneficjentów;</w:t>
      </w:r>
    </w:p>
    <w:p w:rsidR="005E4186" w:rsidRPr="001268E7" w:rsidRDefault="005E4186" w:rsidP="00246345">
      <w:pPr>
        <w:pStyle w:val="Akapitzlist"/>
        <w:numPr>
          <w:ilvl w:val="0"/>
          <w:numId w:val="69"/>
        </w:num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sz w:val="24"/>
          <w:szCs w:val="24"/>
          <w:lang w:eastAsia="pl-PL"/>
        </w:rPr>
        <w:t>Zatwierdzanie niezależnych audytorów angażowanych przez beneficjentów;</w:t>
      </w:r>
    </w:p>
    <w:p w:rsidR="005E4186" w:rsidRPr="001268E7" w:rsidRDefault="005E4186" w:rsidP="00246345">
      <w:pPr>
        <w:pStyle w:val="Akapitzlist"/>
        <w:numPr>
          <w:ilvl w:val="0"/>
          <w:numId w:val="69"/>
        </w:num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sz w:val="24"/>
          <w:szCs w:val="24"/>
          <w:lang w:eastAsia="pl-PL"/>
        </w:rPr>
        <w:t>Na wniosek IZ – przeprowadzanie kontroli jakości działań audytorów (we współpracy z innymi właściwymi instytucjami) w przypadku jakichkolwiek podejrzeń co do tego, że dany audytor może nie wykonywać pracy w sposób rzetelny;</w:t>
      </w:r>
    </w:p>
    <w:p w:rsidR="005E4186" w:rsidRPr="001268E7" w:rsidRDefault="005E4186" w:rsidP="00246345">
      <w:pPr>
        <w:pStyle w:val="Akapitzlist"/>
        <w:numPr>
          <w:ilvl w:val="0"/>
          <w:numId w:val="69"/>
        </w:num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sz w:val="24"/>
          <w:szCs w:val="24"/>
          <w:lang w:eastAsia="pl-PL"/>
        </w:rPr>
        <w:t>Udzielanie wsparcia WST/IZ w zakresie przeprowadzania szkoleń dla audytorów zaangażowanych przez beneficjentów;</w:t>
      </w:r>
    </w:p>
    <w:p w:rsidR="005E4186" w:rsidRPr="001268E7" w:rsidRDefault="005E4186" w:rsidP="00246345">
      <w:pPr>
        <w:pStyle w:val="Akapitzlist"/>
        <w:numPr>
          <w:ilvl w:val="0"/>
          <w:numId w:val="70"/>
        </w:numPr>
        <w:autoSpaceDE w:val="0"/>
        <w:autoSpaceDN w:val="0"/>
        <w:adjustRightInd w:val="0"/>
        <w:spacing w:before="100" w:beforeAutospacing="1" w:after="100" w:afterAutospacing="1" w:line="240" w:lineRule="auto"/>
        <w:jc w:val="both"/>
        <w:rPr>
          <w:rFonts w:asciiTheme="minorHAnsi" w:hAnsiTheme="minorHAnsi" w:cs="Calibri"/>
          <w:bCs/>
          <w:iCs/>
          <w:smallCaps/>
          <w:vanish/>
          <w:color w:val="000000"/>
          <w:sz w:val="24"/>
          <w:szCs w:val="24"/>
        </w:rPr>
      </w:pPr>
      <w:r w:rsidRPr="001268E7">
        <w:rPr>
          <w:rFonts w:asciiTheme="minorHAnsi" w:hAnsiTheme="minorHAnsi" w:cs="Calibri"/>
          <w:sz w:val="24"/>
          <w:szCs w:val="24"/>
          <w:lang w:eastAsia="pl-PL"/>
        </w:rPr>
        <w:t>Udzielanie wyjaśnień IK/WST/IZ w odniesieniu do przepisów krajowych (dotyczących zamówień publicznych, podatku VAT, prawa pracy itd.) we współpracy z właściwymi organami władzy publicznej;</w:t>
      </w:r>
    </w:p>
    <w:p w:rsidR="00116383" w:rsidRDefault="00116383" w:rsidP="00246345">
      <w:pPr>
        <w:pStyle w:val="Akapitzlist"/>
        <w:numPr>
          <w:ilvl w:val="0"/>
          <w:numId w:val="70"/>
        </w:numPr>
        <w:autoSpaceDE w:val="0"/>
        <w:autoSpaceDN w:val="0"/>
        <w:adjustRightInd w:val="0"/>
        <w:spacing w:before="100" w:beforeAutospacing="1" w:after="100" w:afterAutospacing="1" w:line="240" w:lineRule="auto"/>
        <w:jc w:val="both"/>
        <w:rPr>
          <w:rFonts w:asciiTheme="minorHAnsi" w:hAnsiTheme="minorHAnsi" w:cs="Calibri"/>
          <w:sz w:val="24"/>
          <w:szCs w:val="24"/>
        </w:rPr>
      </w:pPr>
    </w:p>
    <w:p w:rsidR="005E4186" w:rsidRPr="001268E7" w:rsidRDefault="005E4186" w:rsidP="00246345">
      <w:pPr>
        <w:pStyle w:val="Akapitzlist"/>
        <w:numPr>
          <w:ilvl w:val="0"/>
          <w:numId w:val="70"/>
        </w:num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t>Udzielanie odpowiedzi na ewentualne prośby o w</w:t>
      </w:r>
      <w:r w:rsidR="00BB659E" w:rsidRPr="001268E7">
        <w:rPr>
          <w:rFonts w:asciiTheme="minorHAnsi" w:hAnsiTheme="minorHAnsi" w:cs="Calibri"/>
          <w:sz w:val="24"/>
          <w:szCs w:val="24"/>
          <w:lang w:eastAsia="pl-PL"/>
        </w:rPr>
        <w:t>yjaśnienia składane przez WST/IZ</w:t>
      </w:r>
      <w:r w:rsidRPr="001268E7">
        <w:rPr>
          <w:rFonts w:asciiTheme="minorHAnsi" w:hAnsiTheme="minorHAnsi" w:cs="Calibri"/>
          <w:sz w:val="24"/>
          <w:szCs w:val="24"/>
          <w:lang w:eastAsia="pl-PL"/>
        </w:rPr>
        <w:t xml:space="preserve"> w celu nadania właściwego biegu wnioskom o płatność;</w:t>
      </w:r>
    </w:p>
    <w:p w:rsidR="005E4186" w:rsidRPr="001268E7" w:rsidRDefault="00BB659E" w:rsidP="00246345">
      <w:pPr>
        <w:pStyle w:val="Akapitzlist"/>
        <w:numPr>
          <w:ilvl w:val="0"/>
          <w:numId w:val="70"/>
        </w:num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lastRenderedPageBreak/>
        <w:t>Udzielanie wsparcia IZ</w:t>
      </w:r>
      <w:r w:rsidR="005E4186" w:rsidRPr="001268E7">
        <w:rPr>
          <w:rFonts w:asciiTheme="minorHAnsi" w:hAnsiTheme="minorHAnsi" w:cs="Calibri"/>
          <w:sz w:val="24"/>
          <w:szCs w:val="24"/>
          <w:lang w:eastAsia="pl-PL"/>
        </w:rPr>
        <w:t>/WST/IK w ramach procedur odzyskiwania należności;</w:t>
      </w:r>
    </w:p>
    <w:p w:rsidR="005E4186" w:rsidRPr="001268E7" w:rsidRDefault="005E4186" w:rsidP="00246345">
      <w:pPr>
        <w:pStyle w:val="Akapitzlist"/>
        <w:numPr>
          <w:ilvl w:val="0"/>
          <w:numId w:val="70"/>
        </w:num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t xml:space="preserve">Udzielanie wsparcia WST/IZ w zakresie przygotowania treści </w:t>
      </w:r>
      <w:r w:rsidRPr="001268E7">
        <w:rPr>
          <w:rFonts w:asciiTheme="minorHAnsi" w:hAnsiTheme="minorHAnsi" w:cs="Calibri,Italic"/>
          <w:i/>
          <w:iCs/>
          <w:sz w:val="24"/>
          <w:szCs w:val="24"/>
          <w:lang w:eastAsia="pl-PL"/>
        </w:rPr>
        <w:t>Wytycznych w zakresie weryfikacji wydatków;</w:t>
      </w:r>
    </w:p>
    <w:p w:rsidR="005E4186" w:rsidRPr="001268E7" w:rsidRDefault="005E4186" w:rsidP="00246345">
      <w:pPr>
        <w:pStyle w:val="Akapitzlist"/>
        <w:numPr>
          <w:ilvl w:val="0"/>
          <w:numId w:val="70"/>
        </w:numPr>
        <w:spacing w:before="100" w:beforeAutospacing="1" w:after="100" w:afterAutospacing="1" w:line="240" w:lineRule="auto"/>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Udzielanie wsparcia WST/IZ w zakresie przeprowadzania kontroli na miejscu w projektach na terytorium kraju.</w:t>
      </w:r>
    </w:p>
    <w:p w:rsidR="004B654C" w:rsidRPr="001268E7" w:rsidRDefault="005E4186" w:rsidP="005E4186">
      <w:p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color w:val="000000"/>
          <w:sz w:val="24"/>
          <w:szCs w:val="24"/>
        </w:rPr>
        <w:t>Zadania KPK na terenie Federacji Rosyjskiej:</w:t>
      </w:r>
    </w:p>
    <w:p w:rsidR="005E4186" w:rsidRPr="001268E7" w:rsidRDefault="005E4186" w:rsidP="00246345">
      <w:pPr>
        <w:pStyle w:val="Akapitzlist"/>
        <w:numPr>
          <w:ilvl w:val="0"/>
          <w:numId w:val="73"/>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Sprawowanie nadzoru nad weryfikacją wydatków na poziomie projektu, poprzez:</w:t>
      </w:r>
    </w:p>
    <w:p w:rsidR="005E4186" w:rsidRPr="001268E7" w:rsidRDefault="005E4186" w:rsidP="00246345">
      <w:pPr>
        <w:pStyle w:val="Akapitzlist"/>
        <w:numPr>
          <w:ilvl w:val="0"/>
          <w:numId w:val="72"/>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Ustalanie kryteriów, jakie będą musieli spełniać audytorzy angażowani przez beneficjentów;</w:t>
      </w:r>
    </w:p>
    <w:p w:rsidR="005E4186" w:rsidRPr="001268E7" w:rsidRDefault="005E4186" w:rsidP="00246345">
      <w:pPr>
        <w:pStyle w:val="Akapitzlist"/>
        <w:numPr>
          <w:ilvl w:val="0"/>
          <w:numId w:val="72"/>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Udzielanie wsparcia WST/IZ w zakresie przeprowadzania szkoleń dla audytorów zaangażowanych przez beneficjentów;</w:t>
      </w:r>
    </w:p>
    <w:p w:rsidR="005E4186" w:rsidRPr="001268E7" w:rsidRDefault="005E4186" w:rsidP="00246345">
      <w:pPr>
        <w:pStyle w:val="Akapitzlist"/>
        <w:numPr>
          <w:ilvl w:val="0"/>
          <w:numId w:val="72"/>
        </w:numPr>
        <w:rPr>
          <w:rFonts w:cs="Calibri"/>
          <w:color w:val="000000"/>
          <w:sz w:val="24"/>
          <w:szCs w:val="24"/>
        </w:rPr>
      </w:pPr>
      <w:r w:rsidRPr="001268E7">
        <w:rPr>
          <w:rFonts w:cs="Calibri"/>
          <w:color w:val="000000"/>
          <w:sz w:val="24"/>
          <w:szCs w:val="24"/>
        </w:rPr>
        <w:t>Na wniosek IZ – przeprowadzanie kontroli jakości działań audytorów (we współpracy z innymi właściwymi instytucjami) w przypadku jakichkolwiek podejrzeń co do tego, że dany audytor może nie wykonywać pracy w sposób rzetelny.</w:t>
      </w:r>
    </w:p>
    <w:p w:rsidR="005E4186" w:rsidRPr="001268E7" w:rsidRDefault="005E4186" w:rsidP="00246345">
      <w:pPr>
        <w:pStyle w:val="Akapitzlist"/>
        <w:numPr>
          <w:ilvl w:val="0"/>
          <w:numId w:val="74"/>
        </w:numPr>
        <w:autoSpaceDE w:val="0"/>
        <w:autoSpaceDN w:val="0"/>
        <w:adjustRightInd w:val="0"/>
        <w:spacing w:before="100" w:beforeAutospacing="1" w:after="100" w:afterAutospacing="1" w:line="240" w:lineRule="auto"/>
        <w:jc w:val="both"/>
        <w:rPr>
          <w:rFonts w:cs="Calibri"/>
          <w:bCs/>
          <w:iCs/>
          <w:smallCaps/>
          <w:vanish/>
          <w:color w:val="000000"/>
          <w:sz w:val="24"/>
          <w:szCs w:val="24"/>
        </w:rPr>
      </w:pPr>
      <w:r w:rsidRPr="001268E7">
        <w:rPr>
          <w:rFonts w:cs="Calibri"/>
          <w:sz w:val="24"/>
          <w:szCs w:val="24"/>
        </w:rPr>
        <w:t xml:space="preserve">Udzielanie wyjaśnień IK/WST/IZ w odniesieniu do przepisów krajowych (dotyczących zamówień publicznych, podatku VAT, prawa pracy itd.) </w:t>
      </w:r>
      <w:r w:rsidRPr="001268E7">
        <w:rPr>
          <w:rFonts w:cs="Calibri"/>
          <w:color w:val="000000"/>
          <w:sz w:val="24"/>
          <w:szCs w:val="24"/>
        </w:rPr>
        <w:t>we współpracy z właściwymi organami władzy publicznej;</w:t>
      </w:r>
    </w:p>
    <w:p w:rsidR="00116383" w:rsidRDefault="00116383" w:rsidP="00246345">
      <w:pPr>
        <w:pStyle w:val="Akapitzlist"/>
        <w:numPr>
          <w:ilvl w:val="0"/>
          <w:numId w:val="74"/>
        </w:numPr>
        <w:autoSpaceDE w:val="0"/>
        <w:autoSpaceDN w:val="0"/>
        <w:adjustRightInd w:val="0"/>
        <w:spacing w:before="100" w:beforeAutospacing="1" w:after="100" w:afterAutospacing="1" w:line="240" w:lineRule="auto"/>
        <w:jc w:val="both"/>
        <w:rPr>
          <w:rFonts w:cs="Calibri"/>
          <w:sz w:val="24"/>
          <w:szCs w:val="24"/>
        </w:rPr>
      </w:pPr>
    </w:p>
    <w:p w:rsidR="005E4186" w:rsidRPr="001268E7" w:rsidRDefault="005E4186" w:rsidP="00246345">
      <w:pPr>
        <w:pStyle w:val="Akapitzlist"/>
        <w:numPr>
          <w:ilvl w:val="0"/>
          <w:numId w:val="74"/>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Udzielanie odpowiedzi na ewentualne prośby o w</w:t>
      </w:r>
      <w:r w:rsidR="00BB659E" w:rsidRPr="001268E7">
        <w:rPr>
          <w:rFonts w:cs="Calibri"/>
          <w:sz w:val="24"/>
          <w:szCs w:val="24"/>
        </w:rPr>
        <w:t>yjaśnienia składane przez WST/IZ</w:t>
      </w:r>
      <w:r w:rsidRPr="001268E7">
        <w:rPr>
          <w:rFonts w:cs="Calibri"/>
          <w:sz w:val="24"/>
          <w:szCs w:val="24"/>
        </w:rPr>
        <w:t xml:space="preserve"> w celu nadania właściwego biegu wnioskom o płatność;</w:t>
      </w:r>
    </w:p>
    <w:p w:rsidR="005E4186" w:rsidRPr="001268E7" w:rsidRDefault="005E4186" w:rsidP="00246345">
      <w:pPr>
        <w:pStyle w:val="Akapitzlist"/>
        <w:numPr>
          <w:ilvl w:val="0"/>
          <w:numId w:val="74"/>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Udzielanie wspa</w:t>
      </w:r>
      <w:r w:rsidR="00BB659E" w:rsidRPr="001268E7">
        <w:rPr>
          <w:rFonts w:cs="Calibri"/>
          <w:sz w:val="24"/>
          <w:szCs w:val="24"/>
        </w:rPr>
        <w:t>rcia IZ</w:t>
      </w:r>
      <w:r w:rsidRPr="001268E7">
        <w:rPr>
          <w:rFonts w:cs="Calibri"/>
          <w:sz w:val="24"/>
          <w:szCs w:val="24"/>
        </w:rPr>
        <w:t>/WST/IK w ramach procedur odzyskiwania należności;</w:t>
      </w:r>
    </w:p>
    <w:p w:rsidR="005E4186" w:rsidRPr="001268E7" w:rsidRDefault="005E4186" w:rsidP="00246345">
      <w:pPr>
        <w:pStyle w:val="Akapitzlist"/>
        <w:numPr>
          <w:ilvl w:val="0"/>
          <w:numId w:val="74"/>
        </w:num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 xml:space="preserve">Udzielanie wsparcia WST/IZ w zakresie przygotowania treści </w:t>
      </w:r>
      <w:r w:rsidRPr="001268E7">
        <w:rPr>
          <w:rFonts w:cs="Calibri"/>
          <w:i/>
          <w:sz w:val="24"/>
          <w:szCs w:val="24"/>
        </w:rPr>
        <w:t>Wytycznych w zakresie weryfikacji wydatków</w:t>
      </w:r>
      <w:r w:rsidRPr="001268E7">
        <w:rPr>
          <w:rFonts w:cs="Calibri"/>
          <w:sz w:val="24"/>
          <w:szCs w:val="24"/>
        </w:rPr>
        <w:t>;</w:t>
      </w:r>
    </w:p>
    <w:p w:rsidR="004B654C" w:rsidRPr="001268E7" w:rsidRDefault="005E4186" w:rsidP="00D61551">
      <w:pPr>
        <w:pStyle w:val="Akapitzlist"/>
        <w:numPr>
          <w:ilvl w:val="0"/>
          <w:numId w:val="74"/>
        </w:numPr>
        <w:autoSpaceDE w:val="0"/>
        <w:autoSpaceDN w:val="0"/>
        <w:adjustRightInd w:val="0"/>
        <w:spacing w:before="100" w:beforeAutospacing="1" w:after="100" w:afterAutospacing="1" w:line="240" w:lineRule="auto"/>
        <w:jc w:val="both"/>
        <w:rPr>
          <w:rFonts w:cs="Calibri"/>
        </w:rPr>
      </w:pPr>
      <w:r w:rsidRPr="001268E7">
        <w:rPr>
          <w:rFonts w:cs="Calibri"/>
          <w:sz w:val="24"/>
          <w:szCs w:val="24"/>
        </w:rPr>
        <w:t>Udzielanie wsparcia WST/IZ w zakresie przeprowadzania kontroli na miejscu w projektach na terytorium kraju.</w:t>
      </w:r>
    </w:p>
    <w:p w:rsidR="004B654C" w:rsidRPr="001268E7" w:rsidRDefault="005E4186" w:rsidP="005E4186">
      <w:pPr>
        <w:pStyle w:val="Nagwek2"/>
      </w:pPr>
      <w:bookmarkStart w:id="31" w:name="_Toc530737580"/>
      <w:r w:rsidRPr="001268E7">
        <w:t>3.7 Niezależni Audytorzy</w:t>
      </w:r>
      <w:bookmarkEnd w:id="31"/>
    </w:p>
    <w:p w:rsidR="004B654C" w:rsidRPr="001268E7" w:rsidRDefault="005E4186" w:rsidP="005E4186">
      <w:pPr>
        <w:spacing w:before="100" w:beforeAutospacing="1" w:after="100" w:afterAutospacing="1" w:line="240" w:lineRule="auto"/>
        <w:jc w:val="both"/>
        <w:rPr>
          <w:rFonts w:cs="Calibri"/>
          <w:sz w:val="24"/>
          <w:szCs w:val="24"/>
        </w:rPr>
      </w:pPr>
      <w:r w:rsidRPr="001268E7">
        <w:rPr>
          <w:rFonts w:cs="Calibri"/>
          <w:sz w:val="24"/>
          <w:szCs w:val="24"/>
          <w:lang w:eastAsia="pl-PL"/>
        </w:rPr>
        <w:t>Wydatki zadeklarowane przez beneficjenta w załączeniu do wniosku o płatność powinny być sprawdzone przez audytora niezależnego od beneficjenta i niezależnego od IZ/IP.</w:t>
      </w:r>
      <w:r w:rsidR="004B654C" w:rsidRPr="001268E7">
        <w:rPr>
          <w:rFonts w:cs="Calibri"/>
          <w:sz w:val="24"/>
          <w:szCs w:val="24"/>
        </w:rPr>
        <w:t xml:space="preserve"> </w:t>
      </w:r>
      <w:r w:rsidRPr="001268E7">
        <w:rPr>
          <w:rFonts w:cs="Calibri"/>
          <w:sz w:val="24"/>
          <w:szCs w:val="24"/>
        </w:rPr>
        <w:t xml:space="preserve">Audytor powinien </w:t>
      </w:r>
      <w:r w:rsidRPr="001268E7">
        <w:rPr>
          <w:rFonts w:cs="Calibri"/>
          <w:sz w:val="24"/>
          <w:szCs w:val="24"/>
          <w:lang w:eastAsia="pl-PL"/>
        </w:rPr>
        <w:t>sprawdzić czy koszty zadeklarowane przez beneficjenta i przychody z projektu są prawdziwe, właściwie zaksięgowane i kwalifikowalne w świetle umowy.</w:t>
      </w:r>
    </w:p>
    <w:p w:rsidR="004B654C" w:rsidRPr="001268E7" w:rsidRDefault="005E4186" w:rsidP="005E4186">
      <w:pPr>
        <w:spacing w:before="100" w:beforeAutospacing="1" w:after="100" w:afterAutospacing="1" w:line="240" w:lineRule="auto"/>
        <w:jc w:val="both"/>
        <w:rPr>
          <w:rFonts w:cs="Calibri"/>
          <w:sz w:val="24"/>
          <w:szCs w:val="24"/>
        </w:rPr>
      </w:pPr>
      <w:r w:rsidRPr="001268E7">
        <w:rPr>
          <w:rFonts w:cs="Calibri"/>
          <w:sz w:val="24"/>
          <w:szCs w:val="24"/>
          <w:lang w:eastAsia="pl-PL"/>
        </w:rPr>
        <w:t>Niezależni audytorzy uprawnieni do kontroli wydatków projektu będą wybierani albo przez beneficjenta i później zatwierdzani przez KPK (w przypadku polskich beneficjentów) albo wybrani przez beneficjenta z listy zatwierdzonej przez właściwy KPK (w przypadku rosyjskich beneficjentów).</w:t>
      </w:r>
      <w:r w:rsidR="004B654C" w:rsidRPr="001268E7">
        <w:rPr>
          <w:rFonts w:cs="Calibri"/>
          <w:sz w:val="24"/>
          <w:szCs w:val="24"/>
        </w:rPr>
        <w:t xml:space="preserve"> </w:t>
      </w:r>
      <w:r w:rsidRPr="001268E7">
        <w:rPr>
          <w:rFonts w:cs="Calibri"/>
          <w:sz w:val="24"/>
          <w:szCs w:val="24"/>
          <w:lang w:eastAsia="pl-PL"/>
        </w:rPr>
        <w:t>Niezależni audytorzy powinni działać zgodnie z wymogami kontroli wydatków umowy o dofinansowanie i procedurami Programu dotyczącymi kontroli.</w:t>
      </w:r>
      <w:r w:rsidR="004B654C" w:rsidRPr="001268E7">
        <w:rPr>
          <w:rFonts w:cs="Calibri"/>
          <w:sz w:val="24"/>
          <w:szCs w:val="24"/>
        </w:rPr>
        <w:t xml:space="preserve"> </w:t>
      </w:r>
    </w:p>
    <w:p w:rsidR="001B623B" w:rsidRPr="001268E7" w:rsidRDefault="001B623B">
      <w:pPr>
        <w:spacing w:after="0" w:line="240" w:lineRule="auto"/>
        <w:rPr>
          <w:rFonts w:eastAsia="Times New Roman"/>
          <w:b/>
          <w:bCs/>
          <w:caps/>
          <w:sz w:val="32"/>
          <w:szCs w:val="28"/>
        </w:rPr>
      </w:pPr>
      <w:r w:rsidRPr="001268E7">
        <w:br w:type="page"/>
      </w:r>
    </w:p>
    <w:p w:rsidR="00B902B9" w:rsidRPr="00D61551" w:rsidRDefault="00585D1A" w:rsidP="00D61551">
      <w:pPr>
        <w:pStyle w:val="Nagwek1"/>
        <w:jc w:val="both"/>
      </w:pPr>
      <w:bookmarkStart w:id="32" w:name="_Toc530737581"/>
      <w:r w:rsidRPr="001268E7">
        <w:lastRenderedPageBreak/>
        <w:t>4. Wdrażanie P</w:t>
      </w:r>
      <w:r w:rsidR="005E4186" w:rsidRPr="001268E7">
        <w:t>rogramu</w:t>
      </w:r>
      <w:bookmarkEnd w:id="32"/>
    </w:p>
    <w:p w:rsidR="004B654C" w:rsidRPr="001268E7" w:rsidRDefault="005E4186" w:rsidP="005E4186">
      <w:pPr>
        <w:pStyle w:val="Nagwek2"/>
        <w:rPr>
          <w:rFonts w:cs="Calibri"/>
        </w:rPr>
      </w:pPr>
      <w:bookmarkStart w:id="33" w:name="_Toc530737582"/>
      <w:r w:rsidRPr="001268E7">
        <w:rPr>
          <w:rFonts w:cs="Calibri"/>
        </w:rPr>
        <w:t>4.1 System</w:t>
      </w:r>
      <w:r w:rsidR="00BB659E" w:rsidRPr="001268E7">
        <w:rPr>
          <w:rFonts w:cs="Calibri"/>
        </w:rPr>
        <w:t>y</w:t>
      </w:r>
      <w:r w:rsidRPr="001268E7">
        <w:rPr>
          <w:rFonts w:cs="Calibri"/>
        </w:rPr>
        <w:t xml:space="preserve"> zarządzania i kontroli</w:t>
      </w:r>
      <w:bookmarkEnd w:id="33"/>
    </w:p>
    <w:p w:rsidR="004B654C" w:rsidRPr="001268E7" w:rsidRDefault="005E4186" w:rsidP="005E4186">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System zarządzania i kontroli obejmuje:</w:t>
      </w:r>
    </w:p>
    <w:p w:rsidR="005E4186" w:rsidRPr="001268E7" w:rsidRDefault="005E4186"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funkcje każdego organu zaangażowanego w zarządzanie i kontrolę;</w:t>
      </w:r>
    </w:p>
    <w:p w:rsidR="005E4186" w:rsidRPr="001268E7" w:rsidRDefault="005E4186"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procedury zapewniające zasadność i prawidłowość zadeklarowanych wydatków;</w:t>
      </w:r>
    </w:p>
    <w:p w:rsidR="005E4186" w:rsidRPr="001268E7" w:rsidRDefault="0010593F"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elektroniczne systemy danych na potrzeby księgowości, przechowywania, monitorowania i sprawozdawczości;</w:t>
      </w:r>
    </w:p>
    <w:p w:rsidR="0010593F" w:rsidRPr="001268E7" w:rsidRDefault="0010593F"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systemy monitor</w:t>
      </w:r>
      <w:r w:rsidR="00BB659E" w:rsidRPr="001268E7">
        <w:rPr>
          <w:rFonts w:cs="Calibri"/>
          <w:color w:val="000000"/>
          <w:sz w:val="24"/>
          <w:szCs w:val="24"/>
        </w:rPr>
        <w:t>owania i sprawozdawczości, w których</w:t>
      </w:r>
      <w:r w:rsidRPr="001268E7">
        <w:rPr>
          <w:rFonts w:cs="Calibri"/>
          <w:color w:val="000000"/>
          <w:sz w:val="24"/>
          <w:szCs w:val="24"/>
        </w:rPr>
        <w:t xml:space="preserve"> organ odpowiedzialny powierza realizację zadań innemu organowi;</w:t>
      </w:r>
    </w:p>
    <w:p w:rsidR="0010593F" w:rsidRPr="001268E7" w:rsidRDefault="0010593F"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uzgodnienia w zakresie audytu funkcjonowania systemów zarządzania i kontroli;</w:t>
      </w:r>
    </w:p>
    <w:p w:rsidR="0010593F" w:rsidRPr="001268E7" w:rsidRDefault="0010593F"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systemy i procedury zapewniające odpowiednią ścieżkę audytu;</w:t>
      </w:r>
    </w:p>
    <w:p w:rsidR="0010593F" w:rsidRPr="001268E7" w:rsidRDefault="0010593F"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procedury w zakresie za</w:t>
      </w:r>
      <w:r w:rsidR="00BB659E" w:rsidRPr="001268E7">
        <w:rPr>
          <w:rFonts w:cs="Calibri"/>
          <w:color w:val="000000"/>
          <w:sz w:val="24"/>
          <w:szCs w:val="24"/>
        </w:rPr>
        <w:t>pobiegania, wykrywania i eliminowania</w:t>
      </w:r>
      <w:r w:rsidRPr="001268E7">
        <w:rPr>
          <w:rFonts w:cs="Calibri"/>
          <w:color w:val="000000"/>
          <w:sz w:val="24"/>
          <w:szCs w:val="24"/>
        </w:rPr>
        <w:t xml:space="preserve"> nieprawidłowości;</w:t>
      </w:r>
    </w:p>
    <w:p w:rsidR="0010593F" w:rsidRPr="001268E7" w:rsidRDefault="0010593F" w:rsidP="00246345">
      <w:pPr>
        <w:numPr>
          <w:ilvl w:val="0"/>
          <w:numId w:val="75"/>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 xml:space="preserve">procedury udzielania zamówień </w:t>
      </w:r>
      <w:r w:rsidR="00BB659E" w:rsidRPr="001268E7">
        <w:rPr>
          <w:rFonts w:cs="Calibri"/>
          <w:color w:val="000000"/>
          <w:sz w:val="24"/>
          <w:szCs w:val="24"/>
        </w:rPr>
        <w:t>publicznych w zakresie</w:t>
      </w:r>
      <w:r w:rsidRPr="001268E7">
        <w:rPr>
          <w:rFonts w:cs="Calibri"/>
          <w:color w:val="000000"/>
          <w:sz w:val="24"/>
          <w:szCs w:val="24"/>
        </w:rPr>
        <w:t xml:space="preserve"> pomocy technicznej i procedury wyboru projektów;</w:t>
      </w:r>
    </w:p>
    <w:p w:rsidR="0010593F" w:rsidRPr="001268E7" w:rsidRDefault="00BB659E" w:rsidP="00246345">
      <w:pPr>
        <w:numPr>
          <w:ilvl w:val="0"/>
          <w:numId w:val="75"/>
        </w:numPr>
        <w:autoSpaceDE w:val="0"/>
        <w:autoSpaceDN w:val="0"/>
        <w:adjustRightInd w:val="0"/>
        <w:spacing w:before="100" w:beforeAutospacing="1" w:after="100" w:afterAutospacing="1" w:line="240" w:lineRule="auto"/>
        <w:jc w:val="both"/>
        <w:rPr>
          <w:rFonts w:cs="Calibri"/>
          <w:bCs/>
          <w:iCs/>
          <w:smallCaps/>
          <w:vanish/>
          <w:color w:val="000000"/>
          <w:sz w:val="24"/>
          <w:szCs w:val="24"/>
        </w:rPr>
      </w:pPr>
      <w:r w:rsidRPr="001268E7">
        <w:rPr>
          <w:rFonts w:cs="Calibri"/>
          <w:color w:val="000000"/>
          <w:sz w:val="24"/>
          <w:szCs w:val="24"/>
        </w:rPr>
        <w:t>rolę</w:t>
      </w:r>
      <w:r w:rsidR="0010593F" w:rsidRPr="001268E7">
        <w:rPr>
          <w:rFonts w:cs="Calibri"/>
          <w:color w:val="000000"/>
          <w:sz w:val="24"/>
          <w:szCs w:val="24"/>
        </w:rPr>
        <w:t xml:space="preserve"> instytucji krajowej i zadania Polski zgodnie z art. 31 Rozporząd</w:t>
      </w:r>
      <w:r w:rsidRPr="001268E7">
        <w:rPr>
          <w:rFonts w:cs="Calibri"/>
          <w:color w:val="000000"/>
          <w:sz w:val="24"/>
          <w:szCs w:val="24"/>
        </w:rPr>
        <w:t>zenia (UE) nr 897/2014 oraz rolę</w:t>
      </w:r>
      <w:r w:rsidR="0010593F" w:rsidRPr="001268E7">
        <w:rPr>
          <w:rFonts w:cs="Calibri"/>
          <w:color w:val="000000"/>
          <w:sz w:val="24"/>
          <w:szCs w:val="24"/>
        </w:rPr>
        <w:t xml:space="preserve"> i zadania Rosj</w:t>
      </w:r>
      <w:r w:rsidRPr="001268E7">
        <w:rPr>
          <w:rFonts w:cs="Calibri"/>
          <w:color w:val="000000"/>
          <w:sz w:val="24"/>
          <w:szCs w:val="24"/>
        </w:rPr>
        <w:t>i zgodnie z Umową Finansową</w:t>
      </w:r>
      <w:r w:rsidR="0010593F" w:rsidRPr="001268E7">
        <w:rPr>
          <w:rFonts w:cs="Calibri"/>
          <w:color w:val="000000"/>
          <w:sz w:val="24"/>
          <w:szCs w:val="24"/>
        </w:rPr>
        <w:t>.</w:t>
      </w:r>
    </w:p>
    <w:p w:rsidR="00DE745A" w:rsidRDefault="00DE745A" w:rsidP="0010593F">
      <w:pPr>
        <w:autoSpaceDE w:val="0"/>
        <w:autoSpaceDN w:val="0"/>
        <w:adjustRightInd w:val="0"/>
        <w:spacing w:before="100" w:beforeAutospacing="1" w:after="100" w:afterAutospacing="1" w:line="240" w:lineRule="auto"/>
        <w:jc w:val="both"/>
        <w:rPr>
          <w:rFonts w:cs="Calibri"/>
          <w:color w:val="000000"/>
          <w:sz w:val="24"/>
          <w:szCs w:val="24"/>
        </w:rPr>
      </w:pPr>
    </w:p>
    <w:p w:rsidR="004B654C" w:rsidRPr="001268E7" w:rsidRDefault="0010593F" w:rsidP="0010593F">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color w:val="000000"/>
          <w:sz w:val="24"/>
          <w:szCs w:val="24"/>
        </w:rPr>
        <w:t>Dokument "Opis systemów zarządzania i kontroli dla Programu Współpracy Transgranicznej Polska-Rosja 2014-2020", zawierający wszystkie wyżej wspomniane elementy, będzie prz</w:t>
      </w:r>
      <w:r w:rsidR="0044395C" w:rsidRPr="001268E7">
        <w:rPr>
          <w:rFonts w:cs="Calibri"/>
          <w:color w:val="000000"/>
          <w:sz w:val="24"/>
          <w:szCs w:val="24"/>
        </w:rPr>
        <w:t>ygotowany w ramach Programu i będzie stanowił podstawowe informacje potrzebne Polsce, Państwu Członkowskiemu,</w:t>
      </w:r>
      <w:r w:rsidRPr="001268E7">
        <w:rPr>
          <w:rFonts w:cs="Calibri"/>
          <w:color w:val="000000"/>
          <w:sz w:val="24"/>
          <w:szCs w:val="24"/>
        </w:rPr>
        <w:t xml:space="preserve"> w którym siedzibę ma Instytu</w:t>
      </w:r>
      <w:r w:rsidR="0044395C" w:rsidRPr="001268E7">
        <w:rPr>
          <w:rFonts w:cs="Calibri"/>
          <w:color w:val="000000"/>
          <w:sz w:val="24"/>
          <w:szCs w:val="24"/>
        </w:rPr>
        <w:t>cja Zarządzająca, aby prowadzić</w:t>
      </w:r>
      <w:r w:rsidRPr="001268E7">
        <w:rPr>
          <w:rFonts w:cs="Calibri"/>
          <w:color w:val="000000"/>
          <w:sz w:val="24"/>
          <w:szCs w:val="24"/>
        </w:rPr>
        <w:t xml:space="preserve"> proces </w:t>
      </w:r>
      <w:r w:rsidR="00BB659E" w:rsidRPr="001268E7">
        <w:rPr>
          <w:rFonts w:cs="Calibri"/>
          <w:color w:val="000000"/>
          <w:sz w:val="24"/>
          <w:szCs w:val="24"/>
        </w:rPr>
        <w:t>desygnacji</w:t>
      </w:r>
      <w:r w:rsidRPr="001268E7">
        <w:rPr>
          <w:rFonts w:cs="Calibri"/>
          <w:color w:val="000000"/>
          <w:sz w:val="24"/>
          <w:szCs w:val="24"/>
        </w:rPr>
        <w:t>.</w:t>
      </w:r>
      <w:r w:rsidR="004B654C" w:rsidRPr="001268E7">
        <w:rPr>
          <w:rFonts w:cs="Calibri"/>
          <w:bCs/>
          <w:color w:val="000000"/>
          <w:sz w:val="24"/>
          <w:szCs w:val="24"/>
        </w:rPr>
        <w:t xml:space="preserve"> </w:t>
      </w:r>
    </w:p>
    <w:p w:rsidR="009355D9" w:rsidRPr="001268E7" w:rsidRDefault="0010593F" w:rsidP="004B654C">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 niniejszej sekcji opisane zostały struktury i procedury dotyczące realizacji Programu.</w:t>
      </w:r>
      <w:r w:rsidR="004B654C" w:rsidRPr="001268E7">
        <w:rPr>
          <w:rFonts w:cs="Calibri"/>
          <w:bCs/>
          <w:color w:val="000000"/>
          <w:sz w:val="24"/>
          <w:szCs w:val="24"/>
        </w:rPr>
        <w:t xml:space="preserve"> </w:t>
      </w:r>
      <w:r w:rsidRPr="001268E7">
        <w:rPr>
          <w:rFonts w:cs="Calibri"/>
          <w:bCs/>
          <w:color w:val="000000"/>
          <w:sz w:val="24"/>
          <w:szCs w:val="24"/>
        </w:rPr>
        <w:t>Szczegółowe informacje można znaleźć w pełnej wersji Opisu Systemu Zarządzania i Kontroli.</w:t>
      </w:r>
      <w:r w:rsidR="004B654C" w:rsidRPr="001268E7">
        <w:rPr>
          <w:rFonts w:cs="Calibri"/>
          <w:bCs/>
          <w:color w:val="000000"/>
          <w:sz w:val="24"/>
          <w:szCs w:val="24"/>
        </w:rPr>
        <w:t xml:space="preserve"> </w:t>
      </w:r>
      <w:r w:rsidRPr="001268E7">
        <w:rPr>
          <w:rFonts w:cs="Calibri"/>
          <w:bCs/>
          <w:color w:val="000000"/>
          <w:sz w:val="24"/>
          <w:szCs w:val="24"/>
        </w:rPr>
        <w:t>Skróco</w:t>
      </w:r>
      <w:r w:rsidR="009B06E1" w:rsidRPr="001268E7">
        <w:rPr>
          <w:rFonts w:cs="Calibri"/>
          <w:bCs/>
          <w:color w:val="000000"/>
          <w:sz w:val="24"/>
          <w:szCs w:val="24"/>
        </w:rPr>
        <w:t>ny opis struktur i zadań instytucji</w:t>
      </w:r>
      <w:r w:rsidRPr="001268E7">
        <w:rPr>
          <w:rFonts w:cs="Calibri"/>
          <w:bCs/>
          <w:color w:val="000000"/>
          <w:sz w:val="24"/>
          <w:szCs w:val="24"/>
        </w:rPr>
        <w:t xml:space="preserve"> Programu znajduje się w Rozdziale 3.</w:t>
      </w:r>
      <w:r w:rsidR="004B654C" w:rsidRPr="001268E7">
        <w:rPr>
          <w:rFonts w:cs="Calibri"/>
          <w:bCs/>
          <w:color w:val="000000"/>
          <w:sz w:val="24"/>
          <w:szCs w:val="24"/>
        </w:rPr>
        <w:t xml:space="preserve"> </w:t>
      </w:r>
    </w:p>
    <w:p w:rsidR="00155A2E" w:rsidRPr="00D61551" w:rsidRDefault="00B546F9" w:rsidP="00D61551">
      <w:pPr>
        <w:pStyle w:val="Nagwek3"/>
      </w:pPr>
      <w:bookmarkStart w:id="34" w:name="_Toc530737583"/>
      <w:r w:rsidRPr="00D61551">
        <w:t xml:space="preserve">4.1.1. </w:t>
      </w:r>
      <w:r w:rsidR="00DE745A" w:rsidRPr="00D61551">
        <w:t>Instytucje Programowe i ich funkcje</w:t>
      </w:r>
      <w:bookmarkEnd w:id="34"/>
    </w:p>
    <w:p w:rsidR="00155A2E" w:rsidRPr="001268E7" w:rsidRDefault="00B546F9" w:rsidP="00B546F9">
      <w:pPr>
        <w:autoSpaceDE w:val="0"/>
        <w:autoSpaceDN w:val="0"/>
        <w:adjustRightInd w:val="0"/>
        <w:spacing w:before="100" w:beforeAutospacing="1" w:after="100" w:afterAutospacing="1" w:line="240" w:lineRule="auto"/>
        <w:jc w:val="both"/>
        <w:rPr>
          <w:sz w:val="24"/>
          <w:szCs w:val="24"/>
        </w:rPr>
      </w:pPr>
      <w:r w:rsidRPr="001268E7">
        <w:rPr>
          <w:rFonts w:cs="Calibri"/>
          <w:lang w:eastAsia="pl-PL"/>
        </w:rPr>
        <w:t>Instytucje programowe zostały ustanowione na trzech różnych poziomach:</w:t>
      </w:r>
      <w:r w:rsidR="00155A2E" w:rsidRPr="001268E7">
        <w:rPr>
          <w:sz w:val="24"/>
          <w:szCs w:val="24"/>
        </w:rPr>
        <w:t xml:space="preserve"> </w:t>
      </w:r>
    </w:p>
    <w:p w:rsidR="00B546F9" w:rsidRPr="001268E7" w:rsidRDefault="00B546F9" w:rsidP="00C62170">
      <w:pPr>
        <w:pStyle w:val="Akapitzlist"/>
        <w:numPr>
          <w:ilvl w:val="1"/>
          <w:numId w:val="13"/>
        </w:numPr>
        <w:autoSpaceDE w:val="0"/>
        <w:autoSpaceDN w:val="0"/>
        <w:adjustRightInd w:val="0"/>
        <w:spacing w:before="100" w:beforeAutospacing="1" w:after="100" w:afterAutospacing="1" w:line="240" w:lineRule="auto"/>
        <w:jc w:val="both"/>
        <w:rPr>
          <w:sz w:val="24"/>
          <w:szCs w:val="24"/>
        </w:rPr>
      </w:pPr>
      <w:r w:rsidRPr="001268E7">
        <w:rPr>
          <w:sz w:val="24"/>
          <w:szCs w:val="24"/>
        </w:rPr>
        <w:t xml:space="preserve">poziom zarządzania; </w:t>
      </w:r>
    </w:p>
    <w:p w:rsidR="00B546F9" w:rsidRPr="001268E7" w:rsidRDefault="00B546F9" w:rsidP="00C62170">
      <w:pPr>
        <w:pStyle w:val="Akapitzlist"/>
        <w:numPr>
          <w:ilvl w:val="1"/>
          <w:numId w:val="13"/>
        </w:numPr>
        <w:autoSpaceDE w:val="0"/>
        <w:autoSpaceDN w:val="0"/>
        <w:adjustRightInd w:val="0"/>
        <w:spacing w:before="100" w:beforeAutospacing="1" w:after="100" w:afterAutospacing="1" w:line="240" w:lineRule="auto"/>
        <w:jc w:val="both"/>
        <w:rPr>
          <w:sz w:val="24"/>
          <w:szCs w:val="24"/>
        </w:rPr>
      </w:pPr>
      <w:r w:rsidRPr="001268E7">
        <w:rPr>
          <w:sz w:val="24"/>
          <w:szCs w:val="24"/>
        </w:rPr>
        <w:t xml:space="preserve">poziom audytu; </w:t>
      </w:r>
    </w:p>
    <w:p w:rsidR="00B546F9" w:rsidRPr="001268E7" w:rsidRDefault="00B546F9" w:rsidP="00C62170">
      <w:pPr>
        <w:pStyle w:val="Akapitzlist"/>
        <w:numPr>
          <w:ilvl w:val="1"/>
          <w:numId w:val="13"/>
        </w:numPr>
        <w:autoSpaceDE w:val="0"/>
        <w:autoSpaceDN w:val="0"/>
        <w:adjustRightInd w:val="0"/>
        <w:spacing w:before="100" w:beforeAutospacing="1" w:after="100" w:afterAutospacing="1" w:line="240" w:lineRule="auto"/>
        <w:jc w:val="both"/>
        <w:rPr>
          <w:sz w:val="24"/>
          <w:szCs w:val="24"/>
        </w:rPr>
      </w:pPr>
      <w:r w:rsidRPr="001268E7">
        <w:rPr>
          <w:sz w:val="24"/>
          <w:szCs w:val="24"/>
        </w:rPr>
        <w:t>poziom kontroli.</w:t>
      </w:r>
    </w:p>
    <w:p w:rsidR="00155A2E" w:rsidRPr="00666F85" w:rsidRDefault="00B546F9" w:rsidP="00C540C1">
      <w:pPr>
        <w:spacing w:before="100" w:beforeAutospacing="1" w:after="100" w:afterAutospacing="1" w:line="240" w:lineRule="auto"/>
        <w:jc w:val="both"/>
        <w:rPr>
          <w:rStyle w:val="Wyrnieniedelikatne"/>
          <w:rFonts w:asciiTheme="minorHAnsi" w:hAnsiTheme="minorHAnsi"/>
        </w:rPr>
      </w:pPr>
      <w:r w:rsidRPr="00666F85">
        <w:rPr>
          <w:rStyle w:val="Wyrnieniedelikatne"/>
          <w:rFonts w:asciiTheme="minorHAnsi" w:hAnsiTheme="minorHAnsi"/>
        </w:rPr>
        <w:t>Struktura poziomu zarządzania obejmuje:</w:t>
      </w:r>
      <w:r w:rsidR="00155A2E" w:rsidRPr="00666F85">
        <w:rPr>
          <w:rStyle w:val="Wyrnieniedelikatne"/>
          <w:rFonts w:asciiTheme="minorHAnsi" w:hAnsiTheme="minorHAnsi"/>
        </w:rPr>
        <w:t xml:space="preserve"> </w:t>
      </w:r>
    </w:p>
    <w:p w:rsidR="009355D9" w:rsidRPr="00666F85" w:rsidRDefault="00B546F9" w:rsidP="00B546F9">
      <w:pPr>
        <w:autoSpaceDE w:val="0"/>
        <w:autoSpaceDN w:val="0"/>
        <w:adjustRightInd w:val="0"/>
        <w:spacing w:before="100" w:beforeAutospacing="1" w:after="100" w:afterAutospacing="1" w:line="240" w:lineRule="auto"/>
        <w:jc w:val="both"/>
        <w:rPr>
          <w:rStyle w:val="Wyrnienieintensywne"/>
          <w:rFonts w:asciiTheme="minorHAnsi" w:hAnsiTheme="minorHAnsi"/>
          <w:i/>
        </w:rPr>
      </w:pPr>
      <w:r w:rsidRPr="00666F85">
        <w:rPr>
          <w:rStyle w:val="Wyrnienieintensywne"/>
          <w:rFonts w:asciiTheme="minorHAnsi" w:hAnsiTheme="minorHAnsi"/>
          <w:i/>
        </w:rPr>
        <w:t>Wspólny Komitet Monitorujący (WKM)</w:t>
      </w:r>
      <w:r w:rsidR="00155A2E" w:rsidRPr="00666F85">
        <w:rPr>
          <w:rStyle w:val="Wyrnienieintensywne"/>
          <w:rFonts w:asciiTheme="minorHAnsi" w:hAnsiTheme="minorHAnsi"/>
          <w:i/>
        </w:rPr>
        <w:t xml:space="preserve"> </w:t>
      </w:r>
    </w:p>
    <w:p w:rsidR="00155A2E" w:rsidRPr="001268E7" w:rsidRDefault="00B546F9" w:rsidP="00B546F9">
      <w:pPr>
        <w:autoSpaceDE w:val="0"/>
        <w:autoSpaceDN w:val="0"/>
        <w:adjustRightInd w:val="0"/>
        <w:spacing w:before="100" w:beforeAutospacing="1" w:after="100" w:afterAutospacing="1" w:line="240" w:lineRule="auto"/>
        <w:jc w:val="both"/>
        <w:rPr>
          <w:b/>
          <w:sz w:val="24"/>
          <w:szCs w:val="24"/>
        </w:rPr>
      </w:pPr>
      <w:r w:rsidRPr="001268E7">
        <w:rPr>
          <w:rFonts w:cs="Calibri"/>
          <w:sz w:val="24"/>
          <w:szCs w:val="24"/>
          <w:lang w:eastAsia="pl-PL"/>
        </w:rPr>
        <w:t>WKM to główny organ odpowiedzialny za jakość i efektywność realizacji Programu.</w:t>
      </w:r>
      <w:r w:rsidR="00155A2E" w:rsidRPr="001268E7">
        <w:rPr>
          <w:sz w:val="24"/>
          <w:szCs w:val="24"/>
        </w:rPr>
        <w:t xml:space="preserve"> </w:t>
      </w:r>
      <w:r w:rsidRPr="001268E7">
        <w:rPr>
          <w:rFonts w:cs="Calibri"/>
          <w:sz w:val="24"/>
          <w:szCs w:val="24"/>
          <w:lang w:eastAsia="pl-PL"/>
        </w:rPr>
        <w:t>W ciągu trzech miesięcy od daty przyjęcia Programu przez Komisję państwa uczestniczące powołują WKM.</w:t>
      </w:r>
      <w:r w:rsidR="00155A2E" w:rsidRPr="001268E7">
        <w:rPr>
          <w:sz w:val="24"/>
          <w:szCs w:val="24"/>
        </w:rPr>
        <w:t xml:space="preserve"> </w:t>
      </w:r>
      <w:r w:rsidRPr="001268E7">
        <w:rPr>
          <w:rFonts w:cs="Calibri"/>
          <w:sz w:val="24"/>
          <w:szCs w:val="24"/>
          <w:lang w:eastAsia="pl-PL"/>
        </w:rPr>
        <w:t xml:space="preserve">Skład i główne zadania WKM </w:t>
      </w:r>
      <w:r w:rsidR="004D306D" w:rsidRPr="001268E7">
        <w:rPr>
          <w:rFonts w:cs="Calibri"/>
          <w:sz w:val="24"/>
          <w:szCs w:val="24"/>
          <w:lang w:eastAsia="pl-PL"/>
        </w:rPr>
        <w:t xml:space="preserve">są </w:t>
      </w:r>
      <w:r w:rsidRPr="001268E7">
        <w:rPr>
          <w:rFonts w:cs="Calibri"/>
          <w:sz w:val="24"/>
          <w:szCs w:val="24"/>
          <w:lang w:eastAsia="pl-PL"/>
        </w:rPr>
        <w:t>okr</w:t>
      </w:r>
      <w:r w:rsidR="004D306D" w:rsidRPr="001268E7">
        <w:rPr>
          <w:rFonts w:cs="Calibri"/>
          <w:sz w:val="24"/>
          <w:szCs w:val="24"/>
          <w:lang w:eastAsia="pl-PL"/>
        </w:rPr>
        <w:t>eślone</w:t>
      </w:r>
      <w:r w:rsidRPr="001268E7">
        <w:rPr>
          <w:rFonts w:cs="Calibri"/>
          <w:sz w:val="24"/>
          <w:szCs w:val="24"/>
          <w:lang w:eastAsia="pl-PL"/>
        </w:rPr>
        <w:t xml:space="preserve"> w punkcie 3.1 WPO.</w:t>
      </w:r>
    </w:p>
    <w:p w:rsidR="00155A2E" w:rsidRPr="00666F85" w:rsidRDefault="00B546F9" w:rsidP="00B546F9">
      <w:pPr>
        <w:autoSpaceDE w:val="0"/>
        <w:autoSpaceDN w:val="0"/>
        <w:adjustRightInd w:val="0"/>
        <w:spacing w:before="100" w:beforeAutospacing="1" w:after="100" w:afterAutospacing="1" w:line="240" w:lineRule="auto"/>
        <w:jc w:val="both"/>
        <w:rPr>
          <w:rStyle w:val="Wyrnienieintensywne"/>
          <w:rFonts w:asciiTheme="minorHAnsi" w:hAnsiTheme="minorHAnsi"/>
          <w:i/>
        </w:rPr>
      </w:pPr>
      <w:r w:rsidRPr="00666F85">
        <w:rPr>
          <w:rStyle w:val="Wyrnienieintensywne"/>
          <w:rFonts w:asciiTheme="minorHAnsi" w:hAnsiTheme="minorHAnsi"/>
          <w:i/>
        </w:rPr>
        <w:lastRenderedPageBreak/>
        <w:t>Instytucja Zarządzająca (IZ)</w:t>
      </w:r>
      <w:r w:rsidR="00155A2E" w:rsidRPr="00666F85">
        <w:rPr>
          <w:rStyle w:val="Wyrnienieintensywne"/>
          <w:rFonts w:asciiTheme="minorHAnsi" w:hAnsiTheme="minorHAnsi"/>
          <w:i/>
        </w:rPr>
        <w:t xml:space="preserve"> </w:t>
      </w:r>
    </w:p>
    <w:p w:rsidR="00155A2E" w:rsidRPr="001268E7" w:rsidRDefault="00B546F9" w:rsidP="00B546F9">
      <w:pPr>
        <w:autoSpaceDE w:val="0"/>
        <w:autoSpaceDN w:val="0"/>
        <w:adjustRightInd w:val="0"/>
        <w:spacing w:before="100" w:beforeAutospacing="1" w:after="100" w:afterAutospacing="1" w:line="240" w:lineRule="auto"/>
        <w:jc w:val="both"/>
        <w:rPr>
          <w:sz w:val="24"/>
          <w:szCs w:val="24"/>
        </w:rPr>
      </w:pPr>
      <w:r w:rsidRPr="001268E7">
        <w:rPr>
          <w:sz w:val="24"/>
          <w:szCs w:val="24"/>
        </w:rPr>
        <w:t xml:space="preserve">Ministerstwo </w:t>
      </w:r>
      <w:r w:rsidR="00116383">
        <w:rPr>
          <w:sz w:val="24"/>
          <w:szCs w:val="24"/>
        </w:rPr>
        <w:t xml:space="preserve">Inwestycji i </w:t>
      </w:r>
      <w:r w:rsidRPr="001268E7">
        <w:rPr>
          <w:sz w:val="24"/>
          <w:szCs w:val="24"/>
        </w:rPr>
        <w:t>Rozwoju Polski zostało wyznaczone przez państwa uczestniczące do pełnienia funkcji IZ w ramach Programu.</w:t>
      </w:r>
      <w:r w:rsidR="00155A2E" w:rsidRPr="001268E7">
        <w:rPr>
          <w:sz w:val="24"/>
          <w:szCs w:val="24"/>
        </w:rPr>
        <w:t xml:space="preserve"> </w:t>
      </w:r>
      <w:r w:rsidRPr="001268E7">
        <w:rPr>
          <w:sz w:val="24"/>
          <w:szCs w:val="24"/>
        </w:rPr>
        <w:t xml:space="preserve">Zadania IZ </w:t>
      </w:r>
      <w:r w:rsidR="004D306D" w:rsidRPr="001268E7">
        <w:rPr>
          <w:sz w:val="24"/>
          <w:szCs w:val="24"/>
        </w:rPr>
        <w:t>są</w:t>
      </w:r>
      <w:r w:rsidRPr="001268E7">
        <w:rPr>
          <w:sz w:val="24"/>
          <w:szCs w:val="24"/>
        </w:rPr>
        <w:t xml:space="preserve"> określone w punkcie 3.2 WPO.</w:t>
      </w:r>
    </w:p>
    <w:p w:rsidR="00155A2E" w:rsidRPr="00666F85" w:rsidRDefault="00B546F9" w:rsidP="00B546F9">
      <w:pPr>
        <w:autoSpaceDE w:val="0"/>
        <w:autoSpaceDN w:val="0"/>
        <w:adjustRightInd w:val="0"/>
        <w:spacing w:before="100" w:beforeAutospacing="1" w:after="100" w:afterAutospacing="1" w:line="240" w:lineRule="auto"/>
        <w:jc w:val="both"/>
        <w:rPr>
          <w:rStyle w:val="Wyrnienieintensywne"/>
          <w:rFonts w:asciiTheme="minorHAnsi" w:hAnsiTheme="minorHAnsi"/>
          <w:i/>
        </w:rPr>
      </w:pPr>
      <w:r w:rsidRPr="00666F85">
        <w:rPr>
          <w:rStyle w:val="Wyrnienieintensywne"/>
          <w:rFonts w:asciiTheme="minorHAnsi" w:hAnsiTheme="minorHAnsi"/>
          <w:i/>
        </w:rPr>
        <w:t>Instytucje Krajowe (IK)</w:t>
      </w:r>
      <w:r w:rsidR="00155A2E" w:rsidRPr="00666F85">
        <w:rPr>
          <w:rStyle w:val="Wyrnienieintensywne"/>
          <w:rFonts w:asciiTheme="minorHAnsi" w:hAnsiTheme="minorHAnsi"/>
          <w:i/>
        </w:rPr>
        <w:t xml:space="preserve"> </w:t>
      </w:r>
    </w:p>
    <w:p w:rsidR="00155A2E" w:rsidRPr="001268E7" w:rsidRDefault="00B546F9" w:rsidP="00B546F9">
      <w:pPr>
        <w:autoSpaceDE w:val="0"/>
        <w:autoSpaceDN w:val="0"/>
        <w:adjustRightInd w:val="0"/>
        <w:spacing w:before="100" w:beforeAutospacing="1" w:after="100" w:afterAutospacing="1" w:line="240" w:lineRule="auto"/>
        <w:jc w:val="both"/>
        <w:rPr>
          <w:sz w:val="24"/>
          <w:szCs w:val="24"/>
        </w:rPr>
      </w:pPr>
      <w:r w:rsidRPr="001268E7">
        <w:rPr>
          <w:rFonts w:cs="Calibri"/>
          <w:sz w:val="24"/>
          <w:szCs w:val="24"/>
          <w:lang w:eastAsia="pl-PL"/>
        </w:rPr>
        <w:t>Każde państwo uczestniczące wyznaczyło organ, który pełnić będzie w ramach Programu funkcję IK.</w:t>
      </w:r>
      <w:r w:rsidR="00155A2E" w:rsidRPr="001268E7">
        <w:rPr>
          <w:sz w:val="24"/>
          <w:szCs w:val="24"/>
        </w:rPr>
        <w:t xml:space="preserve"> </w:t>
      </w:r>
      <w:r w:rsidRPr="001268E7">
        <w:rPr>
          <w:sz w:val="24"/>
          <w:szCs w:val="24"/>
        </w:rPr>
        <w:t xml:space="preserve">Odpowiednie IK </w:t>
      </w:r>
      <w:r w:rsidR="00C540C1">
        <w:rPr>
          <w:sz w:val="24"/>
          <w:szCs w:val="24"/>
        </w:rPr>
        <w:t xml:space="preserve">i ich funkcje </w:t>
      </w:r>
      <w:r w:rsidR="004D306D" w:rsidRPr="001268E7">
        <w:rPr>
          <w:sz w:val="24"/>
          <w:szCs w:val="24"/>
        </w:rPr>
        <w:t>są</w:t>
      </w:r>
      <w:r w:rsidRPr="001268E7">
        <w:rPr>
          <w:sz w:val="24"/>
          <w:szCs w:val="24"/>
        </w:rPr>
        <w:t xml:space="preserve"> określone w punkcie 3.3 WPO.</w:t>
      </w:r>
    </w:p>
    <w:p w:rsidR="00155A2E" w:rsidRPr="00666F85" w:rsidRDefault="00B546F9" w:rsidP="00B546F9">
      <w:pPr>
        <w:autoSpaceDE w:val="0"/>
        <w:autoSpaceDN w:val="0"/>
        <w:adjustRightInd w:val="0"/>
        <w:spacing w:before="100" w:beforeAutospacing="1" w:after="100" w:afterAutospacing="1" w:line="240" w:lineRule="auto"/>
        <w:jc w:val="both"/>
        <w:rPr>
          <w:rStyle w:val="Wyrnienieintensywne"/>
          <w:rFonts w:asciiTheme="minorHAnsi" w:hAnsiTheme="minorHAnsi"/>
          <w:i/>
        </w:rPr>
      </w:pPr>
      <w:r w:rsidRPr="00666F85">
        <w:rPr>
          <w:rStyle w:val="Wyrnienieintensywne"/>
          <w:rFonts w:asciiTheme="minorHAnsi" w:hAnsiTheme="minorHAnsi"/>
          <w:i/>
        </w:rPr>
        <w:t xml:space="preserve">Wspólny Sekretariat Techniczny (WST) i Oddział </w:t>
      </w:r>
    </w:p>
    <w:p w:rsidR="00155A2E" w:rsidRPr="001268E7" w:rsidRDefault="006A070A" w:rsidP="00B546F9">
      <w:pPr>
        <w:autoSpaceDE w:val="0"/>
        <w:autoSpaceDN w:val="0"/>
        <w:adjustRightInd w:val="0"/>
        <w:spacing w:before="100" w:beforeAutospacing="1" w:after="100" w:afterAutospacing="1" w:line="240" w:lineRule="auto"/>
        <w:jc w:val="both"/>
        <w:rPr>
          <w:sz w:val="24"/>
          <w:szCs w:val="24"/>
        </w:rPr>
      </w:pPr>
      <w:r w:rsidRPr="001268E7">
        <w:rPr>
          <w:rFonts w:cs="Calibri"/>
          <w:sz w:val="24"/>
          <w:szCs w:val="24"/>
          <w:lang w:eastAsia="pl-PL"/>
        </w:rPr>
        <w:t>W celu realizacji bieżących</w:t>
      </w:r>
      <w:r w:rsidR="00B546F9" w:rsidRPr="001268E7">
        <w:rPr>
          <w:rFonts w:cs="Calibri"/>
          <w:sz w:val="24"/>
          <w:szCs w:val="24"/>
          <w:lang w:eastAsia="pl-PL"/>
        </w:rPr>
        <w:t xml:space="preserve"> czynności związanych z wdrażaniem Programu, IZ powołała do życia WST</w:t>
      </w:r>
      <w:r w:rsidR="00671D46">
        <w:rPr>
          <w:rFonts w:cs="Calibri"/>
          <w:sz w:val="24"/>
          <w:szCs w:val="24"/>
          <w:lang w:eastAsia="pl-PL"/>
        </w:rPr>
        <w:t xml:space="preserve"> powołany jako Instytucja Pośrednicząca,</w:t>
      </w:r>
      <w:r w:rsidR="00B546F9" w:rsidRPr="001268E7">
        <w:rPr>
          <w:rFonts w:cs="Calibri"/>
          <w:sz w:val="24"/>
          <w:szCs w:val="24"/>
          <w:lang w:eastAsia="pl-PL"/>
        </w:rPr>
        <w:t xml:space="preserve"> działający w ramach państwowej jednostki Centrum Projektów Europejskich.</w:t>
      </w:r>
      <w:r w:rsidR="00155A2E" w:rsidRPr="001268E7">
        <w:rPr>
          <w:sz w:val="24"/>
          <w:szCs w:val="24"/>
        </w:rPr>
        <w:t xml:space="preserve"> </w:t>
      </w:r>
      <w:r w:rsidR="00B546F9" w:rsidRPr="001268E7">
        <w:rPr>
          <w:sz w:val="24"/>
          <w:szCs w:val="24"/>
        </w:rPr>
        <w:t xml:space="preserve">Na mocy </w:t>
      </w:r>
      <w:r w:rsidR="00B546F9" w:rsidRPr="001268E7">
        <w:rPr>
          <w:rFonts w:cs="Calibri"/>
          <w:sz w:val="24"/>
          <w:szCs w:val="24"/>
          <w:lang w:eastAsia="pl-PL"/>
        </w:rPr>
        <w:t>decyzji podjętych przez państwa uczestniczące, utworzono Oddział w Rosji celu udzielenia WST wsparcia w ramach realizacji jego funkcji.</w:t>
      </w:r>
      <w:r w:rsidR="00155A2E" w:rsidRPr="001268E7">
        <w:rPr>
          <w:sz w:val="24"/>
          <w:szCs w:val="24"/>
        </w:rPr>
        <w:t xml:space="preserve"> </w:t>
      </w:r>
      <w:r w:rsidR="004D306D" w:rsidRPr="001268E7">
        <w:rPr>
          <w:sz w:val="24"/>
          <w:szCs w:val="24"/>
        </w:rPr>
        <w:t>Zadania WST i Oddziału są</w:t>
      </w:r>
      <w:r w:rsidR="00B546F9" w:rsidRPr="001268E7">
        <w:rPr>
          <w:sz w:val="24"/>
          <w:szCs w:val="24"/>
        </w:rPr>
        <w:t xml:space="preserve"> określone w punkcie 3.4 WPO.</w:t>
      </w:r>
    </w:p>
    <w:p w:rsidR="00155A2E" w:rsidRPr="00666F85" w:rsidRDefault="00B546F9" w:rsidP="00F80A15">
      <w:pPr>
        <w:spacing w:before="100" w:beforeAutospacing="1" w:after="100" w:afterAutospacing="1" w:line="240" w:lineRule="auto"/>
        <w:jc w:val="both"/>
        <w:rPr>
          <w:rStyle w:val="Wyrnieniedelikatne"/>
          <w:rFonts w:asciiTheme="minorHAnsi" w:hAnsiTheme="minorHAnsi"/>
        </w:rPr>
      </w:pPr>
      <w:r w:rsidRPr="00666F85">
        <w:rPr>
          <w:rStyle w:val="Wyrnieniedelikatne"/>
          <w:rFonts w:asciiTheme="minorHAnsi" w:hAnsiTheme="minorHAnsi"/>
        </w:rPr>
        <w:t>Struktura poziomu audytu obejmuje:</w:t>
      </w:r>
      <w:r w:rsidR="00155A2E" w:rsidRPr="00666F85">
        <w:rPr>
          <w:rStyle w:val="Wyrnieniedelikatne"/>
          <w:rFonts w:asciiTheme="minorHAnsi" w:hAnsiTheme="minorHAnsi"/>
        </w:rPr>
        <w:t xml:space="preserve"> </w:t>
      </w:r>
    </w:p>
    <w:p w:rsidR="00155A2E" w:rsidRPr="00666F85" w:rsidRDefault="004D306D" w:rsidP="004D306D">
      <w:pPr>
        <w:autoSpaceDE w:val="0"/>
        <w:autoSpaceDN w:val="0"/>
        <w:adjustRightInd w:val="0"/>
        <w:spacing w:before="100" w:beforeAutospacing="1" w:after="100" w:afterAutospacing="1" w:line="240" w:lineRule="auto"/>
        <w:jc w:val="both"/>
        <w:rPr>
          <w:rStyle w:val="Wyrnienieintensywne"/>
          <w:rFonts w:asciiTheme="minorHAnsi" w:hAnsiTheme="minorHAnsi"/>
          <w:i/>
        </w:rPr>
      </w:pPr>
      <w:r w:rsidRPr="00666F85">
        <w:rPr>
          <w:rStyle w:val="Wyrnienieintensywne"/>
          <w:rFonts w:asciiTheme="minorHAnsi" w:hAnsiTheme="minorHAnsi"/>
          <w:bCs w:val="0"/>
          <w:i/>
        </w:rPr>
        <w:t>Instytucja Audytowa (IA) i Grupa Audytorów (GA)</w:t>
      </w:r>
      <w:r w:rsidR="00155A2E" w:rsidRPr="00666F85">
        <w:rPr>
          <w:rStyle w:val="Wyrnienieintensywne"/>
          <w:rFonts w:asciiTheme="minorHAnsi" w:hAnsiTheme="minorHAnsi"/>
          <w:i/>
        </w:rPr>
        <w:t xml:space="preserve"> </w:t>
      </w:r>
    </w:p>
    <w:p w:rsidR="00F80A15" w:rsidRPr="001268E7" w:rsidRDefault="00F80A15" w:rsidP="004D306D">
      <w:pPr>
        <w:autoSpaceDE w:val="0"/>
        <w:autoSpaceDN w:val="0"/>
        <w:adjustRightInd w:val="0"/>
        <w:spacing w:before="100" w:beforeAutospacing="1" w:after="100" w:afterAutospacing="1" w:line="240" w:lineRule="auto"/>
        <w:jc w:val="both"/>
        <w:rPr>
          <w:b/>
          <w:vanish/>
          <w:sz w:val="24"/>
          <w:szCs w:val="24"/>
        </w:rPr>
      </w:pPr>
    </w:p>
    <w:p w:rsidR="00155A2E" w:rsidRPr="001268E7" w:rsidRDefault="004D306D" w:rsidP="004D306D">
      <w:pPr>
        <w:autoSpaceDE w:val="0"/>
        <w:autoSpaceDN w:val="0"/>
        <w:adjustRightInd w:val="0"/>
        <w:spacing w:before="100" w:beforeAutospacing="1" w:after="100" w:afterAutospacing="1" w:line="240" w:lineRule="auto"/>
        <w:jc w:val="both"/>
        <w:rPr>
          <w:sz w:val="24"/>
          <w:szCs w:val="24"/>
        </w:rPr>
      </w:pPr>
      <w:r w:rsidRPr="001268E7">
        <w:rPr>
          <w:sz w:val="24"/>
          <w:szCs w:val="24"/>
        </w:rPr>
        <w:t xml:space="preserve">Funkcje IA </w:t>
      </w:r>
      <w:r w:rsidRPr="001268E7">
        <w:rPr>
          <w:rFonts w:cs="Calibri"/>
          <w:sz w:val="24"/>
          <w:szCs w:val="24"/>
          <w:lang w:eastAsia="pl-PL"/>
        </w:rPr>
        <w:t xml:space="preserve">realizowane będą przez </w:t>
      </w:r>
      <w:r w:rsidR="00116383">
        <w:rPr>
          <w:rFonts w:cs="Calibri"/>
          <w:sz w:val="24"/>
          <w:szCs w:val="24"/>
          <w:lang w:eastAsia="pl-PL"/>
        </w:rPr>
        <w:t>Szefa Krajowej Administracji Skarbowej w</w:t>
      </w:r>
      <w:r w:rsidRPr="001268E7">
        <w:rPr>
          <w:sz w:val="24"/>
          <w:szCs w:val="24"/>
        </w:rPr>
        <w:t xml:space="preserve"> Ministerstwie Finansów Rzeczpospolitej Polskiej.</w:t>
      </w:r>
    </w:p>
    <w:p w:rsidR="00155A2E" w:rsidRPr="001268E7" w:rsidRDefault="004D306D" w:rsidP="004D306D">
      <w:pPr>
        <w:autoSpaceDE w:val="0"/>
        <w:autoSpaceDN w:val="0"/>
        <w:adjustRightInd w:val="0"/>
        <w:spacing w:before="100" w:beforeAutospacing="1" w:after="100" w:afterAutospacing="1" w:line="240" w:lineRule="auto"/>
        <w:jc w:val="both"/>
        <w:rPr>
          <w:sz w:val="24"/>
          <w:szCs w:val="24"/>
        </w:rPr>
      </w:pPr>
      <w:r w:rsidRPr="001268E7">
        <w:rPr>
          <w:rFonts w:cs="Calibri"/>
          <w:sz w:val="24"/>
          <w:szCs w:val="24"/>
          <w:lang w:eastAsia="pl-PL"/>
        </w:rPr>
        <w:t>Wsparcia IA udzielać będzie GA składająca się z przedstawicieli każdego uczestniczącego w Programie państwa.</w:t>
      </w:r>
      <w:r w:rsidR="00155A2E" w:rsidRPr="001268E7">
        <w:rPr>
          <w:sz w:val="24"/>
          <w:szCs w:val="24"/>
        </w:rPr>
        <w:t xml:space="preserve"> </w:t>
      </w:r>
      <w:r w:rsidRPr="001268E7">
        <w:rPr>
          <w:sz w:val="24"/>
          <w:szCs w:val="24"/>
        </w:rPr>
        <w:t>W skład GA wchodzą wyznaczeni pracownicy służby cywilnej reprezentujący następujące instytucje i stanowiska:</w:t>
      </w:r>
      <w:r w:rsidR="00155A2E" w:rsidRPr="001268E7">
        <w:rPr>
          <w:sz w:val="24"/>
          <w:szCs w:val="24"/>
        </w:rPr>
        <w:t xml:space="preserve"> </w:t>
      </w:r>
    </w:p>
    <w:p w:rsidR="004D306D" w:rsidRPr="001268E7" w:rsidRDefault="004D306D" w:rsidP="00C62170">
      <w:pPr>
        <w:pStyle w:val="Akapitzlist"/>
        <w:numPr>
          <w:ilvl w:val="0"/>
          <w:numId w:val="14"/>
        </w:numPr>
        <w:autoSpaceDE w:val="0"/>
        <w:autoSpaceDN w:val="0"/>
        <w:adjustRightInd w:val="0"/>
        <w:spacing w:before="100" w:beforeAutospacing="1" w:after="100" w:afterAutospacing="1" w:line="240" w:lineRule="auto"/>
        <w:jc w:val="both"/>
        <w:rPr>
          <w:vanish/>
          <w:sz w:val="24"/>
          <w:szCs w:val="24"/>
        </w:rPr>
      </w:pPr>
      <w:r w:rsidRPr="001268E7">
        <w:rPr>
          <w:sz w:val="24"/>
          <w:szCs w:val="24"/>
        </w:rPr>
        <w:t xml:space="preserve">Polska: </w:t>
      </w:r>
      <w:r w:rsidR="00116383">
        <w:rPr>
          <w:sz w:val="24"/>
          <w:szCs w:val="24"/>
        </w:rPr>
        <w:t>Szef Krajowej Administracji Skarbowej</w:t>
      </w:r>
      <w:r w:rsidRPr="001268E7">
        <w:rPr>
          <w:sz w:val="24"/>
          <w:szCs w:val="24"/>
        </w:rPr>
        <w:t xml:space="preserve"> (Ministerstwo Finansów, Departament Ochrony Interesów Finansowych UE). </w:t>
      </w:r>
    </w:p>
    <w:p w:rsidR="00F80A15" w:rsidRPr="00F80A15" w:rsidRDefault="00F80A15" w:rsidP="00C62170">
      <w:pPr>
        <w:pStyle w:val="Akapitzlist"/>
        <w:numPr>
          <w:ilvl w:val="0"/>
          <w:numId w:val="14"/>
        </w:numPr>
        <w:autoSpaceDE w:val="0"/>
        <w:autoSpaceDN w:val="0"/>
        <w:adjustRightInd w:val="0"/>
        <w:spacing w:before="100" w:beforeAutospacing="1" w:after="100" w:afterAutospacing="1" w:line="240" w:lineRule="auto"/>
        <w:jc w:val="both"/>
        <w:rPr>
          <w:vanish/>
          <w:sz w:val="24"/>
          <w:szCs w:val="24"/>
        </w:rPr>
      </w:pPr>
    </w:p>
    <w:p w:rsidR="00155A2E" w:rsidRDefault="00155A2E" w:rsidP="004D306D">
      <w:pPr>
        <w:autoSpaceDE w:val="0"/>
        <w:autoSpaceDN w:val="0"/>
        <w:adjustRightInd w:val="0"/>
        <w:spacing w:before="100" w:beforeAutospacing="1" w:after="100" w:afterAutospacing="1" w:line="240" w:lineRule="auto"/>
        <w:jc w:val="both"/>
        <w:rPr>
          <w:sz w:val="24"/>
          <w:szCs w:val="24"/>
        </w:rPr>
      </w:pPr>
    </w:p>
    <w:p w:rsidR="00F80A15" w:rsidRPr="001268E7" w:rsidRDefault="00F80A15" w:rsidP="00C62170">
      <w:pPr>
        <w:pStyle w:val="Akapitzlist"/>
        <w:numPr>
          <w:ilvl w:val="0"/>
          <w:numId w:val="14"/>
        </w:numPr>
        <w:autoSpaceDE w:val="0"/>
        <w:autoSpaceDN w:val="0"/>
        <w:adjustRightInd w:val="0"/>
        <w:spacing w:before="100" w:beforeAutospacing="1" w:after="100" w:afterAutospacing="1" w:line="240" w:lineRule="auto"/>
        <w:jc w:val="both"/>
        <w:rPr>
          <w:vanish/>
          <w:sz w:val="24"/>
          <w:szCs w:val="24"/>
        </w:rPr>
      </w:pPr>
      <w:r w:rsidRPr="001268E7">
        <w:rPr>
          <w:sz w:val="24"/>
          <w:szCs w:val="24"/>
        </w:rPr>
        <w:t xml:space="preserve">Rosja: Ministerstwo Finansów. </w:t>
      </w:r>
    </w:p>
    <w:p w:rsidR="00B53B29" w:rsidRDefault="00B53B29" w:rsidP="00C62170">
      <w:pPr>
        <w:pStyle w:val="Akapitzlist"/>
        <w:numPr>
          <w:ilvl w:val="0"/>
          <w:numId w:val="14"/>
        </w:numPr>
        <w:autoSpaceDE w:val="0"/>
        <w:autoSpaceDN w:val="0"/>
        <w:adjustRightInd w:val="0"/>
        <w:spacing w:before="100" w:beforeAutospacing="1" w:after="100" w:afterAutospacing="1" w:line="240" w:lineRule="auto"/>
        <w:jc w:val="both"/>
        <w:rPr>
          <w:sz w:val="24"/>
          <w:szCs w:val="24"/>
        </w:rPr>
      </w:pPr>
    </w:p>
    <w:p w:rsidR="00F80A15" w:rsidRPr="00B53B29" w:rsidRDefault="00F80A15" w:rsidP="00B53B29">
      <w:pPr>
        <w:autoSpaceDE w:val="0"/>
        <w:autoSpaceDN w:val="0"/>
        <w:adjustRightInd w:val="0"/>
        <w:spacing w:before="100" w:beforeAutospacing="1" w:after="100" w:afterAutospacing="1" w:line="240" w:lineRule="auto"/>
        <w:jc w:val="both"/>
        <w:rPr>
          <w:sz w:val="24"/>
          <w:szCs w:val="24"/>
        </w:rPr>
      </w:pPr>
      <w:r w:rsidRPr="00B53B29">
        <w:rPr>
          <w:sz w:val="24"/>
          <w:szCs w:val="24"/>
        </w:rPr>
        <w:t>Zadania IA i GA są określone w punkcie 3.5 WPO.</w:t>
      </w:r>
    </w:p>
    <w:p w:rsidR="00155A2E" w:rsidRPr="00666F85" w:rsidRDefault="004D306D" w:rsidP="00F80A15">
      <w:pPr>
        <w:spacing w:before="100" w:beforeAutospacing="1" w:after="100" w:afterAutospacing="1" w:line="240" w:lineRule="auto"/>
        <w:jc w:val="both"/>
        <w:rPr>
          <w:rStyle w:val="Wyrnieniedelikatne"/>
          <w:rFonts w:asciiTheme="minorHAnsi" w:hAnsiTheme="minorHAnsi"/>
        </w:rPr>
      </w:pPr>
      <w:r w:rsidRPr="00666F85">
        <w:rPr>
          <w:rStyle w:val="Wyrnieniedelikatne"/>
          <w:rFonts w:asciiTheme="minorHAnsi" w:hAnsiTheme="minorHAnsi"/>
        </w:rPr>
        <w:t>Struktura poziomu kontroli obejmuje:</w:t>
      </w:r>
    </w:p>
    <w:p w:rsidR="00155A2E" w:rsidRPr="00666F85" w:rsidRDefault="00155A2E" w:rsidP="004D306D">
      <w:pPr>
        <w:autoSpaceDE w:val="0"/>
        <w:autoSpaceDN w:val="0"/>
        <w:adjustRightInd w:val="0"/>
        <w:spacing w:before="100" w:beforeAutospacing="1" w:after="100" w:afterAutospacing="1" w:line="240" w:lineRule="auto"/>
        <w:jc w:val="both"/>
        <w:rPr>
          <w:rStyle w:val="Wyrnienieintensywne"/>
          <w:rFonts w:asciiTheme="minorHAnsi" w:hAnsiTheme="minorHAnsi"/>
          <w:i/>
        </w:rPr>
      </w:pPr>
      <w:r w:rsidRPr="00666F85">
        <w:rPr>
          <w:rStyle w:val="Wyrnienieintensywne"/>
          <w:rFonts w:asciiTheme="minorHAnsi" w:hAnsiTheme="minorHAnsi"/>
          <w:i/>
        </w:rPr>
        <w:t xml:space="preserve"> </w:t>
      </w:r>
      <w:r w:rsidR="004D306D" w:rsidRPr="00666F85">
        <w:rPr>
          <w:rStyle w:val="Wyrnienieintensywne"/>
          <w:rFonts w:asciiTheme="minorHAnsi" w:hAnsiTheme="minorHAnsi"/>
          <w:i/>
        </w:rPr>
        <w:t>Niezależni Audytorzy</w:t>
      </w:r>
      <w:r w:rsidRPr="00666F85">
        <w:rPr>
          <w:rStyle w:val="Wyrnienieintensywne"/>
          <w:rFonts w:asciiTheme="minorHAnsi" w:hAnsiTheme="minorHAnsi"/>
          <w:i/>
        </w:rPr>
        <w:t xml:space="preserve"> </w:t>
      </w:r>
    </w:p>
    <w:p w:rsidR="00155A2E" w:rsidRPr="001268E7" w:rsidRDefault="004D306D" w:rsidP="004D306D">
      <w:pPr>
        <w:autoSpaceDE w:val="0"/>
        <w:autoSpaceDN w:val="0"/>
        <w:adjustRightInd w:val="0"/>
        <w:spacing w:before="100" w:beforeAutospacing="1" w:after="100" w:afterAutospacing="1" w:line="240" w:lineRule="auto"/>
        <w:jc w:val="both"/>
        <w:rPr>
          <w:sz w:val="24"/>
          <w:szCs w:val="24"/>
        </w:rPr>
      </w:pPr>
      <w:r w:rsidRPr="001268E7">
        <w:rPr>
          <w:rFonts w:cs="Calibri"/>
          <w:sz w:val="24"/>
          <w:szCs w:val="24"/>
          <w:lang w:eastAsia="pl-PL"/>
        </w:rPr>
        <w:t>Wydatki na poziomie projektu są weryfikowane przez niezależnych audytorów.</w:t>
      </w:r>
      <w:r w:rsidR="00155A2E" w:rsidRPr="001268E7">
        <w:rPr>
          <w:sz w:val="24"/>
          <w:szCs w:val="24"/>
        </w:rPr>
        <w:t xml:space="preserve"> </w:t>
      </w:r>
      <w:r w:rsidRPr="001268E7">
        <w:rPr>
          <w:sz w:val="24"/>
          <w:szCs w:val="24"/>
        </w:rPr>
        <w:t>Zadania niezależnych audytorów są określone w punkcie 3.7 WPO.</w:t>
      </w:r>
      <w:r w:rsidR="00155A2E" w:rsidRPr="001268E7">
        <w:rPr>
          <w:sz w:val="24"/>
          <w:szCs w:val="24"/>
        </w:rPr>
        <w:t xml:space="preserve"> </w:t>
      </w:r>
      <w:r w:rsidRPr="001268E7">
        <w:rPr>
          <w:rFonts w:cs="Calibri"/>
          <w:sz w:val="24"/>
          <w:szCs w:val="24"/>
          <w:lang w:eastAsia="pl-PL"/>
        </w:rPr>
        <w:t>Niezależni audytorzy powinni działać zgodnie z zapisami umowy o dofinansowanie odnośnie weryfikacji wydatków oraz z procedurami Programu dotyczącymi kontroli.</w:t>
      </w:r>
    </w:p>
    <w:p w:rsidR="00155A2E" w:rsidRPr="00666F85" w:rsidRDefault="004D306D" w:rsidP="004D306D">
      <w:pPr>
        <w:autoSpaceDE w:val="0"/>
        <w:autoSpaceDN w:val="0"/>
        <w:adjustRightInd w:val="0"/>
        <w:spacing w:before="100" w:beforeAutospacing="1" w:after="100" w:afterAutospacing="1" w:line="240" w:lineRule="auto"/>
        <w:jc w:val="both"/>
        <w:rPr>
          <w:rStyle w:val="Wyrnienieintensywne"/>
          <w:rFonts w:asciiTheme="minorHAnsi" w:hAnsiTheme="minorHAnsi"/>
          <w:i/>
        </w:rPr>
      </w:pPr>
      <w:r w:rsidRPr="00666F85">
        <w:rPr>
          <w:rStyle w:val="Wyrnienieintensywne"/>
          <w:rFonts w:asciiTheme="minorHAnsi" w:hAnsiTheme="minorHAnsi"/>
          <w:i/>
        </w:rPr>
        <w:t>Instytucja Zarządzają</w:t>
      </w:r>
      <w:r w:rsidR="00FA7DD0" w:rsidRPr="00666F85">
        <w:rPr>
          <w:rStyle w:val="Wyrnienieintensywne"/>
          <w:rFonts w:asciiTheme="minorHAnsi" w:hAnsiTheme="minorHAnsi"/>
          <w:i/>
        </w:rPr>
        <w:t>ca</w:t>
      </w:r>
      <w:r w:rsidRPr="00666F85">
        <w:rPr>
          <w:rStyle w:val="Wyrnienieintensywne"/>
          <w:rFonts w:asciiTheme="minorHAnsi" w:hAnsiTheme="minorHAnsi"/>
          <w:i/>
        </w:rPr>
        <w:t xml:space="preserve"> i Wspólny Sekretariat Techniczny</w:t>
      </w:r>
      <w:r w:rsidR="00155A2E" w:rsidRPr="00666F85">
        <w:rPr>
          <w:rStyle w:val="Wyrnienieintensywne"/>
          <w:rFonts w:asciiTheme="minorHAnsi" w:hAnsiTheme="minorHAnsi"/>
          <w:i/>
        </w:rPr>
        <w:t xml:space="preserve"> </w:t>
      </w:r>
    </w:p>
    <w:p w:rsidR="00155A2E" w:rsidRDefault="00FA7DD0" w:rsidP="004D306D">
      <w:pPr>
        <w:autoSpaceDE w:val="0"/>
        <w:autoSpaceDN w:val="0"/>
        <w:adjustRightInd w:val="0"/>
        <w:spacing w:before="100" w:beforeAutospacing="1" w:after="100" w:afterAutospacing="1" w:line="240" w:lineRule="auto"/>
        <w:jc w:val="both"/>
        <w:rPr>
          <w:sz w:val="24"/>
          <w:szCs w:val="24"/>
        </w:rPr>
      </w:pPr>
      <w:r w:rsidRPr="001268E7">
        <w:rPr>
          <w:rFonts w:cs="Calibri"/>
          <w:sz w:val="24"/>
          <w:szCs w:val="24"/>
          <w:lang w:eastAsia="pl-PL"/>
        </w:rPr>
        <w:t>IZ</w:t>
      </w:r>
      <w:r w:rsidR="004D306D" w:rsidRPr="001268E7">
        <w:rPr>
          <w:rFonts w:cs="Calibri"/>
          <w:sz w:val="24"/>
          <w:szCs w:val="24"/>
          <w:lang w:eastAsia="pl-PL"/>
        </w:rPr>
        <w:t xml:space="preserve"> jest odpowiedzialna za zarządzanie finansami i kontrolę Programu.</w:t>
      </w:r>
      <w:r w:rsidR="00155A2E" w:rsidRPr="001268E7">
        <w:rPr>
          <w:sz w:val="24"/>
          <w:szCs w:val="24"/>
        </w:rPr>
        <w:t xml:space="preserve"> </w:t>
      </w:r>
      <w:r w:rsidR="004D306D" w:rsidRPr="001268E7">
        <w:rPr>
          <w:sz w:val="24"/>
          <w:szCs w:val="24"/>
        </w:rPr>
        <w:t>Zadania IZ są określone w punkcie 3.2 WPO.</w:t>
      </w:r>
      <w:r w:rsidR="002D39D8" w:rsidRPr="001268E7">
        <w:rPr>
          <w:sz w:val="24"/>
          <w:szCs w:val="24"/>
        </w:rPr>
        <w:t xml:space="preserve"> </w:t>
      </w:r>
      <w:r w:rsidR="004D306D" w:rsidRPr="001268E7">
        <w:rPr>
          <w:rFonts w:cs="Calibri"/>
          <w:sz w:val="24"/>
          <w:szCs w:val="24"/>
          <w:lang w:eastAsia="pl-PL"/>
        </w:rPr>
        <w:t xml:space="preserve">Część zadań IZ może być wykonywana przez WST. WST ponosi wówczas </w:t>
      </w:r>
      <w:r w:rsidR="004D306D" w:rsidRPr="001268E7">
        <w:rPr>
          <w:rFonts w:cs="Calibri"/>
          <w:sz w:val="24"/>
          <w:szCs w:val="24"/>
          <w:lang w:eastAsia="pl-PL"/>
        </w:rPr>
        <w:lastRenderedPageBreak/>
        <w:t>za nie odpowiedzialność.</w:t>
      </w:r>
      <w:r w:rsidR="00155A2E" w:rsidRPr="001268E7">
        <w:rPr>
          <w:sz w:val="24"/>
          <w:szCs w:val="24"/>
        </w:rPr>
        <w:t xml:space="preserve"> </w:t>
      </w:r>
      <w:r w:rsidR="004D306D" w:rsidRPr="001268E7">
        <w:rPr>
          <w:sz w:val="24"/>
          <w:szCs w:val="24"/>
        </w:rPr>
        <w:t>Zadania WST są określone w punkcie 3.4 WPO.</w:t>
      </w:r>
      <w:r w:rsidR="00155A2E" w:rsidRPr="001268E7">
        <w:rPr>
          <w:sz w:val="24"/>
          <w:szCs w:val="24"/>
        </w:rPr>
        <w:t xml:space="preserve"> </w:t>
      </w:r>
      <w:r w:rsidR="004D306D" w:rsidRPr="001268E7">
        <w:rPr>
          <w:rFonts w:cs="Calibri"/>
          <w:sz w:val="24"/>
          <w:szCs w:val="24"/>
          <w:lang w:eastAsia="pl-PL"/>
        </w:rPr>
        <w:t>W celu przeprowadzenia weryfikacji na całym obszarze Programu, IZ może być wspierana przez KPK.</w:t>
      </w:r>
      <w:r w:rsidR="00155A2E" w:rsidRPr="001268E7">
        <w:rPr>
          <w:sz w:val="24"/>
          <w:szCs w:val="24"/>
        </w:rPr>
        <w:t xml:space="preserve"> </w:t>
      </w:r>
      <w:r w:rsidR="004D306D" w:rsidRPr="001268E7">
        <w:rPr>
          <w:rFonts w:cs="Calibri"/>
          <w:sz w:val="24"/>
          <w:szCs w:val="24"/>
          <w:lang w:eastAsia="pl-PL"/>
        </w:rPr>
        <w:t>W tym celu, każde z państw uczestniczących wyznaczyło instytucję, która będzie działała jako KPK na jego terytorium.</w:t>
      </w:r>
      <w:r w:rsidR="00155A2E" w:rsidRPr="001268E7">
        <w:rPr>
          <w:sz w:val="24"/>
          <w:szCs w:val="24"/>
        </w:rPr>
        <w:t xml:space="preserve"> </w:t>
      </w:r>
      <w:r w:rsidR="004D306D" w:rsidRPr="001268E7">
        <w:rPr>
          <w:sz w:val="24"/>
          <w:szCs w:val="24"/>
        </w:rPr>
        <w:t>Zadania KPK są określone w punkcie 3.6 WPO.</w:t>
      </w:r>
    </w:p>
    <w:p w:rsidR="001D29CC" w:rsidRPr="001D29CC" w:rsidRDefault="001D29CC" w:rsidP="007622AB">
      <w:pPr>
        <w:rPr>
          <w:sz w:val="24"/>
          <w:szCs w:val="24"/>
        </w:rPr>
      </w:pPr>
      <w:r w:rsidRPr="00666F85">
        <w:rPr>
          <w:rStyle w:val="Wyrnienieintensywne"/>
          <w:rFonts w:asciiTheme="minorHAnsi" w:hAnsiTheme="minorHAnsi"/>
          <w:i/>
        </w:rPr>
        <w:t>Kontrolne punkty kontaktowe (KPK)</w:t>
      </w:r>
    </w:p>
    <w:p w:rsidR="001D29CC" w:rsidRPr="001268E7" w:rsidRDefault="00144939" w:rsidP="001D29CC">
      <w:pPr>
        <w:autoSpaceDE w:val="0"/>
        <w:autoSpaceDN w:val="0"/>
        <w:adjustRightInd w:val="0"/>
        <w:spacing w:before="100" w:beforeAutospacing="1" w:after="100" w:afterAutospacing="1" w:line="240" w:lineRule="auto"/>
        <w:jc w:val="both"/>
        <w:rPr>
          <w:sz w:val="24"/>
          <w:szCs w:val="24"/>
        </w:rPr>
      </w:pPr>
      <w:r>
        <w:rPr>
          <w:sz w:val="24"/>
          <w:szCs w:val="24"/>
          <w:lang w:bidi="pl-PL"/>
        </w:rPr>
        <w:t>Opis KPK oraz ich z</w:t>
      </w:r>
      <w:r w:rsidR="001D29CC" w:rsidRPr="001D29CC">
        <w:rPr>
          <w:sz w:val="24"/>
          <w:szCs w:val="24"/>
          <w:lang w:bidi="pl-PL"/>
        </w:rPr>
        <w:t>adania określono w pkt 3.6 WPO.</w:t>
      </w:r>
    </w:p>
    <w:p w:rsidR="002D39D8" w:rsidRPr="00666F85" w:rsidRDefault="004D306D" w:rsidP="00422C3C">
      <w:pPr>
        <w:spacing w:before="100" w:beforeAutospacing="1" w:after="100" w:afterAutospacing="1" w:line="240" w:lineRule="auto"/>
        <w:jc w:val="both"/>
        <w:rPr>
          <w:rStyle w:val="Wyrnieniedelikatne"/>
          <w:rFonts w:asciiTheme="minorHAnsi" w:hAnsiTheme="minorHAnsi"/>
        </w:rPr>
      </w:pPr>
      <w:r w:rsidRPr="00666F85">
        <w:rPr>
          <w:rStyle w:val="Wyrnieniedelikatne"/>
          <w:rFonts w:asciiTheme="minorHAnsi" w:hAnsiTheme="minorHAnsi"/>
        </w:rPr>
        <w:t>Ustalenia zapewniające niezależność między organami</w:t>
      </w:r>
      <w:r w:rsidR="00155A2E" w:rsidRPr="00666F85">
        <w:rPr>
          <w:rStyle w:val="Wyrnieniedelikatne"/>
          <w:rFonts w:asciiTheme="minorHAnsi" w:hAnsiTheme="minorHAnsi"/>
        </w:rPr>
        <w:t xml:space="preserve"> </w:t>
      </w:r>
    </w:p>
    <w:p w:rsidR="00155A2E" w:rsidRPr="001268E7" w:rsidRDefault="004D306D" w:rsidP="004D306D">
      <w:pPr>
        <w:autoSpaceDE w:val="0"/>
        <w:autoSpaceDN w:val="0"/>
        <w:adjustRightInd w:val="0"/>
        <w:spacing w:before="100" w:beforeAutospacing="1" w:after="100" w:afterAutospacing="1" w:line="240" w:lineRule="auto"/>
        <w:jc w:val="both"/>
        <w:rPr>
          <w:sz w:val="24"/>
          <w:szCs w:val="24"/>
        </w:rPr>
      </w:pPr>
      <w:r w:rsidRPr="001268E7">
        <w:rPr>
          <w:rFonts w:cs="Calibri"/>
          <w:lang w:eastAsia="pl-PL"/>
        </w:rPr>
        <w:t>IA pozostaje niezależna od IZ oraz od KPK.</w:t>
      </w:r>
      <w:r w:rsidR="00155A2E" w:rsidRPr="001268E7">
        <w:rPr>
          <w:sz w:val="24"/>
          <w:szCs w:val="24"/>
        </w:rPr>
        <w:t xml:space="preserve"> </w:t>
      </w:r>
      <w:r w:rsidRPr="001268E7">
        <w:rPr>
          <w:sz w:val="24"/>
          <w:szCs w:val="24"/>
        </w:rPr>
        <w:t>Funkcje IA, IZ i KPK realizowane są przez odrębne i nie</w:t>
      </w:r>
      <w:r w:rsidR="00FA7DD0" w:rsidRPr="001268E7">
        <w:rPr>
          <w:sz w:val="24"/>
          <w:szCs w:val="24"/>
        </w:rPr>
        <w:t>zależne od siebie organy publiczne</w:t>
      </w:r>
      <w:r w:rsidRPr="001268E7">
        <w:rPr>
          <w:sz w:val="24"/>
          <w:szCs w:val="24"/>
        </w:rPr>
        <w:t>.</w:t>
      </w:r>
      <w:r w:rsidR="00155A2E" w:rsidRPr="001268E7">
        <w:rPr>
          <w:sz w:val="24"/>
          <w:szCs w:val="24"/>
        </w:rPr>
        <w:t xml:space="preserve"> </w:t>
      </w:r>
      <w:r w:rsidRPr="001268E7">
        <w:rPr>
          <w:sz w:val="24"/>
          <w:szCs w:val="24"/>
        </w:rPr>
        <w:t>Wszelkie organy audytowe pozostają w każdych okolicznościach w pełni niezależne w ramach realizowanych zadań audytowych w stosunku do IZ, KPK oraz WST, a także do innych organów zaangażowanych w realizację Programu.</w:t>
      </w:r>
    </w:p>
    <w:p w:rsidR="002D39D8" w:rsidRPr="00666F85" w:rsidRDefault="004D306D" w:rsidP="00422C3C">
      <w:pPr>
        <w:spacing w:before="100" w:beforeAutospacing="1" w:after="100" w:afterAutospacing="1" w:line="240" w:lineRule="auto"/>
        <w:jc w:val="both"/>
        <w:rPr>
          <w:rStyle w:val="Wyrnieniedelikatne"/>
          <w:rFonts w:asciiTheme="minorHAnsi" w:hAnsiTheme="minorHAnsi"/>
        </w:rPr>
      </w:pPr>
      <w:r w:rsidRPr="00666F85">
        <w:rPr>
          <w:rStyle w:val="Wyrnieniedelikatne"/>
          <w:rFonts w:asciiTheme="minorHAnsi" w:hAnsiTheme="minorHAnsi"/>
        </w:rPr>
        <w:t>Rozdzielenie funkcji w obrębie organów Programu</w:t>
      </w:r>
      <w:r w:rsidR="00155A2E" w:rsidRPr="00666F85">
        <w:rPr>
          <w:rStyle w:val="Wyrnieniedelikatne"/>
          <w:rFonts w:asciiTheme="minorHAnsi" w:hAnsiTheme="minorHAnsi"/>
        </w:rPr>
        <w:t xml:space="preserve"> </w:t>
      </w:r>
    </w:p>
    <w:p w:rsidR="00B902B9" w:rsidRPr="001268E7" w:rsidRDefault="004D306D" w:rsidP="004B654C">
      <w:pPr>
        <w:autoSpaceDE w:val="0"/>
        <w:autoSpaceDN w:val="0"/>
        <w:adjustRightInd w:val="0"/>
        <w:spacing w:before="100" w:beforeAutospacing="1" w:after="100" w:afterAutospacing="1" w:line="240" w:lineRule="auto"/>
        <w:jc w:val="both"/>
        <w:rPr>
          <w:sz w:val="24"/>
          <w:szCs w:val="24"/>
        </w:rPr>
      </w:pPr>
      <w:r w:rsidRPr="001268E7">
        <w:rPr>
          <w:rFonts w:asciiTheme="minorHAnsi" w:hAnsiTheme="minorHAnsi" w:cs="Calibri"/>
          <w:sz w:val="24"/>
          <w:szCs w:val="24"/>
          <w:lang w:eastAsia="pl-PL"/>
        </w:rPr>
        <w:t>Zasada rozdzielenia fun</w:t>
      </w:r>
      <w:r w:rsidR="00FA7DD0" w:rsidRPr="001268E7">
        <w:rPr>
          <w:rFonts w:asciiTheme="minorHAnsi" w:hAnsiTheme="minorHAnsi" w:cs="Calibri"/>
          <w:sz w:val="24"/>
          <w:szCs w:val="24"/>
          <w:lang w:eastAsia="pl-PL"/>
        </w:rPr>
        <w:t>kc</w:t>
      </w:r>
      <w:r w:rsidR="004C6CB9" w:rsidRPr="001268E7">
        <w:rPr>
          <w:rFonts w:asciiTheme="minorHAnsi" w:hAnsiTheme="minorHAnsi" w:cs="Calibri"/>
          <w:sz w:val="24"/>
          <w:szCs w:val="24"/>
          <w:lang w:eastAsia="pl-PL"/>
        </w:rPr>
        <w:t>ji, o której mowa w art. 30 RW</w:t>
      </w:r>
      <w:r w:rsidR="00FA7DD0" w:rsidRPr="001268E7">
        <w:rPr>
          <w:rFonts w:asciiTheme="minorHAnsi" w:hAnsiTheme="minorHAnsi" w:cs="Calibri"/>
          <w:sz w:val="24"/>
          <w:szCs w:val="24"/>
          <w:lang w:eastAsia="pl-PL"/>
        </w:rPr>
        <w:t>,</w:t>
      </w:r>
      <w:r w:rsidR="00155A2E" w:rsidRPr="001268E7">
        <w:rPr>
          <w:rFonts w:asciiTheme="minorHAnsi" w:hAnsiTheme="minorHAnsi"/>
          <w:sz w:val="24"/>
          <w:szCs w:val="24"/>
        </w:rPr>
        <w:t xml:space="preserve"> </w:t>
      </w:r>
      <w:bookmarkStart w:id="35" w:name="_Toc420415004"/>
      <w:r w:rsidRPr="001268E7">
        <w:rPr>
          <w:rFonts w:asciiTheme="minorHAnsi" w:hAnsiTheme="minorHAnsi" w:cs="Calibri"/>
          <w:sz w:val="24"/>
          <w:szCs w:val="24"/>
          <w:lang w:eastAsia="pl-PL"/>
        </w:rPr>
        <w:t>musi być uwzględniona w trakcie decydowania o podziale zadań między poszczególnymi wydziałami działającymi w ramach organów Programu.</w:t>
      </w:r>
    </w:p>
    <w:p w:rsidR="004B654C" w:rsidRPr="001268E7" w:rsidRDefault="004D306D" w:rsidP="004D306D">
      <w:pPr>
        <w:pStyle w:val="Nagwek2"/>
        <w:rPr>
          <w:rFonts w:cs="Calibri"/>
        </w:rPr>
      </w:pPr>
      <w:bookmarkStart w:id="36" w:name="_Toc530737584"/>
      <w:bookmarkEnd w:id="35"/>
      <w:r w:rsidRPr="001268E7">
        <w:rPr>
          <w:rFonts w:cs="Calibri"/>
        </w:rPr>
        <w:t>4.2 Ramy czasowe realizacji Programu</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4B654C" w:rsidRPr="001268E7" w:rsidTr="004D306D">
        <w:tc>
          <w:tcPr>
            <w:tcW w:w="7905" w:type="dxa"/>
            <w:gridSpan w:val="2"/>
            <w:shd w:val="clear" w:color="auto" w:fill="auto"/>
          </w:tcPr>
          <w:p w:rsidR="004B654C" w:rsidRPr="001268E7" w:rsidRDefault="004D306D" w:rsidP="00925386">
            <w:pPr>
              <w:spacing w:before="100" w:beforeAutospacing="1" w:after="100" w:afterAutospacing="1" w:line="240" w:lineRule="auto"/>
              <w:jc w:val="center"/>
              <w:rPr>
                <w:sz w:val="24"/>
                <w:szCs w:val="24"/>
              </w:rPr>
            </w:pPr>
            <w:r w:rsidRPr="001268E7">
              <w:rPr>
                <w:b/>
                <w:sz w:val="24"/>
                <w:szCs w:val="24"/>
              </w:rPr>
              <w:t>Kluczowe etapy realizacji Programu</w:t>
            </w:r>
          </w:p>
        </w:tc>
      </w:tr>
      <w:tr w:rsidR="004B654C" w:rsidRPr="001268E7" w:rsidTr="004D306D">
        <w:trPr>
          <w:trHeight w:val="338"/>
        </w:trPr>
        <w:tc>
          <w:tcPr>
            <w:tcW w:w="3652" w:type="dxa"/>
            <w:shd w:val="clear" w:color="auto" w:fill="auto"/>
            <w:vAlign w:val="center"/>
          </w:tcPr>
          <w:p w:rsidR="004B654C" w:rsidRPr="001268E7" w:rsidRDefault="004D306D" w:rsidP="00925386">
            <w:pPr>
              <w:spacing w:before="100" w:beforeAutospacing="1" w:after="100" w:afterAutospacing="1" w:line="240" w:lineRule="auto"/>
              <w:jc w:val="center"/>
              <w:rPr>
                <w:b/>
                <w:sz w:val="24"/>
                <w:szCs w:val="24"/>
              </w:rPr>
            </w:pPr>
            <w:r w:rsidRPr="001268E7">
              <w:rPr>
                <w:b/>
                <w:sz w:val="24"/>
                <w:szCs w:val="24"/>
              </w:rPr>
              <w:t>Etap</w:t>
            </w:r>
          </w:p>
        </w:tc>
        <w:tc>
          <w:tcPr>
            <w:tcW w:w="4253" w:type="dxa"/>
            <w:shd w:val="clear" w:color="auto" w:fill="auto"/>
            <w:vAlign w:val="center"/>
          </w:tcPr>
          <w:p w:rsidR="004B654C" w:rsidRPr="001268E7" w:rsidRDefault="004D306D" w:rsidP="00925386">
            <w:pPr>
              <w:spacing w:before="100" w:beforeAutospacing="1" w:after="100" w:afterAutospacing="1" w:line="240" w:lineRule="auto"/>
              <w:jc w:val="center"/>
              <w:rPr>
                <w:b/>
                <w:sz w:val="24"/>
                <w:szCs w:val="24"/>
              </w:rPr>
            </w:pPr>
            <w:r w:rsidRPr="001268E7">
              <w:rPr>
                <w:b/>
                <w:sz w:val="24"/>
                <w:szCs w:val="24"/>
              </w:rPr>
              <w:t>Orientacyjne ramy czasowe</w:t>
            </w:r>
          </w:p>
        </w:tc>
      </w:tr>
      <w:tr w:rsidR="00E935CF" w:rsidRPr="001268E7" w:rsidTr="00E935CF">
        <w:trPr>
          <w:trHeight w:val="360"/>
        </w:trPr>
        <w:tc>
          <w:tcPr>
            <w:tcW w:w="3652" w:type="dxa"/>
            <w:shd w:val="clear" w:color="auto" w:fill="auto"/>
            <w:vAlign w:val="center"/>
          </w:tcPr>
          <w:p w:rsidR="00E935CF" w:rsidRPr="001268E7" w:rsidRDefault="00E935CF" w:rsidP="00925386">
            <w:pPr>
              <w:spacing w:before="100" w:beforeAutospacing="1" w:after="100" w:afterAutospacing="1" w:line="240" w:lineRule="auto"/>
              <w:rPr>
                <w:sz w:val="20"/>
                <w:szCs w:val="20"/>
              </w:rPr>
            </w:pPr>
            <w:r>
              <w:rPr>
                <w:sz w:val="20"/>
                <w:szCs w:val="20"/>
              </w:rPr>
              <w:t>Przyjęcie WPO przez KE</w:t>
            </w:r>
          </w:p>
        </w:tc>
        <w:tc>
          <w:tcPr>
            <w:tcW w:w="4253" w:type="dxa"/>
            <w:shd w:val="clear" w:color="auto" w:fill="auto"/>
            <w:vAlign w:val="center"/>
          </w:tcPr>
          <w:p w:rsidR="00E935CF" w:rsidRPr="001268E7" w:rsidRDefault="00E935CF" w:rsidP="00925386">
            <w:pPr>
              <w:spacing w:before="100" w:beforeAutospacing="1" w:after="100" w:afterAutospacing="1" w:line="240" w:lineRule="auto"/>
              <w:rPr>
                <w:sz w:val="20"/>
                <w:szCs w:val="20"/>
              </w:rPr>
            </w:pPr>
            <w:r>
              <w:rPr>
                <w:sz w:val="20"/>
                <w:szCs w:val="20"/>
              </w:rPr>
              <w:t>08.12.2016</w:t>
            </w:r>
          </w:p>
        </w:tc>
      </w:tr>
      <w:tr w:rsidR="00E935CF" w:rsidRPr="001268E7" w:rsidTr="004D306D">
        <w:trPr>
          <w:trHeight w:val="360"/>
        </w:trPr>
        <w:tc>
          <w:tcPr>
            <w:tcW w:w="3652" w:type="dxa"/>
            <w:shd w:val="clear" w:color="auto" w:fill="auto"/>
            <w:vAlign w:val="center"/>
          </w:tcPr>
          <w:p w:rsidR="00E935CF" w:rsidRPr="001268E7" w:rsidDel="00116383" w:rsidRDefault="00E935CF" w:rsidP="00925386">
            <w:pPr>
              <w:spacing w:before="100" w:beforeAutospacing="1" w:after="100" w:afterAutospacing="1" w:line="240" w:lineRule="auto"/>
              <w:rPr>
                <w:sz w:val="20"/>
                <w:szCs w:val="20"/>
              </w:rPr>
            </w:pPr>
            <w:r>
              <w:rPr>
                <w:sz w:val="20"/>
                <w:szCs w:val="20"/>
              </w:rPr>
              <w:t>Podpisanie Umowy Finansowej</w:t>
            </w:r>
          </w:p>
        </w:tc>
        <w:tc>
          <w:tcPr>
            <w:tcW w:w="4253" w:type="dxa"/>
            <w:shd w:val="clear" w:color="auto" w:fill="auto"/>
            <w:vAlign w:val="center"/>
          </w:tcPr>
          <w:p w:rsidR="00E935CF" w:rsidRPr="001268E7" w:rsidDel="00E935CF" w:rsidRDefault="00E935CF" w:rsidP="00925386">
            <w:pPr>
              <w:spacing w:before="100" w:beforeAutospacing="1" w:after="100" w:afterAutospacing="1" w:line="240" w:lineRule="auto"/>
              <w:rPr>
                <w:sz w:val="20"/>
                <w:szCs w:val="20"/>
              </w:rPr>
            </w:pPr>
            <w:r>
              <w:rPr>
                <w:sz w:val="20"/>
                <w:szCs w:val="20"/>
              </w:rPr>
              <w:t>29.12.2017</w:t>
            </w:r>
          </w:p>
        </w:tc>
      </w:tr>
      <w:tr w:rsidR="004B654C" w:rsidRPr="001268E7" w:rsidTr="004D306D">
        <w:tc>
          <w:tcPr>
            <w:tcW w:w="3652" w:type="dxa"/>
            <w:shd w:val="clear" w:color="auto" w:fill="auto"/>
            <w:vAlign w:val="center"/>
          </w:tcPr>
          <w:p w:rsidR="004B654C" w:rsidRPr="001268E7" w:rsidRDefault="007E2E41" w:rsidP="00925386">
            <w:pPr>
              <w:spacing w:before="100" w:beforeAutospacing="1" w:after="100" w:afterAutospacing="1" w:line="240" w:lineRule="auto"/>
              <w:rPr>
                <w:sz w:val="20"/>
                <w:szCs w:val="20"/>
              </w:rPr>
            </w:pPr>
            <w:r w:rsidRPr="001268E7">
              <w:rPr>
                <w:sz w:val="20"/>
                <w:szCs w:val="20"/>
              </w:rPr>
              <w:t>Zaproszenia do składania wniosków</w:t>
            </w:r>
          </w:p>
        </w:tc>
        <w:tc>
          <w:tcPr>
            <w:tcW w:w="4253" w:type="dxa"/>
            <w:shd w:val="clear" w:color="auto" w:fill="auto"/>
            <w:vAlign w:val="center"/>
          </w:tcPr>
          <w:p w:rsidR="004B654C" w:rsidRPr="001268E7" w:rsidRDefault="004B654C" w:rsidP="00B87561">
            <w:pPr>
              <w:spacing w:before="100" w:beforeAutospacing="1" w:after="100" w:afterAutospacing="1" w:line="240" w:lineRule="auto"/>
              <w:rPr>
                <w:sz w:val="20"/>
                <w:szCs w:val="20"/>
              </w:rPr>
            </w:pPr>
            <w:r w:rsidRPr="001268E7">
              <w:rPr>
                <w:sz w:val="20"/>
                <w:szCs w:val="20"/>
              </w:rPr>
              <w:t>201</w:t>
            </w:r>
            <w:r w:rsidR="00E935CF">
              <w:rPr>
                <w:sz w:val="20"/>
                <w:szCs w:val="20"/>
              </w:rPr>
              <w:t>8</w:t>
            </w:r>
            <w:r w:rsidRPr="001268E7">
              <w:rPr>
                <w:sz w:val="20"/>
                <w:szCs w:val="20"/>
              </w:rPr>
              <w:t>-2020</w:t>
            </w:r>
          </w:p>
        </w:tc>
      </w:tr>
      <w:tr w:rsidR="004B654C" w:rsidRPr="001268E7" w:rsidTr="004D306D">
        <w:tc>
          <w:tcPr>
            <w:tcW w:w="3652" w:type="dxa"/>
            <w:shd w:val="clear" w:color="auto" w:fill="auto"/>
            <w:vAlign w:val="center"/>
          </w:tcPr>
          <w:p w:rsidR="004B654C" w:rsidRPr="001268E7" w:rsidRDefault="004D306D" w:rsidP="00925386">
            <w:pPr>
              <w:spacing w:before="100" w:beforeAutospacing="1" w:after="100" w:afterAutospacing="1" w:line="240" w:lineRule="auto"/>
              <w:rPr>
                <w:sz w:val="20"/>
                <w:szCs w:val="20"/>
              </w:rPr>
            </w:pPr>
            <w:r w:rsidRPr="001268E7">
              <w:rPr>
                <w:sz w:val="20"/>
                <w:szCs w:val="20"/>
              </w:rPr>
              <w:t>Podpisanie umów dotyczących DPI</w:t>
            </w:r>
            <w:r w:rsidR="004B654C" w:rsidRPr="001268E7">
              <w:rPr>
                <w:sz w:val="20"/>
                <w:szCs w:val="20"/>
              </w:rPr>
              <w:t xml:space="preserve"> </w:t>
            </w:r>
          </w:p>
        </w:tc>
        <w:tc>
          <w:tcPr>
            <w:tcW w:w="4253" w:type="dxa"/>
            <w:shd w:val="clear" w:color="auto" w:fill="auto"/>
            <w:vAlign w:val="center"/>
          </w:tcPr>
          <w:p w:rsidR="004B654C" w:rsidRPr="001268E7" w:rsidRDefault="004D306D" w:rsidP="00925386">
            <w:pPr>
              <w:spacing w:before="100" w:beforeAutospacing="1" w:after="100" w:afterAutospacing="1" w:line="240" w:lineRule="auto"/>
              <w:rPr>
                <w:sz w:val="20"/>
                <w:szCs w:val="20"/>
              </w:rPr>
            </w:pPr>
            <w:r w:rsidRPr="001268E7">
              <w:rPr>
                <w:sz w:val="20"/>
                <w:szCs w:val="20"/>
              </w:rPr>
              <w:t>Przed 30 czerwca 2019</w:t>
            </w:r>
          </w:p>
        </w:tc>
      </w:tr>
      <w:tr w:rsidR="004B654C" w:rsidRPr="001268E7" w:rsidTr="004D306D">
        <w:tc>
          <w:tcPr>
            <w:tcW w:w="3652" w:type="dxa"/>
            <w:shd w:val="clear" w:color="auto" w:fill="auto"/>
            <w:vAlign w:val="center"/>
          </w:tcPr>
          <w:p w:rsidR="004B654C" w:rsidRPr="001268E7" w:rsidRDefault="004D306D" w:rsidP="00925386">
            <w:pPr>
              <w:spacing w:before="100" w:beforeAutospacing="1" w:after="100" w:afterAutospacing="1" w:line="240" w:lineRule="auto"/>
              <w:rPr>
                <w:sz w:val="20"/>
                <w:szCs w:val="20"/>
              </w:rPr>
            </w:pPr>
            <w:r w:rsidRPr="001268E7">
              <w:rPr>
                <w:sz w:val="20"/>
                <w:szCs w:val="20"/>
              </w:rPr>
              <w:t>Podpisanie umów dotyczących innych projektów</w:t>
            </w:r>
            <w:r w:rsidR="004B654C" w:rsidRPr="001268E7">
              <w:rPr>
                <w:sz w:val="20"/>
                <w:szCs w:val="20"/>
              </w:rPr>
              <w:t xml:space="preserve"> </w:t>
            </w:r>
          </w:p>
        </w:tc>
        <w:tc>
          <w:tcPr>
            <w:tcW w:w="4253" w:type="dxa"/>
            <w:shd w:val="clear" w:color="auto" w:fill="auto"/>
            <w:vAlign w:val="center"/>
          </w:tcPr>
          <w:p w:rsidR="004B654C" w:rsidRPr="001268E7" w:rsidRDefault="004D306D" w:rsidP="00925386">
            <w:pPr>
              <w:spacing w:before="100" w:beforeAutospacing="1" w:after="100" w:afterAutospacing="1" w:line="240" w:lineRule="auto"/>
              <w:rPr>
                <w:sz w:val="20"/>
                <w:szCs w:val="20"/>
              </w:rPr>
            </w:pPr>
            <w:r w:rsidRPr="001268E7">
              <w:rPr>
                <w:sz w:val="20"/>
                <w:szCs w:val="20"/>
              </w:rPr>
              <w:t>najpóźniej 31.12.2021</w:t>
            </w:r>
          </w:p>
        </w:tc>
      </w:tr>
      <w:tr w:rsidR="004B654C" w:rsidRPr="001268E7" w:rsidTr="004D306D">
        <w:tc>
          <w:tcPr>
            <w:tcW w:w="3652" w:type="dxa"/>
            <w:shd w:val="clear" w:color="auto" w:fill="auto"/>
            <w:vAlign w:val="center"/>
          </w:tcPr>
          <w:p w:rsidR="004B654C" w:rsidRPr="001268E7" w:rsidRDefault="004D306D" w:rsidP="00925386">
            <w:pPr>
              <w:spacing w:before="100" w:beforeAutospacing="1" w:after="100" w:afterAutospacing="1" w:line="240" w:lineRule="auto"/>
              <w:rPr>
                <w:sz w:val="20"/>
                <w:szCs w:val="20"/>
              </w:rPr>
            </w:pPr>
            <w:r w:rsidRPr="001268E7">
              <w:rPr>
                <w:sz w:val="20"/>
                <w:szCs w:val="20"/>
              </w:rPr>
              <w:t>Zakończenie realizacji działań w ramach projektów</w:t>
            </w:r>
          </w:p>
        </w:tc>
        <w:tc>
          <w:tcPr>
            <w:tcW w:w="4253" w:type="dxa"/>
            <w:shd w:val="clear" w:color="auto" w:fill="auto"/>
            <w:vAlign w:val="center"/>
          </w:tcPr>
          <w:p w:rsidR="004B654C" w:rsidRPr="001268E7" w:rsidRDefault="004B654C" w:rsidP="00B87561">
            <w:pPr>
              <w:spacing w:before="100" w:beforeAutospacing="1" w:after="100" w:afterAutospacing="1" w:line="240" w:lineRule="auto"/>
              <w:rPr>
                <w:sz w:val="20"/>
                <w:szCs w:val="20"/>
              </w:rPr>
            </w:pPr>
            <w:r w:rsidRPr="001268E7">
              <w:rPr>
                <w:sz w:val="20"/>
                <w:szCs w:val="20"/>
              </w:rPr>
              <w:t>31.12.2022</w:t>
            </w:r>
          </w:p>
        </w:tc>
      </w:tr>
      <w:tr w:rsidR="004B654C" w:rsidRPr="001268E7" w:rsidTr="004D306D">
        <w:tc>
          <w:tcPr>
            <w:tcW w:w="3652" w:type="dxa"/>
            <w:shd w:val="clear" w:color="auto" w:fill="auto"/>
            <w:vAlign w:val="center"/>
          </w:tcPr>
          <w:p w:rsidR="004B654C" w:rsidRPr="001268E7" w:rsidRDefault="004D306D" w:rsidP="00925386">
            <w:pPr>
              <w:spacing w:before="100" w:beforeAutospacing="1" w:after="100" w:afterAutospacing="1" w:line="240" w:lineRule="auto"/>
              <w:rPr>
                <w:sz w:val="20"/>
                <w:szCs w:val="20"/>
              </w:rPr>
            </w:pPr>
            <w:r w:rsidRPr="001268E7">
              <w:rPr>
                <w:sz w:val="20"/>
                <w:szCs w:val="20"/>
              </w:rPr>
              <w:t>Zakończenie realizacji Programu</w:t>
            </w:r>
            <w:r w:rsidR="004B654C" w:rsidRPr="001268E7">
              <w:rPr>
                <w:sz w:val="20"/>
                <w:szCs w:val="20"/>
              </w:rPr>
              <w:t xml:space="preserve"> </w:t>
            </w:r>
          </w:p>
        </w:tc>
        <w:tc>
          <w:tcPr>
            <w:tcW w:w="4253" w:type="dxa"/>
            <w:shd w:val="clear" w:color="auto" w:fill="auto"/>
            <w:vAlign w:val="center"/>
          </w:tcPr>
          <w:p w:rsidR="004B654C" w:rsidRPr="001268E7" w:rsidRDefault="004B654C" w:rsidP="00B87561">
            <w:pPr>
              <w:spacing w:before="100" w:beforeAutospacing="1" w:after="100" w:afterAutospacing="1" w:line="240" w:lineRule="auto"/>
              <w:rPr>
                <w:sz w:val="20"/>
                <w:szCs w:val="20"/>
              </w:rPr>
            </w:pPr>
            <w:r w:rsidRPr="001268E7">
              <w:rPr>
                <w:sz w:val="20"/>
                <w:szCs w:val="20"/>
              </w:rPr>
              <w:t>2024</w:t>
            </w:r>
          </w:p>
        </w:tc>
      </w:tr>
    </w:tbl>
    <w:p w:rsidR="0054534B" w:rsidRDefault="00885C3F" w:rsidP="00885C3F">
      <w:pPr>
        <w:spacing w:after="0" w:line="240" w:lineRule="auto"/>
        <w:contextualSpacing/>
        <w:jc w:val="both"/>
        <w:rPr>
          <w:b/>
          <w:i/>
          <w:sz w:val="20"/>
          <w:lang w:val="en-US"/>
        </w:rPr>
      </w:pPr>
      <w:bookmarkStart w:id="37" w:name="_Toc420415005"/>
      <w:bookmarkStart w:id="38" w:name="_Toc420942459"/>
      <w:r w:rsidRPr="00885C3F">
        <w:rPr>
          <w:b/>
          <w:i/>
          <w:sz w:val="20"/>
          <w:lang w:val="en-US"/>
        </w:rPr>
        <w:t xml:space="preserve">Tabela 7. Kluczowe etapy realizacji Programu </w:t>
      </w:r>
    </w:p>
    <w:p w:rsidR="00885C3F" w:rsidRPr="001268E7" w:rsidRDefault="00885C3F" w:rsidP="00885C3F">
      <w:pPr>
        <w:spacing w:after="0" w:line="240" w:lineRule="auto"/>
        <w:contextualSpacing/>
        <w:jc w:val="both"/>
        <w:rPr>
          <w:rFonts w:cs="Calibri"/>
        </w:rPr>
      </w:pPr>
    </w:p>
    <w:p w:rsidR="004B654C" w:rsidRPr="001268E7" w:rsidRDefault="004D306D" w:rsidP="004D306D">
      <w:pPr>
        <w:pStyle w:val="Nagwek2"/>
        <w:rPr>
          <w:rFonts w:cs="Calibri"/>
        </w:rPr>
      </w:pPr>
      <w:bookmarkStart w:id="39" w:name="_Toc530737585"/>
      <w:bookmarkEnd w:id="37"/>
      <w:bookmarkEnd w:id="38"/>
      <w:r w:rsidRPr="001268E7">
        <w:rPr>
          <w:rFonts w:cs="Calibri"/>
        </w:rPr>
        <w:t>4.3 Procedura wyboru projektów</w:t>
      </w:r>
      <w:bookmarkEnd w:id="39"/>
    </w:p>
    <w:p w:rsidR="004B654C" w:rsidRPr="001268E7" w:rsidRDefault="004D306D" w:rsidP="004D306D">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asciiTheme="minorHAnsi" w:hAnsiTheme="minorHAnsi" w:cs="Calibri,Bold"/>
          <w:b/>
          <w:bCs/>
          <w:i/>
          <w:sz w:val="24"/>
          <w:szCs w:val="24"/>
          <w:u w:val="single"/>
          <w:lang w:eastAsia="pl-PL"/>
        </w:rPr>
        <w:t>Przygotowywanie i ogłaszanie zaproszeń do składania wnioskó</w:t>
      </w:r>
      <w:r w:rsidR="007E2E41" w:rsidRPr="001268E7">
        <w:rPr>
          <w:rFonts w:asciiTheme="minorHAnsi" w:hAnsiTheme="minorHAnsi" w:cs="Calibri,Bold"/>
          <w:b/>
          <w:bCs/>
          <w:i/>
          <w:sz w:val="24"/>
          <w:szCs w:val="24"/>
          <w:u w:val="single"/>
          <w:lang w:eastAsia="pl-PL"/>
        </w:rPr>
        <w:t>w (ZSW)</w:t>
      </w:r>
    </w:p>
    <w:p w:rsidR="004B654C" w:rsidRPr="001268E7" w:rsidRDefault="004D306D" w:rsidP="007E2E41">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WKM odpowiedzialny jest za podejmowanie decyzji odnośnie o</w:t>
      </w:r>
      <w:r w:rsidR="00BA1553" w:rsidRPr="001268E7">
        <w:rPr>
          <w:rFonts w:cs="Calibri"/>
          <w:sz w:val="24"/>
          <w:szCs w:val="24"/>
          <w:lang w:eastAsia="pl-PL"/>
        </w:rPr>
        <w:t>głaszania poszczególnych zaproszeń do składania</w:t>
      </w:r>
      <w:r w:rsidR="007E2E41" w:rsidRPr="001268E7">
        <w:rPr>
          <w:rFonts w:cs="Calibri"/>
          <w:sz w:val="24"/>
          <w:szCs w:val="24"/>
          <w:lang w:eastAsia="pl-PL"/>
        </w:rPr>
        <w:t xml:space="preserve"> wniosków</w:t>
      </w:r>
      <w:r w:rsidR="00B17614" w:rsidRPr="001268E7">
        <w:rPr>
          <w:rFonts w:cs="Calibri"/>
          <w:sz w:val="24"/>
          <w:szCs w:val="24"/>
          <w:lang w:eastAsia="pl-PL"/>
        </w:rPr>
        <w:t xml:space="preserve"> (ZSW)</w:t>
      </w:r>
      <w:r w:rsidRPr="001268E7">
        <w:rPr>
          <w:rFonts w:cs="Calibri"/>
          <w:sz w:val="24"/>
          <w:szCs w:val="24"/>
          <w:lang w:eastAsia="pl-PL"/>
        </w:rPr>
        <w:t>.</w:t>
      </w:r>
      <w:r w:rsidR="004B654C" w:rsidRPr="001268E7">
        <w:rPr>
          <w:rFonts w:cs="Calibri"/>
          <w:bCs/>
          <w:color w:val="000000"/>
          <w:sz w:val="24"/>
          <w:szCs w:val="24"/>
        </w:rPr>
        <w:t xml:space="preserve"> </w:t>
      </w:r>
      <w:r w:rsidR="007E2E41" w:rsidRPr="001268E7">
        <w:rPr>
          <w:rFonts w:cs="Calibri"/>
          <w:sz w:val="24"/>
          <w:szCs w:val="24"/>
          <w:lang w:eastAsia="pl-PL"/>
        </w:rPr>
        <w:t>Wszystkie szczegóły dotyczące wymogów mających za</w:t>
      </w:r>
      <w:r w:rsidR="00B17614" w:rsidRPr="001268E7">
        <w:rPr>
          <w:rFonts w:cs="Calibri"/>
          <w:sz w:val="24"/>
          <w:szCs w:val="24"/>
          <w:lang w:eastAsia="pl-PL"/>
        </w:rPr>
        <w:t>stosowanie do ZSW</w:t>
      </w:r>
      <w:r w:rsidR="007E2E41" w:rsidRPr="001268E7">
        <w:rPr>
          <w:rFonts w:cs="Calibri"/>
          <w:sz w:val="24"/>
          <w:szCs w:val="24"/>
          <w:lang w:eastAsia="pl-PL"/>
        </w:rPr>
        <w:t xml:space="preserve"> wskazane zostaną w treści Wytycznych </w:t>
      </w:r>
      <w:r w:rsidR="00BA1553" w:rsidRPr="001268E7">
        <w:rPr>
          <w:rFonts w:cs="Calibri"/>
          <w:sz w:val="24"/>
          <w:szCs w:val="24"/>
          <w:lang w:eastAsia="pl-PL"/>
        </w:rPr>
        <w:t>dla W</w:t>
      </w:r>
      <w:r w:rsidR="007E2E41" w:rsidRPr="001268E7">
        <w:rPr>
          <w:rFonts w:cs="Calibri"/>
          <w:sz w:val="24"/>
          <w:szCs w:val="24"/>
          <w:lang w:eastAsia="pl-PL"/>
        </w:rPr>
        <w:t>nioskodawców, które aktualizowane będą dla każdego naboru</w:t>
      </w:r>
      <w:r w:rsidR="007E2E41" w:rsidRPr="001268E7">
        <w:rPr>
          <w:rFonts w:cs="Calibri"/>
          <w:bCs/>
          <w:color w:val="000000"/>
          <w:sz w:val="24"/>
          <w:szCs w:val="24"/>
        </w:rPr>
        <w:t>.</w:t>
      </w:r>
      <w:r w:rsidR="004B654C" w:rsidRPr="001268E7">
        <w:rPr>
          <w:rFonts w:cs="Calibri"/>
          <w:bCs/>
          <w:color w:val="000000"/>
          <w:sz w:val="24"/>
          <w:szCs w:val="24"/>
        </w:rPr>
        <w:t xml:space="preserve"> </w:t>
      </w:r>
      <w:r w:rsidR="007E2E41" w:rsidRPr="001268E7">
        <w:rPr>
          <w:rFonts w:cs="Calibri"/>
          <w:sz w:val="24"/>
          <w:szCs w:val="24"/>
          <w:lang w:eastAsia="pl-PL"/>
        </w:rPr>
        <w:t>Co do zasady, minimalny</w:t>
      </w:r>
      <w:r w:rsidR="00B17614" w:rsidRPr="001268E7">
        <w:rPr>
          <w:rFonts w:cs="Calibri"/>
          <w:sz w:val="24"/>
          <w:szCs w:val="24"/>
          <w:lang w:eastAsia="pl-PL"/>
        </w:rPr>
        <w:t xml:space="preserve"> okres od daty </w:t>
      </w:r>
      <w:r w:rsidR="00B17614" w:rsidRPr="001268E7">
        <w:rPr>
          <w:rFonts w:cs="Calibri"/>
          <w:sz w:val="24"/>
          <w:szCs w:val="24"/>
          <w:lang w:eastAsia="pl-PL"/>
        </w:rPr>
        <w:lastRenderedPageBreak/>
        <w:t>opublikowania ZSW</w:t>
      </w:r>
      <w:r w:rsidR="007E2E41" w:rsidRPr="001268E7">
        <w:rPr>
          <w:rFonts w:cs="Calibri"/>
          <w:sz w:val="24"/>
          <w:szCs w:val="24"/>
          <w:lang w:eastAsia="pl-PL"/>
        </w:rPr>
        <w:t xml:space="preserve"> do daty zakończenia przyjmowania wniosków wynosić powinien 90 dni, z zastrzeżeniem decyzji WKM.</w:t>
      </w:r>
    </w:p>
    <w:p w:rsidR="004B654C" w:rsidRPr="001268E7" w:rsidRDefault="007E2E41" w:rsidP="007E2E41">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 xml:space="preserve">Pakiet aplikacyjny zatwierdzony zostaje przez WKM w celu wykorzystania </w:t>
      </w:r>
      <w:r w:rsidR="000A0980" w:rsidRPr="001268E7">
        <w:rPr>
          <w:rFonts w:cs="Calibri"/>
          <w:sz w:val="24"/>
          <w:szCs w:val="24"/>
          <w:lang w:eastAsia="pl-PL"/>
        </w:rPr>
        <w:t>w naborze wniosków</w:t>
      </w:r>
      <w:r w:rsidRPr="001268E7">
        <w:rPr>
          <w:rFonts w:cs="Calibri"/>
          <w:sz w:val="24"/>
          <w:szCs w:val="24"/>
          <w:lang w:eastAsia="pl-PL"/>
        </w:rPr>
        <w:t>.</w:t>
      </w:r>
    </w:p>
    <w:p w:rsidR="004B654C" w:rsidRPr="001268E7" w:rsidRDefault="007E2E41" w:rsidP="007E2E41">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 ramach każdeg</w:t>
      </w:r>
      <w:r w:rsidR="00BA1553" w:rsidRPr="001268E7">
        <w:rPr>
          <w:rFonts w:cs="Calibri"/>
          <w:sz w:val="24"/>
          <w:szCs w:val="24"/>
          <w:lang w:eastAsia="pl-PL"/>
        </w:rPr>
        <w:t>o kolejnego zaproszenia do składania wniosków</w:t>
      </w:r>
      <w:r w:rsidRPr="001268E7">
        <w:rPr>
          <w:rFonts w:cs="Calibri"/>
          <w:sz w:val="24"/>
          <w:szCs w:val="24"/>
          <w:lang w:eastAsia="pl-PL"/>
        </w:rPr>
        <w:t xml:space="preserve"> wersja pakietu aplikacyjnego dostosowywana będzie do charakteru danego naboru (np. ograniczony zakres dofina</w:t>
      </w:r>
      <w:r w:rsidR="00BA1553" w:rsidRPr="001268E7">
        <w:rPr>
          <w:rFonts w:cs="Calibri"/>
          <w:sz w:val="24"/>
          <w:szCs w:val="24"/>
          <w:lang w:eastAsia="pl-PL"/>
        </w:rPr>
        <w:t>nsowania, które ma być przyznane, aktualizacja</w:t>
      </w:r>
      <w:r w:rsidRPr="001268E7">
        <w:rPr>
          <w:rFonts w:cs="Calibri"/>
          <w:sz w:val="24"/>
          <w:szCs w:val="24"/>
          <w:lang w:eastAsia="pl-PL"/>
        </w:rPr>
        <w:t xml:space="preserve"> wymogów prawnych itd.).</w:t>
      </w:r>
      <w:r w:rsidR="004B654C" w:rsidRPr="001268E7">
        <w:rPr>
          <w:rFonts w:cs="Calibri"/>
          <w:bCs/>
          <w:color w:val="000000"/>
          <w:sz w:val="24"/>
          <w:szCs w:val="24"/>
        </w:rPr>
        <w:t xml:space="preserve"> </w:t>
      </w:r>
    </w:p>
    <w:p w:rsidR="004B654C" w:rsidRPr="001268E7" w:rsidRDefault="00B17614" w:rsidP="007E2E41">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ZSW</w:t>
      </w:r>
      <w:r w:rsidR="007E2E41" w:rsidRPr="001268E7">
        <w:rPr>
          <w:rFonts w:cs="Calibri"/>
          <w:sz w:val="24"/>
          <w:szCs w:val="24"/>
          <w:lang w:eastAsia="pl-PL"/>
        </w:rPr>
        <w:t xml:space="preserve"> będą ogłaszane przez </w:t>
      </w:r>
      <w:r w:rsidR="00BA1553" w:rsidRPr="001268E7">
        <w:rPr>
          <w:rFonts w:cs="Calibri"/>
          <w:sz w:val="24"/>
          <w:szCs w:val="24"/>
          <w:lang w:eastAsia="pl-PL"/>
        </w:rPr>
        <w:t>Wspólny Sekretariat Techniczny (</w:t>
      </w:r>
      <w:r w:rsidR="007E2E41" w:rsidRPr="001268E7">
        <w:rPr>
          <w:rFonts w:cs="Calibri"/>
          <w:sz w:val="24"/>
          <w:szCs w:val="24"/>
          <w:lang w:eastAsia="pl-PL"/>
        </w:rPr>
        <w:t>WST</w:t>
      </w:r>
      <w:r w:rsidR="00BA1553" w:rsidRPr="001268E7">
        <w:rPr>
          <w:rFonts w:cs="Calibri"/>
          <w:sz w:val="24"/>
          <w:szCs w:val="24"/>
          <w:lang w:eastAsia="pl-PL"/>
        </w:rPr>
        <w:t>)</w:t>
      </w:r>
      <w:r w:rsidR="007E2E41" w:rsidRPr="001268E7">
        <w:rPr>
          <w:rFonts w:cs="Calibri"/>
          <w:sz w:val="24"/>
          <w:szCs w:val="24"/>
          <w:lang w:eastAsia="pl-PL"/>
        </w:rPr>
        <w:t>, powołany do pełnienia funkcji Instytucji Pośredniczącej, po konsultacji z IZ i po podjęciu przez WKM decyzji zatwierdzającej pakiet aplikacyjny.</w:t>
      </w:r>
      <w:r w:rsidR="004B654C" w:rsidRPr="001268E7">
        <w:rPr>
          <w:rFonts w:cs="Calibri"/>
          <w:bCs/>
          <w:color w:val="000000"/>
          <w:sz w:val="24"/>
          <w:szCs w:val="24"/>
        </w:rPr>
        <w:t xml:space="preserve"> </w:t>
      </w:r>
      <w:r w:rsidR="007E2E41" w:rsidRPr="001268E7">
        <w:rPr>
          <w:rFonts w:cs="Calibri"/>
          <w:sz w:val="24"/>
          <w:szCs w:val="24"/>
          <w:lang w:eastAsia="pl-PL"/>
        </w:rPr>
        <w:t>Jeśli WKM podejmie stosowną decyzję w tym zakresie, zaproszenia do składania wniosków mogą być ograniczone do określonego/-ych CT bądź też mogą dotyczyć wszystkich CT.</w:t>
      </w:r>
      <w:r w:rsidR="004B654C" w:rsidRPr="001268E7">
        <w:rPr>
          <w:rFonts w:cs="Calibri"/>
          <w:bCs/>
          <w:color w:val="000000"/>
          <w:sz w:val="24"/>
          <w:szCs w:val="24"/>
        </w:rPr>
        <w:t xml:space="preserve"> </w:t>
      </w:r>
    </w:p>
    <w:p w:rsidR="004B654C" w:rsidRPr="001268E7" w:rsidRDefault="007E2E41" w:rsidP="007E2E41">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Wniosek</w:t>
      </w:r>
      <w:r w:rsidR="004B654C" w:rsidRPr="001268E7">
        <w:rPr>
          <w:rFonts w:cs="Calibri"/>
          <w:b/>
          <w:i/>
          <w:sz w:val="24"/>
          <w:szCs w:val="24"/>
          <w:u w:val="single"/>
        </w:rPr>
        <w:t xml:space="preserve"> </w:t>
      </w:r>
    </w:p>
    <w:p w:rsidR="004B654C" w:rsidRPr="001268E7" w:rsidRDefault="007E2E41" w:rsidP="007E2E41">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 xml:space="preserve">Wnioskodawcy </w:t>
      </w:r>
      <w:r w:rsidR="00E935CF">
        <w:rPr>
          <w:rFonts w:cs="Calibri"/>
          <w:sz w:val="24"/>
          <w:szCs w:val="24"/>
          <w:lang w:eastAsia="pl-PL"/>
        </w:rPr>
        <w:t xml:space="preserve">wypełniają formularz zgłoszeniowy, korzystając z e-aplikacji podanej na stronie internetowej Programu </w:t>
      </w:r>
      <w:hyperlink r:id="rId37" w:history="1">
        <w:r w:rsidR="00E935CF" w:rsidRPr="00FD21C4">
          <w:rPr>
            <w:rStyle w:val="Hipercze"/>
            <w:rFonts w:cs="Calibri"/>
            <w:sz w:val="24"/>
            <w:szCs w:val="24"/>
            <w:lang w:eastAsia="pl-PL"/>
          </w:rPr>
          <w:t>www.plru.eu</w:t>
        </w:r>
      </w:hyperlink>
      <w:r w:rsidR="00E935CF">
        <w:rPr>
          <w:rFonts w:cs="Calibri"/>
          <w:sz w:val="24"/>
          <w:szCs w:val="24"/>
          <w:lang w:eastAsia="pl-PL"/>
        </w:rPr>
        <w:t xml:space="preserve"> i przesyłają go do WST</w:t>
      </w:r>
      <w:r w:rsidR="00C9635B">
        <w:rPr>
          <w:rFonts w:cs="Calibri"/>
          <w:sz w:val="24"/>
          <w:szCs w:val="24"/>
          <w:lang w:eastAsia="pl-PL"/>
        </w:rPr>
        <w:t xml:space="preserve"> on-line za pomocą e-aplikacji</w:t>
      </w:r>
    </w:p>
    <w:p w:rsidR="004B654C" w:rsidRPr="001268E7" w:rsidRDefault="007E2E41" w:rsidP="007E2E41">
      <w:pPr>
        <w:spacing w:before="120" w:after="120" w:line="240" w:lineRule="auto"/>
        <w:jc w:val="both"/>
        <w:rPr>
          <w:sz w:val="24"/>
          <w:szCs w:val="24"/>
        </w:rPr>
      </w:pPr>
      <w:r w:rsidRPr="001268E7">
        <w:rPr>
          <w:rFonts w:cs="Calibri"/>
          <w:sz w:val="24"/>
          <w:szCs w:val="24"/>
          <w:lang w:eastAsia="pl-PL"/>
        </w:rPr>
        <w:t xml:space="preserve">W ramach każdego </w:t>
      </w:r>
      <w:r w:rsidR="00B17614" w:rsidRPr="001268E7">
        <w:rPr>
          <w:rFonts w:cs="Calibri"/>
          <w:sz w:val="24"/>
          <w:szCs w:val="24"/>
          <w:lang w:eastAsia="pl-PL"/>
        </w:rPr>
        <w:t>ZSW</w:t>
      </w:r>
      <w:r w:rsidRPr="001268E7">
        <w:rPr>
          <w:rFonts w:cs="Calibri"/>
          <w:sz w:val="24"/>
          <w:szCs w:val="24"/>
          <w:lang w:eastAsia="pl-PL"/>
        </w:rPr>
        <w:t xml:space="preserve">, na </w:t>
      </w:r>
      <w:r w:rsidR="00BB0A5F" w:rsidRPr="001268E7">
        <w:rPr>
          <w:rFonts w:cs="Calibri"/>
          <w:sz w:val="24"/>
          <w:szCs w:val="24"/>
          <w:lang w:eastAsia="pl-PL"/>
        </w:rPr>
        <w:t xml:space="preserve">całym </w:t>
      </w:r>
      <w:r w:rsidRPr="001268E7">
        <w:rPr>
          <w:rFonts w:cs="Calibri"/>
          <w:sz w:val="24"/>
          <w:szCs w:val="24"/>
          <w:lang w:eastAsia="pl-PL"/>
        </w:rPr>
        <w:t>obszarze Progra</w:t>
      </w:r>
      <w:r w:rsidR="00BB0A5F" w:rsidRPr="001268E7">
        <w:rPr>
          <w:rFonts w:cs="Calibri"/>
          <w:sz w:val="24"/>
          <w:szCs w:val="24"/>
          <w:lang w:eastAsia="pl-PL"/>
        </w:rPr>
        <w:t>mu, WST przy wsparciu Oddział</w:t>
      </w:r>
      <w:r w:rsidR="00E11449">
        <w:rPr>
          <w:rFonts w:cs="Calibri"/>
          <w:sz w:val="24"/>
          <w:szCs w:val="24"/>
          <w:lang w:eastAsia="pl-PL"/>
        </w:rPr>
        <w:t>u</w:t>
      </w:r>
      <w:r w:rsidR="00BB0A5F" w:rsidRPr="001268E7">
        <w:rPr>
          <w:rFonts w:cs="Calibri"/>
          <w:sz w:val="24"/>
          <w:szCs w:val="24"/>
          <w:lang w:eastAsia="pl-PL"/>
        </w:rPr>
        <w:t xml:space="preserve"> organizował</w:t>
      </w:r>
      <w:r w:rsidRPr="001268E7">
        <w:rPr>
          <w:rFonts w:cs="Calibri"/>
          <w:sz w:val="24"/>
          <w:szCs w:val="24"/>
          <w:lang w:eastAsia="pl-PL"/>
        </w:rPr>
        <w:t xml:space="preserve"> będzie spotkania informacyjne w celu rozpowszechniania informacji na temat trwającego naboru oraz w celu udzielenia potencjalnym wnioskodawcom odpowiedniego wsparcia w zakresie przygotowywania wniosków aplikacyjnych.</w:t>
      </w:r>
      <w:r w:rsidR="004B654C" w:rsidRPr="001268E7">
        <w:rPr>
          <w:rFonts w:cs="Calibri"/>
          <w:bCs/>
          <w:color w:val="000000"/>
          <w:sz w:val="24"/>
          <w:szCs w:val="24"/>
        </w:rPr>
        <w:t xml:space="preserve"> </w:t>
      </w:r>
      <w:r w:rsidRPr="001268E7">
        <w:rPr>
          <w:rFonts w:cs="Calibri"/>
          <w:sz w:val="24"/>
          <w:szCs w:val="24"/>
          <w:lang w:eastAsia="pl-PL"/>
        </w:rPr>
        <w:t>Wszystkie istotne informacje, łącznie z odpowiedziam</w:t>
      </w:r>
      <w:r w:rsidR="00BB0A5F" w:rsidRPr="001268E7">
        <w:rPr>
          <w:rFonts w:cs="Calibri"/>
          <w:sz w:val="24"/>
          <w:szCs w:val="24"/>
          <w:lang w:eastAsia="pl-PL"/>
        </w:rPr>
        <w:t xml:space="preserve">i na zapytania od </w:t>
      </w:r>
      <w:r w:rsidRPr="001268E7">
        <w:rPr>
          <w:rFonts w:cs="Calibri"/>
          <w:sz w:val="24"/>
          <w:szCs w:val="24"/>
          <w:lang w:eastAsia="pl-PL"/>
        </w:rPr>
        <w:t>wnioskodawców, publikowane będą na stronie internetowej Programu.</w:t>
      </w:r>
      <w:r w:rsidR="004B654C" w:rsidRPr="001268E7">
        <w:rPr>
          <w:sz w:val="24"/>
          <w:szCs w:val="24"/>
        </w:rPr>
        <w:t xml:space="preserve"> </w:t>
      </w:r>
    </w:p>
    <w:p w:rsidR="004B654C" w:rsidRPr="001268E7" w:rsidRDefault="007E2E41" w:rsidP="007E2E41">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asciiTheme="minorHAnsi" w:hAnsiTheme="minorHAnsi" w:cs="Calibri,Bold"/>
          <w:b/>
          <w:bCs/>
          <w:i/>
          <w:sz w:val="24"/>
          <w:szCs w:val="24"/>
          <w:u w:val="single"/>
          <w:lang w:eastAsia="pl-PL"/>
        </w:rPr>
        <w:t>Struktura ramowa do</w:t>
      </w:r>
      <w:r w:rsidR="00BB0A5F" w:rsidRPr="001268E7">
        <w:rPr>
          <w:rFonts w:asciiTheme="minorHAnsi" w:hAnsiTheme="minorHAnsi" w:cs="Calibri,Bold"/>
          <w:b/>
          <w:bCs/>
          <w:i/>
          <w:sz w:val="24"/>
          <w:szCs w:val="24"/>
          <w:u w:val="single"/>
          <w:lang w:eastAsia="pl-PL"/>
        </w:rPr>
        <w:t>tycząca oceny i wyboru</w:t>
      </w:r>
    </w:p>
    <w:p w:rsidR="004B654C" w:rsidRPr="001268E7" w:rsidRDefault="007E2E41" w:rsidP="007E2E41">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Ogólną odpowiedzialność za ocenę i wybór projektów ponosi WKM.</w:t>
      </w:r>
      <w:r w:rsidR="004B654C" w:rsidRPr="001268E7">
        <w:rPr>
          <w:rFonts w:cs="Calibri"/>
          <w:bCs/>
          <w:color w:val="000000"/>
          <w:sz w:val="24"/>
          <w:szCs w:val="24"/>
        </w:rPr>
        <w:t xml:space="preserve"> </w:t>
      </w:r>
      <w:r w:rsidRPr="001268E7">
        <w:rPr>
          <w:rFonts w:cs="Calibri"/>
          <w:bCs/>
          <w:color w:val="000000"/>
          <w:sz w:val="24"/>
          <w:szCs w:val="24"/>
        </w:rPr>
        <w:t>Cały proces oceny określony jest w Podręczniku Oceny zatwierdzonym przez WKM.</w:t>
      </w:r>
    </w:p>
    <w:p w:rsidR="004B654C" w:rsidRPr="001268E7" w:rsidRDefault="00BB0A5F" w:rsidP="007E2E41">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Procedury wyboru projektów mają zapewnić przestrzeganie zasad</w:t>
      </w:r>
      <w:r w:rsidR="007E2E41" w:rsidRPr="001268E7">
        <w:rPr>
          <w:rFonts w:cs="Calibri"/>
          <w:sz w:val="24"/>
          <w:szCs w:val="24"/>
          <w:lang w:eastAsia="pl-PL"/>
        </w:rPr>
        <w:t xml:space="preserve"> przejrzystości, równego traktowania, zakazu dyskryminacji, obiektywizmu i uczciwej konkurencji.</w:t>
      </w:r>
      <w:r w:rsidR="004B654C" w:rsidRPr="001268E7">
        <w:rPr>
          <w:rFonts w:cs="Calibri"/>
          <w:bCs/>
          <w:color w:val="000000"/>
          <w:sz w:val="24"/>
          <w:szCs w:val="24"/>
        </w:rPr>
        <w:t xml:space="preserve"> </w:t>
      </w:r>
      <w:r w:rsidR="007E2E41" w:rsidRPr="001268E7">
        <w:rPr>
          <w:rFonts w:cs="Calibri"/>
          <w:sz w:val="24"/>
          <w:szCs w:val="24"/>
          <w:lang w:eastAsia="pl-PL"/>
        </w:rPr>
        <w:t>Mając na względzie potrzebę zapewnienia zgodności z powyższymi zasadami:</w:t>
      </w:r>
      <w:r w:rsidR="004B654C" w:rsidRPr="001268E7">
        <w:rPr>
          <w:rFonts w:cs="Calibri"/>
          <w:bCs/>
          <w:color w:val="000000"/>
          <w:sz w:val="24"/>
          <w:szCs w:val="24"/>
        </w:rPr>
        <w:t xml:space="preserve"> </w:t>
      </w:r>
    </w:p>
    <w:p w:rsidR="00C9635B" w:rsidRPr="00C9635B" w:rsidRDefault="007E2E41" w:rsidP="00246345">
      <w:pPr>
        <w:numPr>
          <w:ilvl w:val="0"/>
          <w:numId w:val="77"/>
        </w:numPr>
        <w:autoSpaceDE w:val="0"/>
        <w:autoSpaceDN w:val="0"/>
        <w:adjustRightInd w:val="0"/>
        <w:spacing w:before="100" w:beforeAutospacing="1" w:after="100" w:afterAutospacing="1" w:line="240" w:lineRule="auto"/>
        <w:jc w:val="both"/>
        <w:rPr>
          <w:rFonts w:cs="Calibri"/>
          <w:vanish/>
          <w:color w:val="000000"/>
          <w:sz w:val="24"/>
          <w:szCs w:val="24"/>
        </w:rPr>
      </w:pPr>
      <w:r w:rsidRPr="001268E7">
        <w:rPr>
          <w:rFonts w:cs="Calibri"/>
          <w:sz w:val="24"/>
          <w:szCs w:val="24"/>
          <w:lang w:eastAsia="pl-PL"/>
        </w:rPr>
        <w:t>projekty są wybierane i dofinansowywane na podstawie ogłoszonych wcześniej kryteriów wyboru i dofinansowania zdefiniowanych w siatce oceny.</w:t>
      </w:r>
      <w:r w:rsidRPr="001268E7">
        <w:rPr>
          <w:rFonts w:cs="Calibri"/>
          <w:color w:val="000000"/>
          <w:sz w:val="24"/>
          <w:szCs w:val="24"/>
        </w:rPr>
        <w:t xml:space="preserve"> </w:t>
      </w:r>
      <w:r w:rsidRPr="001268E7">
        <w:rPr>
          <w:rFonts w:cs="Calibri"/>
          <w:sz w:val="24"/>
          <w:szCs w:val="24"/>
          <w:lang w:eastAsia="pl-PL"/>
        </w:rPr>
        <w:t>Kryteria te pozwalają na ocenę możliwości wnioskodawcy w zakresie realizacji proponowanego działania lub programu pracy.</w:t>
      </w:r>
      <w:r w:rsidRPr="001268E7">
        <w:rPr>
          <w:rFonts w:cs="Calibri"/>
          <w:color w:val="000000"/>
          <w:sz w:val="24"/>
          <w:szCs w:val="24"/>
        </w:rPr>
        <w:t xml:space="preserve"> </w:t>
      </w:r>
      <w:r w:rsidR="00D240C0" w:rsidRPr="001268E7">
        <w:rPr>
          <w:rFonts w:cs="Calibri"/>
          <w:color w:val="000000"/>
          <w:sz w:val="24"/>
          <w:szCs w:val="24"/>
        </w:rPr>
        <w:t>Kryteria dofinansowania</w:t>
      </w:r>
      <w:r w:rsidR="00D240C0" w:rsidRPr="001268E7">
        <w:rPr>
          <w:rFonts w:cs="Calibri"/>
          <w:sz w:val="24"/>
          <w:szCs w:val="24"/>
          <w:lang w:eastAsia="pl-PL"/>
        </w:rPr>
        <w:t xml:space="preserve"> są wykorzystywane do oceny jakości proponowanych projektów w odniesieniu do wyznaczonych celów i priorytetów;</w:t>
      </w:r>
    </w:p>
    <w:p w:rsidR="007E2E41" w:rsidRPr="001268E7" w:rsidRDefault="00D240C0" w:rsidP="00246345">
      <w:pPr>
        <w:numPr>
          <w:ilvl w:val="0"/>
          <w:numId w:val="77"/>
        </w:numPr>
        <w:autoSpaceDE w:val="0"/>
        <w:autoSpaceDN w:val="0"/>
        <w:adjustRightInd w:val="0"/>
        <w:spacing w:before="100" w:beforeAutospacing="1" w:after="100" w:afterAutospacing="1" w:line="240" w:lineRule="auto"/>
        <w:jc w:val="both"/>
        <w:rPr>
          <w:rFonts w:cs="Calibri"/>
          <w:vanish/>
          <w:color w:val="000000"/>
          <w:sz w:val="24"/>
          <w:szCs w:val="24"/>
        </w:rPr>
      </w:pPr>
      <w:r w:rsidRPr="001268E7">
        <w:rPr>
          <w:rFonts w:cs="Calibri"/>
          <w:color w:val="000000"/>
          <w:sz w:val="24"/>
          <w:szCs w:val="24"/>
        </w:rPr>
        <w:t xml:space="preserve"> </w:t>
      </w:r>
    </w:p>
    <w:p w:rsidR="00C9635B" w:rsidRPr="00C9635B" w:rsidRDefault="00C9635B" w:rsidP="00246345">
      <w:pPr>
        <w:numPr>
          <w:ilvl w:val="0"/>
          <w:numId w:val="77"/>
        </w:numPr>
        <w:autoSpaceDE w:val="0"/>
        <w:autoSpaceDN w:val="0"/>
        <w:adjustRightInd w:val="0"/>
        <w:spacing w:before="100" w:beforeAutospacing="1" w:after="100" w:afterAutospacing="1" w:line="240" w:lineRule="auto"/>
        <w:jc w:val="both"/>
        <w:rPr>
          <w:rFonts w:cs="Calibri"/>
          <w:color w:val="000000"/>
          <w:sz w:val="24"/>
          <w:szCs w:val="24"/>
        </w:rPr>
      </w:pPr>
    </w:p>
    <w:p w:rsidR="00D240C0" w:rsidRPr="001268E7" w:rsidRDefault="00D240C0" w:rsidP="00246345">
      <w:pPr>
        <w:numPr>
          <w:ilvl w:val="0"/>
          <w:numId w:val="77"/>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dofinansowania podlegają zasadom publikacji ex ante i ex post;</w:t>
      </w:r>
      <w:r w:rsidRPr="001268E7">
        <w:rPr>
          <w:rFonts w:cs="Calibri"/>
          <w:color w:val="000000"/>
          <w:sz w:val="24"/>
          <w:szCs w:val="24"/>
        </w:rPr>
        <w:t xml:space="preserve"> </w:t>
      </w:r>
    </w:p>
    <w:p w:rsidR="00D240C0" w:rsidRPr="001268E7" w:rsidRDefault="00D240C0" w:rsidP="00246345">
      <w:pPr>
        <w:numPr>
          <w:ilvl w:val="0"/>
          <w:numId w:val="77"/>
        </w:numPr>
        <w:autoSpaceDE w:val="0"/>
        <w:autoSpaceDN w:val="0"/>
        <w:adjustRightInd w:val="0"/>
        <w:spacing w:before="100" w:beforeAutospacing="1" w:after="100" w:afterAutospacing="1" w:line="240" w:lineRule="auto"/>
        <w:jc w:val="both"/>
        <w:rPr>
          <w:rFonts w:cs="Calibri"/>
          <w:vanish/>
          <w:color w:val="000000"/>
          <w:sz w:val="24"/>
          <w:szCs w:val="24"/>
        </w:rPr>
      </w:pPr>
      <w:r w:rsidRPr="001268E7">
        <w:rPr>
          <w:rFonts w:cs="Calibri"/>
          <w:sz w:val="24"/>
          <w:szCs w:val="24"/>
          <w:lang w:eastAsia="pl-PL"/>
        </w:rPr>
        <w:t>wnioskodawcy są informowani na piśmie o wynikach oceny.</w:t>
      </w:r>
      <w:r w:rsidRPr="001268E7">
        <w:rPr>
          <w:rFonts w:cs="Calibri"/>
          <w:color w:val="000000"/>
          <w:sz w:val="24"/>
          <w:szCs w:val="24"/>
        </w:rPr>
        <w:t xml:space="preserve"> W przypadku odrzucenia </w:t>
      </w:r>
      <w:r w:rsidRPr="001268E7">
        <w:rPr>
          <w:rFonts w:cs="Calibri"/>
          <w:sz w:val="24"/>
          <w:szCs w:val="24"/>
          <w:lang w:eastAsia="pl-PL"/>
        </w:rPr>
        <w:t xml:space="preserve">wniosku o dofinansowanie, IZ przekazuje informacje na temat przyczyn odrzucenia </w:t>
      </w:r>
      <w:r w:rsidRPr="001268E7">
        <w:rPr>
          <w:rFonts w:cs="Calibri"/>
          <w:sz w:val="24"/>
          <w:szCs w:val="24"/>
          <w:lang w:eastAsia="pl-PL"/>
        </w:rPr>
        <w:lastRenderedPageBreak/>
        <w:t>wniosku z odniesieniem do kryteriów wyboru i przyznania dofinansowania, których wniosek nie spełnił;</w:t>
      </w:r>
      <w:r w:rsidRPr="001268E7">
        <w:rPr>
          <w:rFonts w:cs="Calibri"/>
          <w:color w:val="000000"/>
          <w:sz w:val="24"/>
          <w:szCs w:val="24"/>
        </w:rPr>
        <w:t xml:space="preserve"> </w:t>
      </w:r>
    </w:p>
    <w:p w:rsidR="00C9635B" w:rsidRPr="00C9635B" w:rsidRDefault="00C9635B" w:rsidP="00246345">
      <w:pPr>
        <w:numPr>
          <w:ilvl w:val="0"/>
          <w:numId w:val="77"/>
        </w:numPr>
        <w:autoSpaceDE w:val="0"/>
        <w:autoSpaceDN w:val="0"/>
        <w:adjustRightInd w:val="0"/>
        <w:spacing w:before="100" w:beforeAutospacing="1" w:after="100" w:afterAutospacing="1" w:line="240" w:lineRule="auto"/>
        <w:jc w:val="both"/>
        <w:rPr>
          <w:rFonts w:cs="Calibri"/>
          <w:color w:val="000000"/>
          <w:sz w:val="24"/>
          <w:szCs w:val="24"/>
        </w:rPr>
      </w:pPr>
    </w:p>
    <w:p w:rsidR="00D240C0" w:rsidRPr="001268E7" w:rsidRDefault="00D240C0" w:rsidP="00246345">
      <w:pPr>
        <w:numPr>
          <w:ilvl w:val="0"/>
          <w:numId w:val="77"/>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należy unikać jakichkolwiek konfliktów interesów;</w:t>
      </w:r>
      <w:r w:rsidRPr="001268E7">
        <w:rPr>
          <w:rFonts w:cs="Calibri"/>
          <w:color w:val="000000"/>
          <w:sz w:val="24"/>
          <w:szCs w:val="24"/>
        </w:rPr>
        <w:t xml:space="preserve"> </w:t>
      </w:r>
    </w:p>
    <w:p w:rsidR="00D240C0" w:rsidRPr="001268E7" w:rsidRDefault="00D240C0" w:rsidP="00246345">
      <w:pPr>
        <w:numPr>
          <w:ilvl w:val="0"/>
          <w:numId w:val="77"/>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takie same zasady i warunki stosuje się do wszystkich wnioskodawców.</w:t>
      </w:r>
      <w:r w:rsidRPr="001268E7">
        <w:rPr>
          <w:rFonts w:cs="Calibri"/>
          <w:color w:val="000000"/>
          <w:sz w:val="24"/>
          <w:szCs w:val="24"/>
        </w:rPr>
        <w:t xml:space="preserve"> </w:t>
      </w:r>
    </w:p>
    <w:p w:rsidR="004B654C" w:rsidRPr="001268E7" w:rsidRDefault="00D240C0" w:rsidP="00D240C0">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Proces oceny złożonych wniosków obejmował będzie następujące dwa etapy:</w:t>
      </w:r>
    </w:p>
    <w:p w:rsidR="00D240C0" w:rsidRPr="001268E7" w:rsidRDefault="00D240C0" w:rsidP="00246345">
      <w:pPr>
        <w:numPr>
          <w:ilvl w:val="0"/>
          <w:numId w:val="78"/>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Ocena administracyjna i kwalifikowalności;</w:t>
      </w:r>
    </w:p>
    <w:p w:rsidR="00D240C0" w:rsidRPr="001268E7" w:rsidRDefault="00D240C0" w:rsidP="00246345">
      <w:pPr>
        <w:numPr>
          <w:ilvl w:val="0"/>
          <w:numId w:val="78"/>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Ocena jakości.</w:t>
      </w:r>
    </w:p>
    <w:p w:rsidR="004B654C" w:rsidRPr="001268E7" w:rsidRDefault="00D240C0" w:rsidP="00D240C0">
      <w:pPr>
        <w:autoSpaceDE w:val="0"/>
        <w:autoSpaceDN w:val="0"/>
        <w:adjustRightInd w:val="0"/>
        <w:spacing w:before="100" w:beforeAutospacing="1" w:after="100" w:afterAutospacing="1" w:line="240" w:lineRule="auto"/>
        <w:jc w:val="both"/>
        <w:rPr>
          <w:rFonts w:cs="Calibri"/>
          <w:bCs/>
          <w:color w:val="000000"/>
          <w:sz w:val="24"/>
          <w:szCs w:val="24"/>
        </w:rPr>
      </w:pPr>
      <w:bookmarkStart w:id="40" w:name="_Toc237251805"/>
      <w:bookmarkStart w:id="41" w:name="_Toc241893093"/>
      <w:bookmarkStart w:id="42" w:name="_Toc237929001"/>
      <w:bookmarkStart w:id="43" w:name="_Toc242085858"/>
      <w:bookmarkStart w:id="44" w:name="_Toc274579094"/>
      <w:bookmarkStart w:id="45" w:name="_Toc274580373"/>
      <w:bookmarkStart w:id="46" w:name="_Toc355858456"/>
      <w:bookmarkStart w:id="47" w:name="_Toc413337464"/>
      <w:bookmarkStart w:id="48" w:name="_Toc413338052"/>
      <w:bookmarkStart w:id="49" w:name="_Toc413338250"/>
      <w:bookmarkStart w:id="50" w:name="_Toc413338435"/>
      <w:r w:rsidRPr="001268E7">
        <w:rPr>
          <w:rFonts w:cs="Calibri"/>
          <w:sz w:val="24"/>
          <w:szCs w:val="24"/>
          <w:lang w:eastAsia="pl-PL"/>
        </w:rPr>
        <w:t>Proces oceny rozpoczyna się wraz z otrzymaniem wniosków aplikacyjnych przez WST, kończy się zaś wraz z chwilą zatwierdzenia przez WKM listy rankingowej złożonych wniosków.</w:t>
      </w:r>
    </w:p>
    <w:bookmarkEnd w:id="40"/>
    <w:bookmarkEnd w:id="41"/>
    <w:bookmarkEnd w:id="42"/>
    <w:bookmarkEnd w:id="43"/>
    <w:bookmarkEnd w:id="44"/>
    <w:bookmarkEnd w:id="45"/>
    <w:bookmarkEnd w:id="46"/>
    <w:bookmarkEnd w:id="47"/>
    <w:bookmarkEnd w:id="48"/>
    <w:bookmarkEnd w:id="49"/>
    <w:bookmarkEnd w:id="50"/>
    <w:p w:rsidR="004B654C" w:rsidRPr="001268E7" w:rsidRDefault="00D240C0" w:rsidP="00D240C0">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Ocena administracyjna i kwalifikowalności (ocena AiK)</w:t>
      </w:r>
    </w:p>
    <w:p w:rsidR="004B654C" w:rsidRPr="001268E7" w:rsidRDefault="00D240C0" w:rsidP="00D240C0">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Wszystkie złożone do WST wnioski aplikacyjne zostaną otwarte i ponumerowane przez WST.</w:t>
      </w:r>
      <w:r w:rsidR="004B654C" w:rsidRPr="001268E7">
        <w:rPr>
          <w:rFonts w:cs="Calibri"/>
          <w:bCs/>
          <w:color w:val="000000"/>
          <w:sz w:val="24"/>
          <w:szCs w:val="24"/>
        </w:rPr>
        <w:t xml:space="preserve"> </w:t>
      </w:r>
      <w:r w:rsidRPr="001268E7">
        <w:rPr>
          <w:rFonts w:cs="Calibri"/>
          <w:bCs/>
          <w:color w:val="000000"/>
          <w:sz w:val="24"/>
          <w:szCs w:val="24"/>
        </w:rPr>
        <w:t xml:space="preserve">Ocenie AiK </w:t>
      </w:r>
      <w:r w:rsidRPr="001268E7">
        <w:rPr>
          <w:rFonts w:cs="Calibri"/>
          <w:sz w:val="24"/>
          <w:szCs w:val="24"/>
          <w:lang w:eastAsia="pl-PL"/>
        </w:rPr>
        <w:t>podlegać będą tylko te wnioski, które zostały złożone w wyznaczonym terminie.</w:t>
      </w:r>
    </w:p>
    <w:p w:rsidR="004B654C" w:rsidRPr="001268E7" w:rsidRDefault="00D240C0" w:rsidP="00D240C0">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 xml:space="preserve">Ocena AiK przeprowadzana jest przez pracowników WST (działających w charakterze wewnętrznych asesorów) oraz Oddział w </w:t>
      </w:r>
      <w:r w:rsidR="00BB0A5F" w:rsidRPr="001268E7">
        <w:rPr>
          <w:rFonts w:cs="Calibri"/>
          <w:sz w:val="24"/>
          <w:szCs w:val="24"/>
          <w:lang w:eastAsia="pl-PL"/>
        </w:rPr>
        <w:t>Kaliningradzie</w:t>
      </w:r>
      <w:r w:rsidRPr="001268E7">
        <w:rPr>
          <w:rFonts w:cs="Calibri"/>
          <w:sz w:val="24"/>
          <w:szCs w:val="24"/>
          <w:lang w:eastAsia="pl-PL"/>
        </w:rPr>
        <w:t>.</w:t>
      </w:r>
      <w:r w:rsidR="004B654C" w:rsidRPr="001268E7">
        <w:rPr>
          <w:rFonts w:cs="Calibri"/>
          <w:bCs/>
          <w:color w:val="000000"/>
          <w:sz w:val="24"/>
          <w:szCs w:val="24"/>
        </w:rPr>
        <w:t xml:space="preserve"> </w:t>
      </w:r>
      <w:r w:rsidRPr="001268E7">
        <w:rPr>
          <w:rFonts w:cs="Calibri"/>
          <w:sz w:val="24"/>
          <w:szCs w:val="24"/>
          <w:lang w:eastAsia="pl-PL"/>
        </w:rPr>
        <w:t>Ocena AiK dokonywana będzie zgodnie z kryteriami wskazanymi w siatce oceny będącej częścią zatwierdz</w:t>
      </w:r>
      <w:r w:rsidR="00BB0A5F" w:rsidRPr="001268E7">
        <w:rPr>
          <w:rFonts w:cs="Calibri"/>
          <w:sz w:val="24"/>
          <w:szCs w:val="24"/>
          <w:lang w:eastAsia="pl-PL"/>
        </w:rPr>
        <w:t>onych przez WKM Wytycznych dla W</w:t>
      </w:r>
      <w:r w:rsidRPr="001268E7">
        <w:rPr>
          <w:rFonts w:cs="Calibri"/>
          <w:sz w:val="24"/>
          <w:szCs w:val="24"/>
          <w:lang w:eastAsia="pl-PL"/>
        </w:rPr>
        <w:t>nioskodawców.</w:t>
      </w:r>
      <w:r w:rsidR="004B654C" w:rsidRPr="001268E7">
        <w:rPr>
          <w:rFonts w:cs="Calibri"/>
          <w:bCs/>
          <w:color w:val="000000"/>
          <w:sz w:val="24"/>
          <w:szCs w:val="24"/>
        </w:rPr>
        <w:t xml:space="preserve"> </w:t>
      </w:r>
      <w:r w:rsidRPr="001268E7">
        <w:rPr>
          <w:rFonts w:cs="Calibri"/>
          <w:sz w:val="24"/>
          <w:szCs w:val="24"/>
          <w:lang w:eastAsia="pl-PL"/>
        </w:rPr>
        <w:t>Podczas przeprowadz</w:t>
      </w:r>
      <w:r w:rsidR="00364F74" w:rsidRPr="001268E7">
        <w:rPr>
          <w:rFonts w:cs="Calibri"/>
          <w:sz w:val="24"/>
          <w:szCs w:val="24"/>
          <w:lang w:eastAsia="pl-PL"/>
        </w:rPr>
        <w:t>ania oceny AiK sprawdzić należy</w:t>
      </w:r>
      <w:r w:rsidRPr="001268E7">
        <w:rPr>
          <w:rFonts w:cs="Calibri"/>
          <w:sz w:val="24"/>
          <w:szCs w:val="24"/>
          <w:lang w:eastAsia="pl-PL"/>
        </w:rPr>
        <w:t xml:space="preserve"> czy dany wniosek spełnia kryteria administracyjne i czy wnioskodawca, jego partnerzy,</w:t>
      </w:r>
      <w:r w:rsidR="00BB0A5F" w:rsidRPr="001268E7">
        <w:rPr>
          <w:rFonts w:cs="Calibri"/>
          <w:sz w:val="24"/>
          <w:szCs w:val="24"/>
          <w:lang w:eastAsia="pl-PL"/>
        </w:rPr>
        <w:t xml:space="preserve"> dany projekt oraz </w:t>
      </w:r>
      <w:r w:rsidRPr="001268E7">
        <w:rPr>
          <w:rFonts w:cs="Calibri"/>
          <w:sz w:val="24"/>
          <w:szCs w:val="24"/>
          <w:lang w:eastAsia="pl-PL"/>
        </w:rPr>
        <w:t>koszty są kwalifikowalne z punk</w:t>
      </w:r>
      <w:r w:rsidR="00BB0A5F" w:rsidRPr="001268E7">
        <w:rPr>
          <w:rFonts w:cs="Calibri"/>
          <w:sz w:val="24"/>
          <w:szCs w:val="24"/>
          <w:lang w:eastAsia="pl-PL"/>
        </w:rPr>
        <w:t>tu widzenia Progra</w:t>
      </w:r>
      <w:r w:rsidR="00B17614" w:rsidRPr="001268E7">
        <w:rPr>
          <w:rFonts w:cs="Calibri"/>
          <w:sz w:val="24"/>
          <w:szCs w:val="24"/>
          <w:lang w:eastAsia="pl-PL"/>
        </w:rPr>
        <w:t>mu oraz ZSW</w:t>
      </w:r>
      <w:r w:rsidRPr="001268E7">
        <w:rPr>
          <w:rFonts w:cs="Calibri"/>
          <w:sz w:val="24"/>
          <w:szCs w:val="24"/>
          <w:lang w:eastAsia="pl-PL"/>
        </w:rPr>
        <w:t>.</w:t>
      </w:r>
      <w:r w:rsidR="004B654C" w:rsidRPr="001268E7">
        <w:rPr>
          <w:rFonts w:cs="Calibri"/>
          <w:bCs/>
          <w:color w:val="000000"/>
          <w:sz w:val="24"/>
          <w:szCs w:val="24"/>
        </w:rPr>
        <w:t xml:space="preserve"> </w:t>
      </w:r>
      <w:r w:rsidR="00C9635B">
        <w:rPr>
          <w:rFonts w:cs="Calibri"/>
          <w:bCs/>
          <w:color w:val="000000"/>
          <w:sz w:val="24"/>
          <w:szCs w:val="24"/>
        </w:rPr>
        <w:t>W razie potrzeby pracownicy JTS/BO mogą być wspierani przez zewnętrznych ekspertów w zakresie oceny dokumentacji technicznej, zasad pomocy państwa i zdolności finansowej beneficjentów.</w:t>
      </w:r>
    </w:p>
    <w:p w:rsidR="004B654C" w:rsidRPr="001268E7" w:rsidRDefault="00D240C0" w:rsidP="00D240C0">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 przypadku, gdy część kryteriów opisanych w Podręczniku Oceny nie zostanie spełnionych, wniosek zostanie albo odrzucony albo wnioskodawca zostanie zaproszony do przedłożenia wyjaśnień.</w:t>
      </w:r>
      <w:r w:rsidR="004B654C" w:rsidRPr="001268E7">
        <w:rPr>
          <w:rFonts w:cs="Calibri"/>
          <w:bCs/>
          <w:color w:val="000000"/>
          <w:sz w:val="24"/>
          <w:szCs w:val="24"/>
        </w:rPr>
        <w:t xml:space="preserve"> </w:t>
      </w:r>
      <w:r w:rsidRPr="001268E7">
        <w:rPr>
          <w:rFonts w:cs="Calibri"/>
          <w:bCs/>
          <w:color w:val="000000"/>
          <w:sz w:val="24"/>
          <w:szCs w:val="24"/>
        </w:rPr>
        <w:t xml:space="preserve">Prośba </w:t>
      </w:r>
      <w:r w:rsidRPr="001268E7">
        <w:rPr>
          <w:rFonts w:cs="Calibri"/>
          <w:sz w:val="24"/>
          <w:szCs w:val="24"/>
          <w:lang w:eastAsia="pl-PL"/>
        </w:rPr>
        <w:t>o przedstawienie wyjaśnień wystosowana zostanie przez WST lub jego Oddział w momencie</w:t>
      </w:r>
      <w:r w:rsidR="00B17614" w:rsidRPr="001268E7">
        <w:rPr>
          <w:rFonts w:cs="Calibri"/>
          <w:sz w:val="24"/>
          <w:szCs w:val="24"/>
          <w:lang w:eastAsia="pl-PL"/>
        </w:rPr>
        <w:t>, gdy przekazane informacje będą</w:t>
      </w:r>
      <w:r w:rsidRPr="001268E7">
        <w:rPr>
          <w:rFonts w:cs="Calibri"/>
          <w:sz w:val="24"/>
          <w:szCs w:val="24"/>
          <w:lang w:eastAsia="pl-PL"/>
        </w:rPr>
        <w:t xml:space="preserve"> ni</w:t>
      </w:r>
      <w:r w:rsidR="00B17614" w:rsidRPr="001268E7">
        <w:rPr>
          <w:rFonts w:cs="Calibri"/>
          <w:sz w:val="24"/>
          <w:szCs w:val="24"/>
          <w:lang w:eastAsia="pl-PL"/>
        </w:rPr>
        <w:t>ejasne, uniemożliwiając</w:t>
      </w:r>
      <w:r w:rsidRPr="001268E7">
        <w:rPr>
          <w:rFonts w:cs="Calibri"/>
          <w:sz w:val="24"/>
          <w:szCs w:val="24"/>
          <w:lang w:eastAsia="pl-PL"/>
        </w:rPr>
        <w:t xml:space="preserve"> WST dokonanie obiektywnej oceny.</w:t>
      </w:r>
    </w:p>
    <w:p w:rsidR="004B654C" w:rsidRPr="001268E7" w:rsidRDefault="00D240C0" w:rsidP="00D240C0">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 przypadku, gdy którykolwiek z partnerów nie będzie spełniał kryteriów kwalifikowalności, projekt zostanie odrzucony wyłącznie na tej podstawie, a wniosek nie będzie podlegać dalszej ocenie.</w:t>
      </w:r>
      <w:r w:rsidR="004B654C" w:rsidRPr="001268E7">
        <w:rPr>
          <w:rFonts w:cs="Calibri"/>
          <w:bCs/>
          <w:color w:val="000000"/>
          <w:sz w:val="24"/>
          <w:szCs w:val="24"/>
        </w:rPr>
        <w:t xml:space="preserve"> </w:t>
      </w:r>
      <w:r w:rsidRPr="001268E7">
        <w:rPr>
          <w:rFonts w:cs="Calibri"/>
          <w:sz w:val="24"/>
          <w:szCs w:val="24"/>
          <w:lang w:eastAsia="pl-PL"/>
        </w:rPr>
        <w:t>Każdy z wnioskodawców informowany będzie o wynikach oceny AiK.</w:t>
      </w:r>
      <w:r w:rsidR="004B654C" w:rsidRPr="001268E7">
        <w:rPr>
          <w:rFonts w:cs="Calibri"/>
          <w:bCs/>
          <w:color w:val="000000"/>
          <w:sz w:val="24"/>
          <w:szCs w:val="24"/>
        </w:rPr>
        <w:t xml:space="preserve"> </w:t>
      </w:r>
      <w:r w:rsidRPr="001268E7">
        <w:rPr>
          <w:rFonts w:cs="Calibri"/>
          <w:sz w:val="24"/>
          <w:szCs w:val="24"/>
          <w:lang w:eastAsia="pl-PL"/>
        </w:rPr>
        <w:t>W przypadku odrzucenia wniosku, wnioskodawca zostanie poinformowany o przyczynach jego odrzucenia.</w:t>
      </w:r>
      <w:r w:rsidR="004B654C" w:rsidRPr="001268E7">
        <w:rPr>
          <w:rFonts w:cs="Calibri"/>
          <w:bCs/>
          <w:color w:val="000000"/>
          <w:sz w:val="24"/>
          <w:szCs w:val="24"/>
        </w:rPr>
        <w:t xml:space="preserve"> </w:t>
      </w:r>
      <w:r w:rsidRPr="001268E7">
        <w:rPr>
          <w:rFonts w:cs="Calibri"/>
          <w:sz w:val="24"/>
          <w:szCs w:val="24"/>
          <w:lang w:eastAsia="pl-PL"/>
        </w:rPr>
        <w:t>Wnioskodawcy będą mieć możliwość odwołania się od wyników oceny AiK do IZ (szczegółowe informacje na temat procedury odwoławczej zawarte zostaną w Podręczniku Oceny oraz w Wytycznych dla Wnioskodawców).</w:t>
      </w:r>
      <w:r w:rsidR="004B654C" w:rsidRPr="001268E7">
        <w:rPr>
          <w:rFonts w:cs="Calibri"/>
          <w:bCs/>
          <w:color w:val="000000"/>
          <w:sz w:val="24"/>
          <w:szCs w:val="24"/>
        </w:rPr>
        <w:t xml:space="preserve"> </w:t>
      </w:r>
    </w:p>
    <w:p w:rsidR="004B654C" w:rsidRPr="001268E7" w:rsidRDefault="00566742" w:rsidP="00566742">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Ocena jakości</w:t>
      </w:r>
      <w:r w:rsidR="004B654C" w:rsidRPr="001268E7">
        <w:rPr>
          <w:rFonts w:cs="Calibri"/>
          <w:b/>
          <w:i/>
          <w:sz w:val="24"/>
          <w:szCs w:val="24"/>
          <w:u w:val="single"/>
        </w:rPr>
        <w:t xml:space="preserve"> </w:t>
      </w:r>
    </w:p>
    <w:p w:rsidR="004B654C" w:rsidRPr="001268E7" w:rsidRDefault="00566742" w:rsidP="00566742">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Każdy wniosek, który pozytywnie przejdzie etap oceny AiK, poddawany będzie ocenie jakościowej.</w:t>
      </w:r>
      <w:r w:rsidR="004B654C" w:rsidRPr="001268E7">
        <w:rPr>
          <w:rFonts w:cs="Calibri"/>
          <w:bCs/>
          <w:color w:val="000000"/>
          <w:sz w:val="24"/>
          <w:szCs w:val="24"/>
        </w:rPr>
        <w:t xml:space="preserve"> </w:t>
      </w:r>
      <w:r w:rsidRPr="001268E7">
        <w:rPr>
          <w:rFonts w:cs="Calibri"/>
          <w:sz w:val="24"/>
          <w:szCs w:val="24"/>
          <w:lang w:eastAsia="pl-PL"/>
        </w:rPr>
        <w:t>Ocena ta dokonywana będzie przez WST (wewnętrznego asesora) oraz regionalnych asesorów zewnętrznych (którzy powinni reprezentować Polskę i Rosję).</w:t>
      </w:r>
      <w:r w:rsidR="004B654C" w:rsidRPr="001268E7">
        <w:rPr>
          <w:rFonts w:cs="Calibri"/>
          <w:bCs/>
          <w:color w:val="000000"/>
          <w:sz w:val="24"/>
          <w:szCs w:val="24"/>
        </w:rPr>
        <w:t xml:space="preserve"> </w:t>
      </w:r>
      <w:r w:rsidRPr="001268E7">
        <w:rPr>
          <w:rFonts w:cs="Calibri"/>
          <w:sz w:val="24"/>
          <w:szCs w:val="24"/>
          <w:lang w:eastAsia="pl-PL"/>
        </w:rPr>
        <w:t>Obowiązki asesorów opisane są w treści Podręcznika Oceny.</w:t>
      </w:r>
    </w:p>
    <w:p w:rsidR="004B654C" w:rsidRPr="001268E7" w:rsidRDefault="00566742" w:rsidP="00566742">
      <w:pPr>
        <w:spacing w:before="120" w:after="120" w:line="240" w:lineRule="auto"/>
        <w:jc w:val="both"/>
        <w:rPr>
          <w:rFonts w:cs="Calibri"/>
          <w:bCs/>
          <w:color w:val="000000"/>
          <w:sz w:val="24"/>
          <w:szCs w:val="24"/>
        </w:rPr>
      </w:pPr>
      <w:r w:rsidRPr="001268E7">
        <w:rPr>
          <w:rFonts w:cs="Calibri"/>
          <w:sz w:val="24"/>
          <w:szCs w:val="24"/>
          <w:lang w:eastAsia="pl-PL"/>
        </w:rPr>
        <w:lastRenderedPageBreak/>
        <w:t>W momencie, gdy oce</w:t>
      </w:r>
      <w:r w:rsidR="00B17614" w:rsidRPr="001268E7">
        <w:rPr>
          <w:rFonts w:cs="Calibri"/>
          <w:sz w:val="24"/>
          <w:szCs w:val="24"/>
          <w:lang w:eastAsia="pl-PL"/>
        </w:rPr>
        <w:t>na jakościowa jest zakończona, W</w:t>
      </w:r>
      <w:r w:rsidRPr="001268E7">
        <w:rPr>
          <w:rFonts w:cs="Calibri"/>
          <w:sz w:val="24"/>
          <w:szCs w:val="24"/>
          <w:lang w:eastAsia="pl-PL"/>
        </w:rPr>
        <w:t>ST przygotowuje i podpisuje Raport z Oceny pełnego formularza wniosku, który następnie podlega zatwierdzeniu przez WKM.</w:t>
      </w:r>
      <w:r w:rsidR="004B654C" w:rsidRPr="001268E7">
        <w:rPr>
          <w:rFonts w:cs="Calibri"/>
          <w:bCs/>
          <w:color w:val="000000"/>
          <w:sz w:val="24"/>
          <w:szCs w:val="24"/>
        </w:rPr>
        <w:t xml:space="preserve"> </w:t>
      </w:r>
      <w:r w:rsidRPr="001268E7">
        <w:rPr>
          <w:rFonts w:cs="Calibri"/>
          <w:bCs/>
          <w:color w:val="000000"/>
          <w:sz w:val="24"/>
          <w:szCs w:val="24"/>
        </w:rPr>
        <w:t xml:space="preserve">Lista rankingowa </w:t>
      </w:r>
      <w:r w:rsidRPr="001268E7">
        <w:rPr>
          <w:rFonts w:cs="Calibri"/>
          <w:sz w:val="24"/>
          <w:szCs w:val="24"/>
          <w:lang w:eastAsia="pl-PL"/>
        </w:rPr>
        <w:t>sporządzana na podstawie wyników przekazanych przez asesorów, załączona będzie do raportu.</w:t>
      </w:r>
      <w:r w:rsidR="004B654C" w:rsidRPr="001268E7">
        <w:rPr>
          <w:rFonts w:cs="Calibri"/>
          <w:bCs/>
          <w:color w:val="000000"/>
          <w:sz w:val="24"/>
          <w:szCs w:val="24"/>
        </w:rPr>
        <w:t xml:space="preserve"> </w:t>
      </w:r>
      <w:r w:rsidRPr="001268E7">
        <w:rPr>
          <w:rFonts w:cs="Calibri"/>
          <w:bCs/>
          <w:color w:val="000000"/>
          <w:sz w:val="24"/>
          <w:szCs w:val="24"/>
        </w:rPr>
        <w:t>Wnioski, które otrzymają wsparcie Programu, będą wybierane rozpoczynając od tego, który otrzymał najwyższy wynik.</w:t>
      </w:r>
    </w:p>
    <w:p w:rsidR="004B654C" w:rsidRPr="001268E7" w:rsidRDefault="00566742" w:rsidP="00566742">
      <w:pPr>
        <w:spacing w:before="120" w:after="120" w:line="240" w:lineRule="auto"/>
        <w:jc w:val="both"/>
        <w:rPr>
          <w:rFonts w:cs="Calibri"/>
          <w:bCs/>
          <w:color w:val="000000"/>
          <w:sz w:val="24"/>
          <w:szCs w:val="24"/>
        </w:rPr>
      </w:pPr>
      <w:r w:rsidRPr="001268E7">
        <w:rPr>
          <w:rFonts w:cs="Calibri"/>
          <w:bCs/>
          <w:color w:val="000000"/>
          <w:sz w:val="24"/>
          <w:szCs w:val="24"/>
        </w:rPr>
        <w:t>Aby wspierać wysokie efekty działań transgranicznych płynące z potencjalnych synergii oraz spójności z projektami i programami finansowanymi w ramach innej polityki UE oraz aby uniknąć powielania, KE otrzyma listę projektów rekomendowanych do wyboru w celu przeprowadzenia konsultacji wewnętrznych przed posiedzeniem WKM (w terminie nie krótszym niż 10 dni roboczych).</w:t>
      </w:r>
      <w:r w:rsidR="00126FA1" w:rsidRPr="001268E7">
        <w:rPr>
          <w:rFonts w:cs="Calibri"/>
          <w:bCs/>
          <w:color w:val="000000"/>
          <w:sz w:val="24"/>
          <w:szCs w:val="24"/>
        </w:rPr>
        <w:t xml:space="preserve"> </w:t>
      </w:r>
      <w:r w:rsidRPr="001268E7">
        <w:rPr>
          <w:rFonts w:cs="Calibri"/>
          <w:bCs/>
          <w:color w:val="000000"/>
          <w:sz w:val="24"/>
          <w:szCs w:val="24"/>
        </w:rPr>
        <w:t>Przedstawiciele Delegacji UE mogą być zaproszeni do udziału w wyborze projektów, jako obserwatorzy bez prawa głosu, aby lepiej wspierać synergie pomiędzy działaniami transgranicznymi i innymi działaniami finansowanymi przez UE.</w:t>
      </w:r>
    </w:p>
    <w:p w:rsidR="004B654C" w:rsidRPr="001268E7" w:rsidRDefault="00566742" w:rsidP="00566742">
      <w:pPr>
        <w:spacing w:before="120" w:after="120" w:line="240" w:lineRule="auto"/>
        <w:jc w:val="both"/>
        <w:rPr>
          <w:rFonts w:asciiTheme="minorHAnsi" w:hAnsiTheme="minorHAnsi"/>
          <w:sz w:val="24"/>
          <w:szCs w:val="24"/>
        </w:rPr>
      </w:pPr>
      <w:r w:rsidRPr="001268E7">
        <w:rPr>
          <w:rFonts w:asciiTheme="minorHAnsi" w:hAnsiTheme="minorHAnsi" w:cs="Calibri"/>
          <w:sz w:val="24"/>
          <w:szCs w:val="24"/>
          <w:lang w:eastAsia="pl-PL"/>
        </w:rPr>
        <w:t>Po podjęciu przez WKM decyzji odnośnie udzielenia dofinansowania, WST informuje pisemnie wszystkich wnioskodawców o decyzji dotyczącej tego czy dany wniosek został zatwierdzony do współfinansowania.</w:t>
      </w:r>
      <w:r w:rsidR="004B654C" w:rsidRPr="001268E7">
        <w:rPr>
          <w:rFonts w:asciiTheme="minorHAnsi" w:hAnsiTheme="minorHAnsi" w:cs="Calibri"/>
          <w:bCs/>
          <w:color w:val="000000"/>
          <w:sz w:val="24"/>
          <w:szCs w:val="24"/>
        </w:rPr>
        <w:t xml:space="preserve"> </w:t>
      </w:r>
      <w:r w:rsidRPr="001268E7">
        <w:rPr>
          <w:rFonts w:asciiTheme="minorHAnsi" w:hAnsiTheme="minorHAnsi" w:cs="Calibri"/>
          <w:sz w:val="24"/>
          <w:szCs w:val="24"/>
          <w:lang w:eastAsia="pl-PL"/>
        </w:rPr>
        <w:t>W przypadku, gdy decyzja będzie negatywna, w liście przedstawione zostaną jej powody.</w:t>
      </w:r>
      <w:r w:rsidR="004B654C" w:rsidRPr="001268E7">
        <w:rPr>
          <w:rFonts w:asciiTheme="minorHAnsi" w:hAnsiTheme="minorHAnsi" w:cs="Calibri"/>
          <w:bCs/>
          <w:color w:val="000000"/>
          <w:sz w:val="24"/>
          <w:szCs w:val="24"/>
        </w:rPr>
        <w:t xml:space="preserve"> </w:t>
      </w:r>
      <w:r w:rsidRPr="001268E7">
        <w:rPr>
          <w:rFonts w:asciiTheme="minorHAnsi" w:hAnsiTheme="minorHAnsi" w:cs="Calibri"/>
          <w:sz w:val="24"/>
          <w:szCs w:val="24"/>
          <w:lang w:eastAsia="pl-PL"/>
        </w:rPr>
        <w:t>Szczegóły procedury odwoławczej opisane są w Podręczniku Oceny</w:t>
      </w:r>
      <w:r w:rsidR="00F46170">
        <w:rPr>
          <w:rFonts w:asciiTheme="minorHAnsi" w:hAnsiTheme="minorHAnsi" w:cs="Calibri"/>
          <w:sz w:val="24"/>
          <w:szCs w:val="24"/>
          <w:lang w:eastAsia="pl-PL"/>
        </w:rPr>
        <w:t xml:space="preserve"> oraz wytycznych właściwych dla każdego naboru</w:t>
      </w:r>
      <w:r w:rsidRPr="001268E7">
        <w:rPr>
          <w:rFonts w:asciiTheme="minorHAnsi" w:hAnsiTheme="minorHAnsi" w:cs="Calibri"/>
          <w:sz w:val="24"/>
          <w:szCs w:val="24"/>
          <w:lang w:eastAsia="pl-PL"/>
        </w:rPr>
        <w:t>.</w:t>
      </w:r>
      <w:r w:rsidR="004B654C" w:rsidRPr="001268E7">
        <w:rPr>
          <w:rFonts w:asciiTheme="minorHAnsi" w:hAnsiTheme="minorHAnsi" w:cs="Calibri"/>
          <w:bCs/>
          <w:color w:val="000000"/>
          <w:sz w:val="24"/>
          <w:szCs w:val="24"/>
        </w:rPr>
        <w:t xml:space="preserve"> </w:t>
      </w:r>
      <w:r w:rsidRPr="001268E7">
        <w:rPr>
          <w:rFonts w:asciiTheme="minorHAnsi" w:hAnsiTheme="minorHAnsi" w:cs="Calibri"/>
          <w:sz w:val="24"/>
          <w:szCs w:val="24"/>
          <w:lang w:eastAsia="pl-PL"/>
        </w:rPr>
        <w:t>Wnioskodawcom przysługuje prawo odwołania się od wyników oceny jakościowej do IZ.</w:t>
      </w:r>
      <w:r w:rsidR="004B654C" w:rsidRPr="001268E7">
        <w:rPr>
          <w:rFonts w:asciiTheme="minorHAnsi" w:hAnsiTheme="minorHAnsi"/>
          <w:sz w:val="24"/>
          <w:szCs w:val="24"/>
        </w:rPr>
        <w:t xml:space="preserve"> </w:t>
      </w:r>
      <w:r w:rsidRPr="001268E7">
        <w:rPr>
          <w:rFonts w:asciiTheme="minorHAnsi" w:hAnsiTheme="minorHAnsi" w:cs="Calibri"/>
          <w:sz w:val="24"/>
          <w:szCs w:val="24"/>
          <w:lang w:eastAsia="pl-PL"/>
        </w:rPr>
        <w:t>Odpowiedź na złożone odwołanie stanowi ostateczną decyzję WKM w odniesieniu do danego wniosku aplikacyjnego.</w:t>
      </w:r>
    </w:p>
    <w:p w:rsidR="004B654C" w:rsidRPr="001268E7" w:rsidRDefault="00566742" w:rsidP="00566742">
      <w:pPr>
        <w:autoSpaceDE w:val="0"/>
        <w:autoSpaceDN w:val="0"/>
        <w:adjustRightInd w:val="0"/>
        <w:spacing w:before="100" w:beforeAutospacing="1" w:after="100" w:afterAutospacing="1" w:line="240" w:lineRule="auto"/>
        <w:jc w:val="both"/>
        <w:rPr>
          <w:rFonts w:asciiTheme="minorHAnsi" w:hAnsiTheme="minorHAnsi"/>
          <w:sz w:val="24"/>
          <w:szCs w:val="24"/>
        </w:rPr>
      </w:pPr>
      <w:r w:rsidRPr="001268E7">
        <w:rPr>
          <w:rFonts w:asciiTheme="minorHAnsi" w:hAnsiTheme="minorHAnsi" w:cs="Calibri"/>
          <w:bCs/>
          <w:color w:val="000000"/>
          <w:sz w:val="24"/>
          <w:szCs w:val="24"/>
        </w:rPr>
        <w:t>Lista projektów wybranych przez WKM publikowana jest na stronie internetowej Programu.</w:t>
      </w:r>
      <w:r w:rsidR="004B654C" w:rsidRPr="001268E7">
        <w:rPr>
          <w:rFonts w:asciiTheme="minorHAnsi" w:hAnsiTheme="minorHAnsi" w:cs="Calibri"/>
          <w:bCs/>
          <w:color w:val="000000"/>
          <w:sz w:val="24"/>
          <w:szCs w:val="24"/>
        </w:rPr>
        <w:t xml:space="preserve"> </w:t>
      </w:r>
    </w:p>
    <w:p w:rsidR="004B654C" w:rsidRPr="001268E7" w:rsidRDefault="00566742" w:rsidP="00566742">
      <w:pPr>
        <w:autoSpaceDE w:val="0"/>
        <w:autoSpaceDN w:val="0"/>
        <w:adjustRightInd w:val="0"/>
        <w:spacing w:before="100" w:beforeAutospacing="1" w:after="100" w:afterAutospacing="1" w:line="240" w:lineRule="auto"/>
        <w:jc w:val="both"/>
        <w:rPr>
          <w:rFonts w:asciiTheme="minorHAnsi" w:hAnsiTheme="minorHAnsi" w:cs="Calibri"/>
          <w:b/>
          <w:i/>
          <w:sz w:val="24"/>
          <w:szCs w:val="24"/>
          <w:u w:val="single"/>
        </w:rPr>
      </w:pPr>
      <w:r w:rsidRPr="001268E7">
        <w:rPr>
          <w:rFonts w:asciiTheme="minorHAnsi" w:hAnsiTheme="minorHAnsi" w:cs="Calibri"/>
          <w:b/>
          <w:i/>
          <w:sz w:val="24"/>
          <w:szCs w:val="24"/>
          <w:u w:val="single"/>
        </w:rPr>
        <w:t>Konflikt interesów</w:t>
      </w:r>
    </w:p>
    <w:p w:rsidR="004B654C" w:rsidRPr="001268E7" w:rsidRDefault="00566742" w:rsidP="00566742">
      <w:pPr>
        <w:autoSpaceDE w:val="0"/>
        <w:autoSpaceDN w:val="0"/>
        <w:adjustRightInd w:val="0"/>
        <w:spacing w:before="100" w:beforeAutospacing="1" w:after="100" w:afterAutospacing="1" w:line="240" w:lineRule="auto"/>
        <w:jc w:val="both"/>
        <w:rPr>
          <w:rFonts w:asciiTheme="minorHAnsi" w:hAnsiTheme="minorHAnsi" w:cs="Calibri"/>
          <w:bCs/>
          <w:color w:val="000000"/>
          <w:sz w:val="24"/>
          <w:szCs w:val="24"/>
        </w:rPr>
      </w:pPr>
      <w:r w:rsidRPr="001268E7">
        <w:rPr>
          <w:rFonts w:asciiTheme="minorHAnsi" w:hAnsiTheme="minorHAnsi" w:cs="Calibri"/>
          <w:sz w:val="24"/>
          <w:szCs w:val="24"/>
          <w:lang w:eastAsia="pl-PL"/>
        </w:rPr>
        <w:t>Wymaga się, aby wszystkie osoby uczestniczące w procesie wyboru projektów – asesorzy wewnętrzni i zewnętrzni, członkowie WKM – pozostawali niezależni względem wszystkich wnioskodawców uczestniczący</w:t>
      </w:r>
      <w:r w:rsidR="000A0980" w:rsidRPr="001268E7">
        <w:rPr>
          <w:rFonts w:asciiTheme="minorHAnsi" w:hAnsiTheme="minorHAnsi" w:cs="Calibri"/>
          <w:sz w:val="24"/>
          <w:szCs w:val="24"/>
          <w:lang w:eastAsia="pl-PL"/>
        </w:rPr>
        <w:t>ch w procesie składania wniosków</w:t>
      </w:r>
      <w:r w:rsidRPr="001268E7">
        <w:rPr>
          <w:rFonts w:asciiTheme="minorHAnsi" w:hAnsiTheme="minorHAnsi" w:cs="Calibri"/>
          <w:sz w:val="24"/>
          <w:szCs w:val="24"/>
          <w:lang w:eastAsia="pl-PL"/>
        </w:rPr>
        <w:t>.</w:t>
      </w:r>
      <w:r w:rsidR="004B654C" w:rsidRPr="001268E7">
        <w:rPr>
          <w:rFonts w:asciiTheme="minorHAnsi" w:hAnsiTheme="minorHAnsi" w:cs="Calibri"/>
          <w:bCs/>
          <w:color w:val="000000"/>
          <w:sz w:val="24"/>
          <w:szCs w:val="24"/>
        </w:rPr>
        <w:t xml:space="preserve"> </w:t>
      </w:r>
      <w:r w:rsidRPr="001268E7">
        <w:rPr>
          <w:rFonts w:asciiTheme="minorHAnsi" w:hAnsiTheme="minorHAnsi" w:cs="Calibri"/>
          <w:sz w:val="24"/>
          <w:szCs w:val="24"/>
          <w:lang w:eastAsia="pl-PL"/>
        </w:rPr>
        <w:t xml:space="preserve">Przed włączeniem do tego procesu, wszystkie te osoby podpisują </w:t>
      </w:r>
      <w:r w:rsidRPr="001268E7">
        <w:rPr>
          <w:rFonts w:asciiTheme="minorHAnsi" w:hAnsiTheme="minorHAnsi" w:cs="Calibri,Italic"/>
          <w:iCs/>
          <w:sz w:val="24"/>
          <w:szCs w:val="24"/>
          <w:lang w:eastAsia="pl-PL"/>
        </w:rPr>
        <w:t>Deklarację Bezstronności i Poufności</w:t>
      </w:r>
      <w:r w:rsidRPr="001268E7">
        <w:rPr>
          <w:rFonts w:asciiTheme="minorHAnsi" w:hAnsiTheme="minorHAnsi" w:cs="Calibri"/>
          <w:sz w:val="24"/>
          <w:szCs w:val="24"/>
          <w:lang w:eastAsia="pl-PL"/>
        </w:rPr>
        <w:t>, w której potwierdzają swój status w tej kwestii.</w:t>
      </w:r>
      <w:r w:rsidR="004B654C" w:rsidRPr="001268E7">
        <w:rPr>
          <w:rFonts w:asciiTheme="minorHAnsi" w:hAnsiTheme="minorHAnsi" w:cs="Calibri"/>
          <w:bCs/>
          <w:color w:val="000000"/>
          <w:sz w:val="24"/>
          <w:szCs w:val="24"/>
        </w:rPr>
        <w:t xml:space="preserve"> </w:t>
      </w:r>
      <w:r w:rsidRPr="001268E7">
        <w:rPr>
          <w:rFonts w:asciiTheme="minorHAnsi" w:hAnsiTheme="minorHAnsi" w:cs="Calibri"/>
          <w:sz w:val="24"/>
          <w:szCs w:val="24"/>
          <w:lang w:eastAsia="pl-PL"/>
        </w:rPr>
        <w:t>W przypadku, gdy prawdopodobne jest, że dana osoba jest w konflikcie interesów, nie może ona brać udziału w procesie.</w:t>
      </w:r>
      <w:r w:rsidR="004B654C" w:rsidRPr="001268E7">
        <w:rPr>
          <w:rFonts w:asciiTheme="minorHAnsi" w:hAnsiTheme="minorHAnsi" w:cs="Calibri"/>
          <w:bCs/>
          <w:color w:val="000000"/>
          <w:sz w:val="24"/>
          <w:szCs w:val="24"/>
        </w:rPr>
        <w:t xml:space="preserve"> </w:t>
      </w:r>
    </w:p>
    <w:p w:rsidR="004B654C" w:rsidRPr="001268E7" w:rsidRDefault="00707E0D" w:rsidP="00A64E2B">
      <w:pPr>
        <w:autoSpaceDE w:val="0"/>
        <w:autoSpaceDN w:val="0"/>
        <w:adjustRightInd w:val="0"/>
        <w:spacing w:before="100" w:beforeAutospacing="1" w:after="100" w:afterAutospacing="1" w:line="240" w:lineRule="auto"/>
        <w:jc w:val="both"/>
        <w:rPr>
          <w:rFonts w:asciiTheme="minorHAnsi" w:hAnsiTheme="minorHAnsi" w:cs="Calibri"/>
          <w:b/>
          <w:i/>
          <w:sz w:val="24"/>
          <w:szCs w:val="24"/>
          <w:u w:val="single"/>
        </w:rPr>
      </w:pPr>
      <w:bookmarkStart w:id="51" w:name="_Toc419818608"/>
      <w:r w:rsidRPr="001268E7">
        <w:rPr>
          <w:rFonts w:asciiTheme="minorHAnsi" w:hAnsiTheme="minorHAnsi" w:cs="Calibri"/>
          <w:b/>
          <w:i/>
          <w:sz w:val="24"/>
          <w:szCs w:val="24"/>
          <w:u w:val="single"/>
        </w:rPr>
        <w:t>Charakter</w:t>
      </w:r>
      <w:r w:rsidR="00A64E2B" w:rsidRPr="001268E7">
        <w:rPr>
          <w:rFonts w:asciiTheme="minorHAnsi" w:hAnsiTheme="minorHAnsi" w:cs="Calibri"/>
          <w:b/>
          <w:i/>
          <w:sz w:val="24"/>
          <w:szCs w:val="24"/>
          <w:u w:val="single"/>
        </w:rPr>
        <w:t xml:space="preserve"> wsparcia</w:t>
      </w:r>
      <w:r w:rsidR="004B654C" w:rsidRPr="001268E7">
        <w:rPr>
          <w:rFonts w:asciiTheme="minorHAnsi" w:hAnsiTheme="minorHAnsi" w:cs="Calibri"/>
          <w:b/>
          <w:i/>
          <w:sz w:val="24"/>
          <w:szCs w:val="24"/>
          <w:u w:val="single"/>
        </w:rPr>
        <w:t xml:space="preserve"> </w:t>
      </w:r>
      <w:bookmarkEnd w:id="51"/>
    </w:p>
    <w:p w:rsidR="004B654C" w:rsidRPr="001268E7" w:rsidRDefault="00A64E2B" w:rsidP="00A64E2B">
      <w:pPr>
        <w:autoSpaceDE w:val="0"/>
        <w:autoSpaceDN w:val="0"/>
        <w:adjustRightInd w:val="0"/>
        <w:spacing w:before="100" w:beforeAutospacing="1" w:after="100" w:afterAutospacing="1" w:line="240" w:lineRule="auto"/>
        <w:jc w:val="both"/>
        <w:rPr>
          <w:rFonts w:asciiTheme="minorHAnsi" w:hAnsiTheme="minorHAnsi" w:cs="Calibri"/>
          <w:bCs/>
          <w:color w:val="000000"/>
          <w:sz w:val="24"/>
          <w:szCs w:val="24"/>
        </w:rPr>
      </w:pPr>
      <w:r w:rsidRPr="001268E7">
        <w:rPr>
          <w:rFonts w:asciiTheme="minorHAnsi" w:hAnsiTheme="minorHAnsi" w:cs="Calibri"/>
          <w:bCs/>
          <w:color w:val="000000"/>
          <w:sz w:val="24"/>
          <w:szCs w:val="24"/>
        </w:rPr>
        <w:t>Cele Programu mają być osiągnięte poprzez finansowanie realizacji projektów transgranicznych w ramach wszystkich CT i priorytetów Programu.</w:t>
      </w:r>
      <w:r w:rsidR="004B654C" w:rsidRPr="001268E7">
        <w:rPr>
          <w:rFonts w:asciiTheme="minorHAnsi" w:hAnsiTheme="minorHAnsi" w:cs="Calibri"/>
          <w:bCs/>
          <w:color w:val="000000"/>
          <w:sz w:val="24"/>
          <w:szCs w:val="24"/>
        </w:rPr>
        <w:t xml:space="preserve"> </w:t>
      </w:r>
      <w:r w:rsidR="00707E0D" w:rsidRPr="001268E7">
        <w:rPr>
          <w:rFonts w:asciiTheme="minorHAnsi" w:hAnsiTheme="minorHAnsi" w:cs="Calibri"/>
          <w:bCs/>
          <w:color w:val="000000"/>
          <w:sz w:val="24"/>
          <w:szCs w:val="24"/>
        </w:rPr>
        <w:t>Każdy z projektów musi</w:t>
      </w:r>
      <w:r w:rsidRPr="001268E7">
        <w:rPr>
          <w:rFonts w:asciiTheme="minorHAnsi" w:hAnsiTheme="minorHAnsi" w:cs="Calibri"/>
          <w:bCs/>
          <w:color w:val="000000"/>
          <w:sz w:val="24"/>
          <w:szCs w:val="24"/>
        </w:rPr>
        <w:t xml:space="preserve"> </w:t>
      </w:r>
      <w:r w:rsidR="00707E0D" w:rsidRPr="001268E7">
        <w:rPr>
          <w:rFonts w:asciiTheme="minorHAnsi" w:hAnsiTheme="minorHAnsi" w:cs="Calibri"/>
          <w:bCs/>
          <w:color w:val="000000"/>
          <w:sz w:val="24"/>
          <w:szCs w:val="24"/>
        </w:rPr>
        <w:t>w wyraźny sposób</w:t>
      </w:r>
      <w:r w:rsidRPr="001268E7">
        <w:rPr>
          <w:rFonts w:asciiTheme="minorHAnsi" w:hAnsiTheme="minorHAnsi" w:cs="Calibri"/>
          <w:bCs/>
          <w:color w:val="000000"/>
          <w:sz w:val="24"/>
          <w:szCs w:val="24"/>
        </w:rPr>
        <w:t xml:space="preserve"> odnosić się do ogólnych i tematycznych celów Programu.</w:t>
      </w:r>
      <w:r w:rsidR="004B654C" w:rsidRPr="001268E7">
        <w:rPr>
          <w:rFonts w:asciiTheme="minorHAnsi" w:hAnsiTheme="minorHAnsi" w:cs="Calibri"/>
          <w:bCs/>
          <w:color w:val="000000"/>
          <w:sz w:val="24"/>
          <w:szCs w:val="24"/>
        </w:rPr>
        <w:t xml:space="preserve"> </w:t>
      </w:r>
    </w:p>
    <w:p w:rsidR="004B654C" w:rsidRPr="001268E7" w:rsidRDefault="00707E0D" w:rsidP="00707E0D">
      <w:pPr>
        <w:autoSpaceDE w:val="0"/>
        <w:autoSpaceDN w:val="0"/>
        <w:adjustRightInd w:val="0"/>
        <w:spacing w:before="100" w:beforeAutospacing="1" w:after="100" w:afterAutospacing="1" w:line="240" w:lineRule="auto"/>
        <w:jc w:val="both"/>
        <w:rPr>
          <w:rFonts w:asciiTheme="minorHAnsi" w:hAnsiTheme="minorHAnsi" w:cs="Calibri"/>
          <w:bCs/>
          <w:color w:val="000000"/>
          <w:sz w:val="24"/>
          <w:szCs w:val="24"/>
        </w:rPr>
      </w:pPr>
      <w:r w:rsidRPr="001268E7">
        <w:rPr>
          <w:rFonts w:asciiTheme="minorHAnsi" w:hAnsiTheme="minorHAnsi" w:cs="Calibri"/>
          <w:sz w:val="24"/>
          <w:szCs w:val="24"/>
          <w:lang w:eastAsia="pl-PL"/>
        </w:rPr>
        <w:t>Co do zasady, finansowanie udzielane jest w postaci dotacji dla projektów wybranych w ramach naborów wniosków zgodnie z zasadami wskazanymi w treści Programu.</w:t>
      </w:r>
      <w:r w:rsidR="004B654C" w:rsidRPr="001268E7">
        <w:rPr>
          <w:rFonts w:asciiTheme="minorHAnsi" w:hAnsiTheme="minorHAnsi" w:cs="Calibri"/>
          <w:bCs/>
          <w:color w:val="000000"/>
          <w:sz w:val="24"/>
          <w:szCs w:val="24"/>
        </w:rPr>
        <w:t xml:space="preserve"> </w:t>
      </w:r>
      <w:r w:rsidRPr="001268E7">
        <w:rPr>
          <w:rFonts w:asciiTheme="minorHAnsi" w:hAnsiTheme="minorHAnsi" w:cs="Calibri"/>
          <w:sz w:val="24"/>
          <w:szCs w:val="24"/>
          <w:lang w:eastAsia="pl-PL"/>
        </w:rPr>
        <w:t>Jedyny wyjątek dotyczy DPI wybranych przez WKP w procedurze bezpośredniego udzielenia zamówienia, opisanej w punkcie 4.4, a także PT.</w:t>
      </w:r>
      <w:r w:rsidR="004B654C" w:rsidRPr="001268E7">
        <w:rPr>
          <w:rFonts w:asciiTheme="minorHAnsi" w:hAnsiTheme="minorHAnsi" w:cs="Calibri"/>
          <w:bCs/>
          <w:color w:val="000000"/>
          <w:sz w:val="24"/>
          <w:szCs w:val="24"/>
        </w:rPr>
        <w:t xml:space="preserve"> </w:t>
      </w:r>
      <w:r w:rsidRPr="001268E7">
        <w:rPr>
          <w:rFonts w:asciiTheme="minorHAnsi" w:hAnsiTheme="minorHAnsi" w:cs="Calibri"/>
          <w:bCs/>
          <w:color w:val="000000"/>
          <w:sz w:val="24"/>
          <w:szCs w:val="24"/>
        </w:rPr>
        <w:t xml:space="preserve">Wykaz DPI wybranych </w:t>
      </w:r>
      <w:r w:rsidRPr="001268E7">
        <w:rPr>
          <w:rFonts w:asciiTheme="minorHAnsi" w:hAnsiTheme="minorHAnsi" w:cs="Calibri"/>
          <w:sz w:val="24"/>
          <w:szCs w:val="24"/>
          <w:lang w:eastAsia="pl-PL"/>
        </w:rPr>
        <w:t>przez WKP zawarty jest w sekcji 4.4. WPO.</w:t>
      </w:r>
    </w:p>
    <w:p w:rsidR="00D61551" w:rsidRDefault="00D61551" w:rsidP="00707E0D">
      <w:pPr>
        <w:autoSpaceDE w:val="0"/>
        <w:autoSpaceDN w:val="0"/>
        <w:adjustRightInd w:val="0"/>
        <w:spacing w:before="100" w:beforeAutospacing="1" w:after="100" w:afterAutospacing="1" w:line="240" w:lineRule="auto"/>
        <w:jc w:val="both"/>
        <w:rPr>
          <w:rFonts w:asciiTheme="minorHAnsi" w:hAnsiTheme="minorHAnsi" w:cs="Calibri"/>
          <w:b/>
          <w:i/>
          <w:sz w:val="24"/>
          <w:szCs w:val="24"/>
          <w:u w:val="single"/>
        </w:rPr>
      </w:pPr>
    </w:p>
    <w:p w:rsidR="00D61551" w:rsidRDefault="00D61551" w:rsidP="00707E0D">
      <w:pPr>
        <w:autoSpaceDE w:val="0"/>
        <w:autoSpaceDN w:val="0"/>
        <w:adjustRightInd w:val="0"/>
        <w:spacing w:before="100" w:beforeAutospacing="1" w:after="100" w:afterAutospacing="1" w:line="240" w:lineRule="auto"/>
        <w:jc w:val="both"/>
        <w:rPr>
          <w:rFonts w:asciiTheme="minorHAnsi" w:hAnsiTheme="minorHAnsi" w:cs="Calibri"/>
          <w:b/>
          <w:i/>
          <w:sz w:val="24"/>
          <w:szCs w:val="24"/>
          <w:u w:val="single"/>
        </w:rPr>
      </w:pPr>
    </w:p>
    <w:p w:rsidR="004B654C" w:rsidRPr="001268E7" w:rsidRDefault="00707E0D" w:rsidP="00707E0D">
      <w:pPr>
        <w:autoSpaceDE w:val="0"/>
        <w:autoSpaceDN w:val="0"/>
        <w:adjustRightInd w:val="0"/>
        <w:spacing w:before="100" w:beforeAutospacing="1" w:after="100" w:afterAutospacing="1" w:line="240" w:lineRule="auto"/>
        <w:jc w:val="both"/>
        <w:rPr>
          <w:rFonts w:asciiTheme="minorHAnsi" w:hAnsiTheme="minorHAnsi" w:cs="Calibri"/>
          <w:b/>
          <w:i/>
          <w:sz w:val="24"/>
          <w:szCs w:val="24"/>
          <w:u w:val="single"/>
        </w:rPr>
      </w:pPr>
      <w:r w:rsidRPr="001268E7">
        <w:rPr>
          <w:rFonts w:asciiTheme="minorHAnsi" w:hAnsiTheme="minorHAnsi" w:cs="Calibri"/>
          <w:b/>
          <w:i/>
          <w:sz w:val="24"/>
          <w:szCs w:val="24"/>
          <w:u w:val="single"/>
        </w:rPr>
        <w:lastRenderedPageBreak/>
        <w:t>Beneficjenci i projekt</w:t>
      </w:r>
    </w:p>
    <w:p w:rsidR="004B654C" w:rsidRPr="001268E7" w:rsidRDefault="00707E0D" w:rsidP="00707E0D">
      <w:pPr>
        <w:autoSpaceDE w:val="0"/>
        <w:autoSpaceDN w:val="0"/>
        <w:adjustRightInd w:val="0"/>
        <w:spacing w:before="100" w:beforeAutospacing="1" w:after="100" w:afterAutospacing="1" w:line="240" w:lineRule="auto"/>
        <w:jc w:val="both"/>
        <w:rPr>
          <w:rFonts w:asciiTheme="minorHAnsi" w:hAnsiTheme="minorHAnsi" w:cs="Calibri"/>
          <w:bCs/>
          <w:color w:val="000000"/>
          <w:sz w:val="24"/>
          <w:szCs w:val="24"/>
        </w:rPr>
      </w:pPr>
      <w:r w:rsidRPr="001268E7">
        <w:rPr>
          <w:rFonts w:asciiTheme="minorHAnsi" w:hAnsiTheme="minorHAnsi" w:cs="Calibri"/>
          <w:sz w:val="24"/>
          <w:szCs w:val="24"/>
          <w:lang w:eastAsia="pl-PL"/>
        </w:rPr>
        <w:t>W każdym projekcie występować muszą beneficjenci z obszaru Rzeczpospolitej Polskiej i Federacji Rosyjskiej.</w:t>
      </w:r>
      <w:r w:rsidR="004B654C" w:rsidRPr="001268E7">
        <w:rPr>
          <w:rFonts w:asciiTheme="minorHAnsi" w:hAnsiTheme="minorHAnsi" w:cs="Calibri"/>
          <w:bCs/>
          <w:color w:val="000000"/>
          <w:sz w:val="24"/>
          <w:szCs w:val="24"/>
        </w:rPr>
        <w:t xml:space="preserve"> </w:t>
      </w:r>
    </w:p>
    <w:p w:rsidR="004B654C" w:rsidRPr="001268E7" w:rsidRDefault="00707E0D" w:rsidP="00707E0D">
      <w:pPr>
        <w:autoSpaceDE w:val="0"/>
        <w:autoSpaceDN w:val="0"/>
        <w:adjustRightInd w:val="0"/>
        <w:spacing w:before="100" w:beforeAutospacing="1" w:after="100" w:afterAutospacing="1" w:line="240" w:lineRule="auto"/>
        <w:jc w:val="both"/>
        <w:rPr>
          <w:rFonts w:asciiTheme="minorHAnsi" w:hAnsiTheme="minorHAnsi" w:cs="Calibri"/>
          <w:bCs/>
          <w:color w:val="000000"/>
          <w:sz w:val="24"/>
          <w:szCs w:val="24"/>
        </w:rPr>
      </w:pPr>
      <w:r w:rsidRPr="001268E7">
        <w:rPr>
          <w:rFonts w:asciiTheme="minorHAnsi" w:hAnsiTheme="minorHAnsi" w:cs="Calibri"/>
          <w:sz w:val="24"/>
          <w:szCs w:val="24"/>
          <w:lang w:eastAsia="pl-PL"/>
        </w:rPr>
        <w:t>Beneficjenci muszą spełniać następujące warunki kwalifikowalności:</w:t>
      </w:r>
      <w:r w:rsidR="004B654C" w:rsidRPr="001268E7">
        <w:rPr>
          <w:rFonts w:asciiTheme="minorHAnsi" w:hAnsiTheme="minorHAnsi" w:cs="Calibri"/>
          <w:bCs/>
          <w:color w:val="000000"/>
          <w:sz w:val="24"/>
          <w:szCs w:val="24"/>
        </w:rPr>
        <w:t xml:space="preserve"> </w:t>
      </w:r>
    </w:p>
    <w:p w:rsidR="00C9635B" w:rsidRPr="00C9635B" w:rsidRDefault="00707E0D" w:rsidP="00246345">
      <w:pPr>
        <w:numPr>
          <w:ilvl w:val="0"/>
          <w:numId w:val="79"/>
        </w:numPr>
        <w:autoSpaceDE w:val="0"/>
        <w:autoSpaceDN w:val="0"/>
        <w:adjustRightInd w:val="0"/>
        <w:spacing w:before="100" w:beforeAutospacing="1" w:after="100" w:afterAutospacing="1" w:line="240" w:lineRule="auto"/>
        <w:jc w:val="both"/>
        <w:rPr>
          <w:rFonts w:asciiTheme="minorHAnsi" w:hAnsiTheme="minorHAnsi" w:cs="Calibri"/>
          <w:vanish/>
          <w:color w:val="000000"/>
          <w:sz w:val="24"/>
          <w:szCs w:val="24"/>
        </w:rPr>
      </w:pPr>
      <w:r w:rsidRPr="001268E7">
        <w:rPr>
          <w:rFonts w:asciiTheme="minorHAnsi" w:hAnsiTheme="minorHAnsi" w:cs="Calibri"/>
          <w:sz w:val="24"/>
          <w:szCs w:val="24"/>
          <w:lang w:eastAsia="pl-PL"/>
        </w:rPr>
        <w:t>być osobami prawnym</w:t>
      </w:r>
      <w:r w:rsidR="00E53CE9">
        <w:rPr>
          <w:rFonts w:asciiTheme="minorHAnsi" w:hAnsiTheme="minorHAnsi" w:cs="Calibri"/>
          <w:sz w:val="24"/>
          <w:szCs w:val="24"/>
          <w:lang w:eastAsia="pl-PL"/>
        </w:rPr>
        <w:t>i</w:t>
      </w:r>
      <w:r w:rsidR="000478E8">
        <w:rPr>
          <w:rStyle w:val="Odwoanieprzypisudolnego"/>
          <w:rFonts w:asciiTheme="minorHAnsi" w:hAnsiTheme="minorHAnsi" w:cs="Calibri"/>
          <w:sz w:val="24"/>
          <w:szCs w:val="24"/>
          <w:lang w:eastAsia="pl-PL"/>
        </w:rPr>
        <w:footnoteReference w:id="4"/>
      </w:r>
      <w:r w:rsidRPr="001268E7">
        <w:rPr>
          <w:rFonts w:asciiTheme="minorHAnsi" w:hAnsiTheme="minorHAnsi" w:cs="Calibri"/>
          <w:sz w:val="24"/>
          <w:szCs w:val="24"/>
          <w:lang w:eastAsia="pl-PL"/>
        </w:rPr>
        <w:t xml:space="preserve"> posiadającymi siedzibę na obszarze objętym Programem lub organizacjami międzynarodowymi posiadającymi bazę </w:t>
      </w:r>
      <w:r w:rsidR="003310E4" w:rsidRPr="001268E7">
        <w:rPr>
          <w:rFonts w:asciiTheme="minorHAnsi" w:hAnsiTheme="minorHAnsi" w:cs="Calibri"/>
          <w:sz w:val="24"/>
          <w:szCs w:val="24"/>
          <w:lang w:eastAsia="pl-PL"/>
        </w:rPr>
        <w:t xml:space="preserve">operacyjną na obszarze </w:t>
      </w:r>
      <w:r w:rsidRPr="001268E7">
        <w:rPr>
          <w:rFonts w:asciiTheme="minorHAnsi" w:hAnsiTheme="minorHAnsi" w:cs="Calibri"/>
          <w:sz w:val="24"/>
          <w:szCs w:val="24"/>
          <w:lang w:eastAsia="pl-PL"/>
        </w:rPr>
        <w:t>Programu.</w:t>
      </w:r>
      <w:r w:rsidRPr="001268E7">
        <w:rPr>
          <w:rFonts w:asciiTheme="minorHAnsi" w:hAnsiTheme="minorHAnsi" w:cs="Calibri"/>
          <w:color w:val="000000"/>
          <w:sz w:val="24"/>
          <w:szCs w:val="24"/>
        </w:rPr>
        <w:t xml:space="preserve"> </w:t>
      </w:r>
      <w:r w:rsidRPr="001268E7">
        <w:rPr>
          <w:rFonts w:asciiTheme="minorHAnsi" w:hAnsiTheme="minorHAnsi" w:cs="Calibri"/>
          <w:sz w:val="24"/>
          <w:szCs w:val="24"/>
          <w:lang w:eastAsia="pl-PL"/>
        </w:rPr>
        <w:t>Europejskie ugrupowanie współpracy terytorialnej może być beneficjentem niezależnie od miejsca siedziby, pod warunkiem że jego zasięg geograficzny znajduje</w:t>
      </w:r>
      <w:r w:rsidR="003310E4" w:rsidRPr="001268E7">
        <w:rPr>
          <w:rFonts w:asciiTheme="minorHAnsi" w:hAnsiTheme="minorHAnsi" w:cs="Calibri"/>
          <w:sz w:val="24"/>
          <w:szCs w:val="24"/>
          <w:lang w:eastAsia="pl-PL"/>
        </w:rPr>
        <w:t xml:space="preserve"> się w obrębie obszaru </w:t>
      </w:r>
      <w:r w:rsidRPr="001268E7">
        <w:rPr>
          <w:rFonts w:asciiTheme="minorHAnsi" w:hAnsiTheme="minorHAnsi" w:cs="Calibri"/>
          <w:sz w:val="24"/>
          <w:szCs w:val="24"/>
          <w:lang w:eastAsia="pl-PL"/>
        </w:rPr>
        <w:t>Programu;</w:t>
      </w:r>
    </w:p>
    <w:p w:rsidR="00707E0D" w:rsidRDefault="00707E0D" w:rsidP="00C9635B">
      <w:p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color w:val="000000"/>
          <w:sz w:val="24"/>
          <w:szCs w:val="24"/>
        </w:rPr>
        <w:t xml:space="preserve"> </w:t>
      </w:r>
    </w:p>
    <w:p w:rsidR="00C9635B" w:rsidRPr="001268E7" w:rsidRDefault="00C9635B" w:rsidP="00C9635B">
      <w:pPr>
        <w:autoSpaceDE w:val="0"/>
        <w:autoSpaceDN w:val="0"/>
        <w:adjustRightInd w:val="0"/>
        <w:spacing w:before="100" w:beforeAutospacing="1" w:after="100" w:afterAutospacing="1" w:line="240" w:lineRule="auto"/>
        <w:jc w:val="both"/>
        <w:rPr>
          <w:rFonts w:asciiTheme="minorHAnsi" w:hAnsiTheme="minorHAnsi" w:cs="Calibri"/>
          <w:vanish/>
          <w:color w:val="000000"/>
          <w:sz w:val="24"/>
          <w:szCs w:val="24"/>
        </w:rPr>
      </w:pPr>
    </w:p>
    <w:p w:rsidR="00707E0D" w:rsidRPr="001268E7" w:rsidRDefault="00707E0D" w:rsidP="00246345">
      <w:pPr>
        <w:numPr>
          <w:ilvl w:val="0"/>
          <w:numId w:val="79"/>
        </w:numPr>
        <w:autoSpaceDE w:val="0"/>
        <w:autoSpaceDN w:val="0"/>
        <w:adjustRightInd w:val="0"/>
        <w:spacing w:before="100" w:beforeAutospacing="1" w:after="100" w:afterAutospacing="1" w:line="240" w:lineRule="auto"/>
        <w:jc w:val="both"/>
        <w:rPr>
          <w:rFonts w:asciiTheme="minorHAnsi" w:hAnsiTheme="minorHAnsi" w:cs="Calibri"/>
          <w:color w:val="000000"/>
          <w:sz w:val="24"/>
          <w:szCs w:val="24"/>
        </w:rPr>
      </w:pPr>
      <w:r w:rsidRPr="001268E7">
        <w:rPr>
          <w:rFonts w:asciiTheme="minorHAnsi" w:hAnsiTheme="minorHAnsi" w:cs="Calibri"/>
          <w:sz w:val="24"/>
          <w:szCs w:val="24"/>
          <w:lang w:eastAsia="pl-PL"/>
        </w:rPr>
        <w:t>muszą spełniać kryteria kwalifikowalności określone dla każdej procedury wyboru;</w:t>
      </w:r>
      <w:r w:rsidRPr="001268E7">
        <w:rPr>
          <w:rFonts w:asciiTheme="minorHAnsi" w:hAnsiTheme="minorHAnsi" w:cs="Calibri"/>
          <w:color w:val="000000"/>
          <w:sz w:val="24"/>
          <w:szCs w:val="24"/>
        </w:rPr>
        <w:t xml:space="preserve"> </w:t>
      </w:r>
    </w:p>
    <w:p w:rsidR="004B654C" w:rsidRPr="001268E7" w:rsidRDefault="00707E0D" w:rsidP="00707E0D">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Beneficjenci, którzy nie spełniają tych kryteriów, mogą uczestniczyć z zastrzeżeniem spełnienia następujących warunków:</w:t>
      </w:r>
      <w:r w:rsidR="004B654C" w:rsidRPr="001268E7">
        <w:rPr>
          <w:rFonts w:cs="Calibri"/>
          <w:bCs/>
          <w:color w:val="000000"/>
          <w:sz w:val="24"/>
          <w:szCs w:val="24"/>
        </w:rPr>
        <w:t xml:space="preserve"> </w:t>
      </w:r>
    </w:p>
    <w:p w:rsidR="00C9635B" w:rsidRPr="00C9635B" w:rsidRDefault="00C9635B" w:rsidP="00246345">
      <w:pPr>
        <w:numPr>
          <w:ilvl w:val="0"/>
          <w:numId w:val="80"/>
        </w:numPr>
        <w:autoSpaceDE w:val="0"/>
        <w:autoSpaceDN w:val="0"/>
        <w:adjustRightInd w:val="0"/>
        <w:spacing w:before="100" w:beforeAutospacing="1" w:after="100" w:afterAutospacing="1" w:line="240" w:lineRule="auto"/>
        <w:jc w:val="both"/>
        <w:rPr>
          <w:rFonts w:cs="Calibri"/>
          <w:color w:val="000000"/>
          <w:sz w:val="24"/>
          <w:szCs w:val="24"/>
        </w:rPr>
      </w:pPr>
      <w:r>
        <w:rPr>
          <w:rFonts w:cs="Calibri"/>
          <w:color w:val="000000"/>
          <w:sz w:val="24"/>
          <w:szCs w:val="24"/>
        </w:rPr>
        <w:t>mają siedzibę w Polsce lub w Rosji;</w:t>
      </w:r>
    </w:p>
    <w:p w:rsidR="00707E0D" w:rsidRPr="001268E7" w:rsidRDefault="00707E0D" w:rsidP="00246345">
      <w:pPr>
        <w:numPr>
          <w:ilvl w:val="0"/>
          <w:numId w:val="8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ich uczestnictwo jest uzas</w:t>
      </w:r>
      <w:r w:rsidR="003310E4" w:rsidRPr="001268E7">
        <w:rPr>
          <w:rFonts w:cs="Calibri"/>
          <w:sz w:val="24"/>
          <w:szCs w:val="24"/>
          <w:lang w:eastAsia="pl-PL"/>
        </w:rPr>
        <w:t>adnione rodzajem i celami</w:t>
      </w:r>
      <w:r w:rsidRPr="001268E7">
        <w:rPr>
          <w:rFonts w:cs="Calibri"/>
          <w:sz w:val="24"/>
          <w:szCs w:val="24"/>
          <w:lang w:eastAsia="pl-PL"/>
        </w:rPr>
        <w:t xml:space="preserve"> projektu i konieczne w celu jego skutecznego wdrożenia;</w:t>
      </w:r>
      <w:r w:rsidRPr="001268E7">
        <w:rPr>
          <w:rFonts w:cs="Calibri"/>
          <w:color w:val="000000"/>
          <w:sz w:val="24"/>
          <w:szCs w:val="24"/>
        </w:rPr>
        <w:t xml:space="preserve"> </w:t>
      </w:r>
    </w:p>
    <w:p w:rsidR="00707E0D" w:rsidRPr="001268E7" w:rsidRDefault="00707E0D" w:rsidP="00246345">
      <w:pPr>
        <w:numPr>
          <w:ilvl w:val="0"/>
          <w:numId w:val="8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całkowita kwota przydzielana w ramach Programu tego rodzaju beneficjentom nie przekracza 20% wartości współfinansowania Programu przez UE.</w:t>
      </w:r>
    </w:p>
    <w:p w:rsidR="004B654C" w:rsidRPr="001268E7" w:rsidRDefault="00707E0D" w:rsidP="00707E0D">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Osiągnięcie zysku w ramach projektu nie może być ani celem ani skutkiem dofinansowania.</w:t>
      </w:r>
      <w:r w:rsidR="004B654C" w:rsidRPr="001268E7">
        <w:rPr>
          <w:rFonts w:cs="Calibri"/>
          <w:bCs/>
          <w:color w:val="000000"/>
          <w:sz w:val="24"/>
          <w:szCs w:val="24"/>
        </w:rPr>
        <w:t xml:space="preserve"> </w:t>
      </w:r>
      <w:r w:rsidRPr="001268E7">
        <w:rPr>
          <w:rFonts w:cs="Calibri"/>
          <w:sz w:val="24"/>
          <w:szCs w:val="24"/>
          <w:lang w:eastAsia="pl-PL"/>
        </w:rPr>
        <w:t>Biorąc pod uwagę powyższe postanowienie, WKM może ustanowić dodatkowe kryteria kwalifikowalności dla beneficjentów w ramach Programu.</w:t>
      </w:r>
    </w:p>
    <w:p w:rsidR="004B654C" w:rsidRPr="001268E7" w:rsidRDefault="00707E0D" w:rsidP="00707E0D">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Beneficjent Wiodący</w:t>
      </w:r>
    </w:p>
    <w:p w:rsidR="004B654C" w:rsidRPr="001268E7" w:rsidRDefault="00707E0D" w:rsidP="00707E0D">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 ramach każdego projektu wyznaczony zostanie jeden Beneficjent Wiodący (BW), którego zadaniem będzie reprezentowanie partnerstwa.</w:t>
      </w:r>
      <w:r w:rsidR="004B654C" w:rsidRPr="001268E7">
        <w:rPr>
          <w:rFonts w:cs="Calibri"/>
          <w:bCs/>
          <w:color w:val="000000"/>
          <w:sz w:val="24"/>
          <w:szCs w:val="24"/>
        </w:rPr>
        <w:t xml:space="preserve"> </w:t>
      </w:r>
      <w:r w:rsidRPr="001268E7">
        <w:rPr>
          <w:rFonts w:cs="Calibri"/>
          <w:sz w:val="24"/>
          <w:szCs w:val="24"/>
          <w:lang w:eastAsia="pl-PL"/>
        </w:rPr>
        <w:t>Wszyscy beneficjenci aktywnie współpracują w zakresie opracowywania i wdrażania projektów.</w:t>
      </w:r>
      <w:r w:rsidR="004B654C" w:rsidRPr="001268E7">
        <w:rPr>
          <w:rFonts w:cs="Calibri"/>
          <w:bCs/>
          <w:color w:val="000000"/>
          <w:sz w:val="24"/>
          <w:szCs w:val="24"/>
        </w:rPr>
        <w:t xml:space="preserve"> </w:t>
      </w:r>
      <w:r w:rsidRPr="001268E7">
        <w:rPr>
          <w:rFonts w:cs="Calibri"/>
          <w:sz w:val="24"/>
          <w:szCs w:val="24"/>
          <w:lang w:eastAsia="pl-PL"/>
        </w:rPr>
        <w:t>Ponadto, współpracują w zakresie zapewnienia personelu i/lub finansowania projektów.</w:t>
      </w:r>
      <w:r w:rsidR="004B654C" w:rsidRPr="001268E7">
        <w:rPr>
          <w:rFonts w:cs="Calibri"/>
          <w:bCs/>
          <w:color w:val="000000"/>
          <w:sz w:val="24"/>
          <w:szCs w:val="24"/>
        </w:rPr>
        <w:t xml:space="preserve"> </w:t>
      </w:r>
      <w:r w:rsidRPr="001268E7">
        <w:rPr>
          <w:rFonts w:cs="Calibri"/>
          <w:sz w:val="24"/>
          <w:szCs w:val="24"/>
          <w:lang w:eastAsia="pl-PL"/>
        </w:rPr>
        <w:t>Każdy beneficjent ponosi odpowiedzialność prawną i finansową za realizowane przez siebie działania oraz za część otrzymanych funduszy unijnych.</w:t>
      </w:r>
      <w:r w:rsidR="004B654C" w:rsidRPr="001268E7">
        <w:rPr>
          <w:rFonts w:cs="Calibri"/>
          <w:bCs/>
          <w:color w:val="000000"/>
          <w:sz w:val="24"/>
          <w:szCs w:val="24"/>
        </w:rPr>
        <w:t xml:space="preserve"> </w:t>
      </w:r>
      <w:r w:rsidRPr="001268E7">
        <w:rPr>
          <w:rFonts w:cs="Calibri"/>
          <w:bCs/>
          <w:color w:val="000000"/>
          <w:sz w:val="24"/>
          <w:szCs w:val="24"/>
        </w:rPr>
        <w:t xml:space="preserve">Szczegółowe </w:t>
      </w:r>
      <w:r w:rsidRPr="001268E7">
        <w:rPr>
          <w:rFonts w:cs="Calibri"/>
          <w:sz w:val="24"/>
          <w:szCs w:val="24"/>
          <w:lang w:eastAsia="pl-PL"/>
        </w:rPr>
        <w:t>obowiązki oraz odpowiedzialność finansowa beneficjentów określane są w umowie partnerskiej.</w:t>
      </w:r>
    </w:p>
    <w:p w:rsidR="004B654C" w:rsidRPr="001268E7" w:rsidRDefault="00707E0D" w:rsidP="00707E0D">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BW:</w:t>
      </w:r>
      <w:r w:rsidR="004B654C" w:rsidRPr="001268E7">
        <w:rPr>
          <w:rFonts w:cs="Calibri"/>
          <w:bCs/>
          <w:color w:val="000000"/>
          <w:sz w:val="24"/>
          <w:szCs w:val="24"/>
        </w:rPr>
        <w:t xml:space="preserve"> </w:t>
      </w:r>
    </w:p>
    <w:p w:rsidR="00707E0D" w:rsidRPr="001268E7" w:rsidRDefault="00707E0D" w:rsidP="00246345">
      <w:pPr>
        <w:numPr>
          <w:ilvl w:val="0"/>
          <w:numId w:val="81"/>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otrzymuje wkład finansowy od IZ w celu realizacji działań dotyczących projektu;</w:t>
      </w:r>
      <w:r w:rsidRPr="001268E7">
        <w:rPr>
          <w:rFonts w:cs="Calibri"/>
          <w:color w:val="000000"/>
          <w:sz w:val="24"/>
          <w:szCs w:val="24"/>
        </w:rPr>
        <w:t xml:space="preserve"> </w:t>
      </w:r>
    </w:p>
    <w:p w:rsidR="00707E0D" w:rsidRPr="001268E7" w:rsidRDefault="00707E0D" w:rsidP="00246345">
      <w:pPr>
        <w:numPr>
          <w:ilvl w:val="0"/>
          <w:numId w:val="81"/>
        </w:numPr>
        <w:autoSpaceDE w:val="0"/>
        <w:autoSpaceDN w:val="0"/>
        <w:adjustRightInd w:val="0"/>
        <w:spacing w:before="100" w:beforeAutospacing="1" w:after="100" w:afterAutospacing="1" w:line="240" w:lineRule="auto"/>
        <w:jc w:val="both"/>
        <w:rPr>
          <w:rFonts w:cs="Calibri"/>
          <w:vanish/>
          <w:color w:val="000000"/>
          <w:sz w:val="24"/>
          <w:szCs w:val="24"/>
        </w:rPr>
      </w:pPr>
      <w:r w:rsidRPr="001268E7">
        <w:rPr>
          <w:rFonts w:cs="Calibri"/>
          <w:sz w:val="24"/>
          <w:szCs w:val="24"/>
          <w:lang w:eastAsia="pl-PL"/>
        </w:rPr>
        <w:t>dopilnowuje, aby beneficjenci otrzymali całkowitą kwotę dofinansowania możliwie jak najszybcie</w:t>
      </w:r>
      <w:r w:rsidR="003310E4" w:rsidRPr="001268E7">
        <w:rPr>
          <w:rFonts w:cs="Calibri"/>
          <w:sz w:val="24"/>
          <w:szCs w:val="24"/>
          <w:lang w:eastAsia="pl-PL"/>
        </w:rPr>
        <w:t xml:space="preserve">j i w całości w sposób </w:t>
      </w:r>
      <w:r w:rsidRPr="001268E7">
        <w:rPr>
          <w:rFonts w:cs="Calibri"/>
          <w:sz w:val="24"/>
          <w:szCs w:val="24"/>
          <w:lang w:eastAsia="pl-PL"/>
        </w:rPr>
        <w:t>zgodny z ustaleniami umowy partnerskiej.</w:t>
      </w:r>
      <w:r w:rsidRPr="001268E7">
        <w:rPr>
          <w:rFonts w:cs="Calibri"/>
          <w:color w:val="000000"/>
          <w:sz w:val="24"/>
          <w:szCs w:val="24"/>
        </w:rPr>
        <w:t xml:space="preserve"> </w:t>
      </w:r>
      <w:r w:rsidR="007E7997" w:rsidRPr="001268E7">
        <w:rPr>
          <w:rFonts w:cs="Calibri"/>
          <w:sz w:val="24"/>
          <w:szCs w:val="24"/>
          <w:lang w:eastAsia="pl-PL"/>
        </w:rPr>
        <w:t xml:space="preserve">Nie potrąca się ani nie wstrzymuje żadnych kwot ani też nie nakłada się żadnych opłat </w:t>
      </w:r>
      <w:r w:rsidR="007E7997" w:rsidRPr="001268E7">
        <w:rPr>
          <w:rFonts w:cs="Calibri"/>
          <w:sz w:val="24"/>
          <w:szCs w:val="24"/>
          <w:lang w:eastAsia="pl-PL"/>
        </w:rPr>
        <w:lastRenderedPageBreak/>
        <w:t>szczególnych o równoważnym skutku, które powodowałyby zmniejszenie kwot wypłacanych beneficjentom;</w:t>
      </w:r>
      <w:r w:rsidR="007E7997" w:rsidRPr="001268E7">
        <w:rPr>
          <w:rFonts w:cs="Calibri"/>
          <w:color w:val="000000"/>
          <w:sz w:val="24"/>
          <w:szCs w:val="24"/>
        </w:rPr>
        <w:t xml:space="preserve"> </w:t>
      </w:r>
    </w:p>
    <w:p w:rsidR="00E53CE9" w:rsidRPr="00E53CE9" w:rsidRDefault="00E53CE9" w:rsidP="00246345">
      <w:pPr>
        <w:numPr>
          <w:ilvl w:val="0"/>
          <w:numId w:val="81"/>
        </w:numPr>
        <w:autoSpaceDE w:val="0"/>
        <w:autoSpaceDN w:val="0"/>
        <w:adjustRightInd w:val="0"/>
        <w:spacing w:before="100" w:beforeAutospacing="1" w:after="100" w:afterAutospacing="1" w:line="240" w:lineRule="auto"/>
        <w:jc w:val="both"/>
        <w:rPr>
          <w:rFonts w:cs="Calibri"/>
          <w:color w:val="000000"/>
          <w:sz w:val="24"/>
          <w:szCs w:val="24"/>
        </w:rPr>
      </w:pPr>
    </w:p>
    <w:p w:rsidR="007E7997" w:rsidRPr="001268E7" w:rsidRDefault="007E7997" w:rsidP="00246345">
      <w:pPr>
        <w:numPr>
          <w:ilvl w:val="0"/>
          <w:numId w:val="81"/>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określa w umowie zawartej z beneficjentami postanowienia dotyczące partnerstwa gwarantujące, między innymi, należyte zarządzanie finansami w przypadku środków przydzielonych na projekt, w tym warunki odzyskania nienależnie wypłaconych kwot;</w:t>
      </w:r>
      <w:r w:rsidRPr="001268E7">
        <w:rPr>
          <w:rFonts w:cs="Calibri"/>
          <w:color w:val="000000"/>
          <w:sz w:val="24"/>
          <w:szCs w:val="24"/>
        </w:rPr>
        <w:t xml:space="preserve"> </w:t>
      </w:r>
    </w:p>
    <w:p w:rsidR="007E7997" w:rsidRPr="001268E7" w:rsidRDefault="007E7997" w:rsidP="00246345">
      <w:pPr>
        <w:numPr>
          <w:ilvl w:val="0"/>
          <w:numId w:val="81"/>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przyjmuje na siebie odpowiedzialność za zapewnienie wdrożenia całego projektu;</w:t>
      </w:r>
      <w:r w:rsidRPr="001268E7">
        <w:rPr>
          <w:rFonts w:cs="Calibri"/>
          <w:color w:val="000000"/>
          <w:sz w:val="24"/>
          <w:szCs w:val="24"/>
        </w:rPr>
        <w:t xml:space="preserve"> </w:t>
      </w:r>
    </w:p>
    <w:p w:rsidR="007E7997" w:rsidRPr="001268E7" w:rsidRDefault="007E7997" w:rsidP="00246345">
      <w:pPr>
        <w:numPr>
          <w:ilvl w:val="0"/>
          <w:numId w:val="81"/>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dopilnowuje, aby wydatki przedstawione przez beneficjentów zostały poniesione na wdrożenie projektu i odpowiadały działaniom określonym w umowie i uzgodnionym między wszystkimi beneficjentami;</w:t>
      </w:r>
      <w:r w:rsidRPr="001268E7">
        <w:rPr>
          <w:rFonts w:cs="Calibri"/>
          <w:color w:val="000000"/>
          <w:sz w:val="24"/>
          <w:szCs w:val="24"/>
        </w:rPr>
        <w:t xml:space="preserve"> </w:t>
      </w:r>
    </w:p>
    <w:p w:rsidR="007E7997" w:rsidRPr="001268E7" w:rsidRDefault="003310E4" w:rsidP="00246345">
      <w:pPr>
        <w:numPr>
          <w:ilvl w:val="0"/>
          <w:numId w:val="81"/>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sprawdza</w:t>
      </w:r>
      <w:r w:rsidR="007E7997" w:rsidRPr="001268E7">
        <w:rPr>
          <w:rFonts w:cs="Calibri"/>
          <w:sz w:val="24"/>
          <w:szCs w:val="24"/>
          <w:lang w:eastAsia="pl-PL"/>
        </w:rPr>
        <w:t xml:space="preserve"> czy wydatki przedstawione przez beneficjentów zostały zbadane.</w:t>
      </w:r>
    </w:p>
    <w:p w:rsidR="004B654C" w:rsidRPr="001268E7" w:rsidRDefault="007E7997" w:rsidP="007E7997">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BW pełnił będzie rolę jedynego bezpośredniego kontaktu pomiędzy projektem a organami zarządzającymi Programem.</w:t>
      </w:r>
      <w:r w:rsidR="004B654C" w:rsidRPr="001268E7">
        <w:rPr>
          <w:rFonts w:cs="Calibri"/>
          <w:bCs/>
          <w:color w:val="000000"/>
          <w:sz w:val="24"/>
          <w:szCs w:val="24"/>
        </w:rPr>
        <w:t xml:space="preserve"> </w:t>
      </w:r>
      <w:r w:rsidRPr="001268E7">
        <w:rPr>
          <w:rFonts w:cs="Calibri"/>
          <w:sz w:val="24"/>
          <w:szCs w:val="24"/>
          <w:lang w:eastAsia="pl-PL"/>
        </w:rPr>
        <w:t>BW odpowiada za stworzenie efektywnie działającego konsorcjum pozwalającego zapewnić właściwą i prawidłową realizację projektu.</w:t>
      </w:r>
      <w:r w:rsidR="004B654C" w:rsidRPr="001268E7">
        <w:rPr>
          <w:rFonts w:cs="Calibri"/>
          <w:bCs/>
          <w:color w:val="000000"/>
          <w:sz w:val="24"/>
          <w:szCs w:val="24"/>
        </w:rPr>
        <w:t xml:space="preserve"> </w:t>
      </w:r>
      <w:r w:rsidRPr="001268E7">
        <w:rPr>
          <w:rFonts w:cs="Calibri"/>
          <w:sz w:val="24"/>
          <w:szCs w:val="24"/>
          <w:lang w:eastAsia="pl-PL"/>
        </w:rPr>
        <w:t>Możliwość inicjowania projektów oraz działania w charakterze BW dostępne będą dla wszystkich organizacji spełniających kryteria kwalifikowalności.</w:t>
      </w:r>
      <w:r w:rsidR="004B654C" w:rsidRPr="001268E7">
        <w:rPr>
          <w:rFonts w:cs="Calibri"/>
          <w:bCs/>
          <w:color w:val="000000"/>
          <w:sz w:val="24"/>
          <w:szCs w:val="24"/>
        </w:rPr>
        <w:t xml:space="preserve"> </w:t>
      </w:r>
    </w:p>
    <w:p w:rsidR="004B654C" w:rsidRPr="001268E7" w:rsidRDefault="007E7997" w:rsidP="007E7997">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Warunki finansowania</w:t>
      </w:r>
    </w:p>
    <w:p w:rsidR="004B654C" w:rsidRPr="001268E7" w:rsidRDefault="007E7997" w:rsidP="007E7997">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Wykorzystując dokumentację dotyc</w:t>
      </w:r>
      <w:r w:rsidR="003310E4" w:rsidRPr="001268E7">
        <w:rPr>
          <w:rFonts w:cs="Calibri"/>
          <w:sz w:val="24"/>
          <w:szCs w:val="24"/>
          <w:lang w:eastAsia="pl-PL"/>
        </w:rPr>
        <w:t>zącą konkretnego ZSW</w:t>
      </w:r>
      <w:r w:rsidRPr="001268E7">
        <w:rPr>
          <w:rFonts w:cs="Calibri"/>
          <w:sz w:val="24"/>
          <w:szCs w:val="24"/>
          <w:lang w:eastAsia="pl-PL"/>
        </w:rPr>
        <w:t>, beneficjenci wspólnie przygotowywać będą i składać propozycje projektów do IZ za pośrednictwem WST.</w:t>
      </w:r>
      <w:r w:rsidR="004B654C" w:rsidRPr="001268E7">
        <w:rPr>
          <w:rFonts w:cs="Calibri"/>
          <w:bCs/>
          <w:color w:val="000000"/>
          <w:sz w:val="24"/>
          <w:szCs w:val="24"/>
        </w:rPr>
        <w:t xml:space="preserve"> </w:t>
      </w:r>
      <w:r w:rsidRPr="001268E7">
        <w:rPr>
          <w:rFonts w:cs="Calibri"/>
          <w:bCs/>
          <w:color w:val="000000"/>
          <w:sz w:val="24"/>
          <w:szCs w:val="24"/>
        </w:rPr>
        <w:t xml:space="preserve">Projekty mogą </w:t>
      </w:r>
      <w:r w:rsidRPr="001268E7">
        <w:rPr>
          <w:rFonts w:cs="Calibri"/>
          <w:sz w:val="24"/>
          <w:szCs w:val="24"/>
          <w:lang w:eastAsia="pl-PL"/>
        </w:rPr>
        <w:t>otrzymać wkład finansowy z Programu pod warunkiem spełnienia wszystkich następujących wymagań:</w:t>
      </w:r>
      <w:r w:rsidR="004B654C" w:rsidRPr="001268E7">
        <w:rPr>
          <w:rFonts w:cs="Calibri"/>
          <w:bCs/>
          <w:color w:val="000000"/>
          <w:sz w:val="24"/>
          <w:szCs w:val="24"/>
        </w:rPr>
        <w:t xml:space="preserve"> </w:t>
      </w:r>
    </w:p>
    <w:p w:rsidR="007E7997" w:rsidRPr="001268E7" w:rsidRDefault="007E7997" w:rsidP="00246345">
      <w:pPr>
        <w:numPr>
          <w:ilvl w:val="0"/>
          <w:numId w:val="82"/>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mają wyraźne oddziaływanie transgraniczne i zapewnią korzyści opisane w Dokume</w:t>
      </w:r>
      <w:r w:rsidR="003310E4" w:rsidRPr="001268E7">
        <w:rPr>
          <w:rFonts w:cs="Calibri"/>
          <w:sz w:val="24"/>
          <w:szCs w:val="24"/>
          <w:lang w:eastAsia="pl-PL"/>
        </w:rPr>
        <w:t>ncie Programowym oraz zapewnią</w:t>
      </w:r>
      <w:r w:rsidRPr="001268E7">
        <w:rPr>
          <w:rFonts w:cs="Calibri"/>
          <w:sz w:val="24"/>
          <w:szCs w:val="24"/>
          <w:lang w:eastAsia="pl-PL"/>
        </w:rPr>
        <w:t xml:space="preserve"> wartość dodaną dla strategii UE, Rosji i Polski;</w:t>
      </w:r>
      <w:r w:rsidRPr="001268E7">
        <w:rPr>
          <w:rFonts w:cs="Calibri"/>
          <w:color w:val="000000"/>
          <w:sz w:val="24"/>
          <w:szCs w:val="24"/>
        </w:rPr>
        <w:t xml:space="preserve"> </w:t>
      </w:r>
    </w:p>
    <w:p w:rsidR="007E7997" w:rsidRPr="001268E7" w:rsidRDefault="007E7997" w:rsidP="00246345">
      <w:pPr>
        <w:numPr>
          <w:ilvl w:val="0"/>
          <w:numId w:val="82"/>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są wdrażane w obszarze wsparcia Programu.</w:t>
      </w:r>
      <w:r w:rsidRPr="001268E7">
        <w:rPr>
          <w:rFonts w:cs="Calibri"/>
          <w:color w:val="000000"/>
          <w:sz w:val="24"/>
          <w:szCs w:val="24"/>
        </w:rPr>
        <w:t xml:space="preserve"> </w:t>
      </w:r>
    </w:p>
    <w:p w:rsidR="007E7997" w:rsidRPr="001268E7" w:rsidRDefault="007E7997" w:rsidP="00246345">
      <w:pPr>
        <w:numPr>
          <w:ilvl w:val="0"/>
          <w:numId w:val="82"/>
        </w:num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należą do jednej z kategorii:</w:t>
      </w:r>
      <w:r w:rsidRPr="001268E7">
        <w:rPr>
          <w:rFonts w:cs="Calibri"/>
          <w:bCs/>
          <w:color w:val="000000"/>
          <w:sz w:val="24"/>
          <w:szCs w:val="24"/>
        </w:rPr>
        <w:t xml:space="preserve"> </w:t>
      </w:r>
    </w:p>
    <w:p w:rsidR="007E7997" w:rsidRPr="001268E7" w:rsidRDefault="007E7997" w:rsidP="007E7997">
      <w:pPr>
        <w:numPr>
          <w:ilvl w:val="1"/>
          <w:numId w:val="1"/>
        </w:num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asciiTheme="minorHAnsi" w:hAnsiTheme="minorHAnsi" w:cs="Calibri,Bold"/>
          <w:bCs/>
          <w:sz w:val="24"/>
          <w:szCs w:val="24"/>
          <w:lang w:eastAsia="pl-PL"/>
        </w:rPr>
        <w:t>projekty zintegrowane</w:t>
      </w:r>
      <w:r w:rsidRPr="001268E7">
        <w:rPr>
          <w:rFonts w:asciiTheme="minorHAnsi" w:hAnsiTheme="minorHAnsi" w:cs="Calibri"/>
          <w:sz w:val="24"/>
          <w:szCs w:val="24"/>
          <w:lang w:eastAsia="pl-PL"/>
        </w:rPr>
        <w:t xml:space="preserve"> -</w:t>
      </w:r>
      <w:r w:rsidRPr="001268E7">
        <w:rPr>
          <w:rFonts w:cs="Calibri"/>
          <w:sz w:val="24"/>
          <w:szCs w:val="24"/>
          <w:lang w:eastAsia="pl-PL"/>
        </w:rPr>
        <w:t xml:space="preserve"> w których beneficjent realizuje na swoim terytorium część działań projektu;</w:t>
      </w:r>
      <w:r w:rsidRPr="001268E7">
        <w:rPr>
          <w:rFonts w:cs="Calibri"/>
          <w:bCs/>
          <w:color w:val="000000"/>
          <w:sz w:val="24"/>
          <w:szCs w:val="24"/>
        </w:rPr>
        <w:t xml:space="preserve"> </w:t>
      </w:r>
    </w:p>
    <w:p w:rsidR="007E7997" w:rsidRPr="001268E7" w:rsidRDefault="007E7997" w:rsidP="007E7997">
      <w:pPr>
        <w:numPr>
          <w:ilvl w:val="1"/>
          <w:numId w:val="1"/>
        </w:num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asciiTheme="minorHAnsi" w:hAnsiTheme="minorHAnsi" w:cs="Calibri,Bold"/>
          <w:bCs/>
          <w:sz w:val="24"/>
          <w:szCs w:val="24"/>
          <w:lang w:eastAsia="pl-PL"/>
        </w:rPr>
        <w:t>projekty symetryczne</w:t>
      </w:r>
      <w:r w:rsidRPr="001268E7">
        <w:rPr>
          <w:rFonts w:cs="Calibri"/>
          <w:sz w:val="24"/>
          <w:szCs w:val="24"/>
          <w:lang w:eastAsia="pl-PL"/>
        </w:rPr>
        <w:t xml:space="preserve"> - w których podobne działania są prowadzone równolegle w krajach uczestniczących,</w:t>
      </w:r>
      <w:r w:rsidRPr="001268E7">
        <w:rPr>
          <w:rFonts w:cs="Calibri"/>
          <w:bCs/>
          <w:color w:val="000000"/>
          <w:sz w:val="24"/>
          <w:szCs w:val="24"/>
        </w:rPr>
        <w:t xml:space="preserve"> </w:t>
      </w:r>
    </w:p>
    <w:p w:rsidR="007E7997" w:rsidRPr="001268E7" w:rsidRDefault="007E7997" w:rsidP="007E7997">
      <w:pPr>
        <w:numPr>
          <w:ilvl w:val="1"/>
          <w:numId w:val="1"/>
        </w:num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asciiTheme="minorHAnsi" w:hAnsiTheme="minorHAnsi" w:cs="Calibri,Bold"/>
          <w:bCs/>
          <w:sz w:val="24"/>
          <w:szCs w:val="24"/>
          <w:lang w:eastAsia="pl-PL"/>
        </w:rPr>
        <w:t>projekty obejmujące jeden kraj</w:t>
      </w:r>
      <w:r w:rsidRPr="001268E7">
        <w:rPr>
          <w:rFonts w:asciiTheme="minorHAnsi" w:hAnsiTheme="minorHAnsi" w:cs="Calibri"/>
          <w:sz w:val="24"/>
          <w:szCs w:val="24"/>
          <w:lang w:eastAsia="pl-PL"/>
        </w:rPr>
        <w:t xml:space="preserve"> -</w:t>
      </w:r>
      <w:r w:rsidRPr="001268E7">
        <w:rPr>
          <w:rFonts w:cs="Calibri"/>
          <w:sz w:val="24"/>
          <w:szCs w:val="24"/>
          <w:lang w:eastAsia="pl-PL"/>
        </w:rPr>
        <w:t xml:space="preserve"> które realizowane są głównie lub wyłącznie w jednym kraju uczestniczącym, lecz na korzyść wszystkich lub niektórych krajów uczestniczących i w przypadku których zidentyfikowane są transgraniczne oddziaływanie i korzyści.</w:t>
      </w:r>
      <w:r w:rsidRPr="001268E7">
        <w:rPr>
          <w:rFonts w:cs="Calibri"/>
          <w:bCs/>
          <w:color w:val="000000"/>
          <w:sz w:val="24"/>
          <w:szCs w:val="24"/>
        </w:rPr>
        <w:t xml:space="preserve"> </w:t>
      </w:r>
    </w:p>
    <w:p w:rsidR="004B654C" w:rsidRPr="001268E7" w:rsidRDefault="007E7997" w:rsidP="007E7997">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Projekty mogą być częściowo wdrażane poza obszarem objętym Programem, o ile spełnione są wszystkie następujące warunki:</w:t>
      </w:r>
      <w:r w:rsidR="004B654C" w:rsidRPr="001268E7">
        <w:rPr>
          <w:rFonts w:cs="Calibri"/>
          <w:bCs/>
          <w:color w:val="000000"/>
          <w:sz w:val="24"/>
          <w:szCs w:val="24"/>
        </w:rPr>
        <w:t xml:space="preserve"> </w:t>
      </w:r>
    </w:p>
    <w:p w:rsidR="007E7997" w:rsidRPr="001268E7" w:rsidRDefault="007E7997" w:rsidP="00246345">
      <w:pPr>
        <w:numPr>
          <w:ilvl w:val="0"/>
          <w:numId w:val="83"/>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projekty są niezbędne dla osiągnięcia celów Programu i przynoszą korzyści dla obszaru wsparcia Programu;</w:t>
      </w:r>
      <w:r w:rsidRPr="001268E7">
        <w:rPr>
          <w:rFonts w:cs="Calibri"/>
          <w:color w:val="000000"/>
          <w:sz w:val="24"/>
          <w:szCs w:val="24"/>
        </w:rPr>
        <w:t xml:space="preserve"> </w:t>
      </w:r>
    </w:p>
    <w:p w:rsidR="00002973" w:rsidRDefault="007E7997" w:rsidP="00246345">
      <w:pPr>
        <w:numPr>
          <w:ilvl w:val="0"/>
          <w:numId w:val="83"/>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łączna kwota wydana w ramach programu na działania poza obszarem Programu nie przekracza 10% wkładu Unii na poziomie programowym;</w:t>
      </w:r>
    </w:p>
    <w:p w:rsidR="004B654C" w:rsidRPr="00E53CE9" w:rsidRDefault="00A06DB7" w:rsidP="00246345">
      <w:pPr>
        <w:numPr>
          <w:ilvl w:val="0"/>
          <w:numId w:val="83"/>
        </w:numPr>
        <w:autoSpaceDE w:val="0"/>
        <w:autoSpaceDN w:val="0"/>
        <w:adjustRightInd w:val="0"/>
        <w:spacing w:before="100" w:beforeAutospacing="1" w:after="100" w:afterAutospacing="1" w:line="240" w:lineRule="auto"/>
        <w:jc w:val="both"/>
        <w:rPr>
          <w:rFonts w:cs="Calibri"/>
          <w:color w:val="000000"/>
          <w:sz w:val="24"/>
          <w:szCs w:val="24"/>
        </w:rPr>
      </w:pPr>
      <w:r w:rsidRPr="00E53CE9">
        <w:rPr>
          <w:rFonts w:cs="Calibri"/>
          <w:sz w:val="24"/>
          <w:szCs w:val="24"/>
          <w:lang w:eastAsia="pl-PL"/>
        </w:rPr>
        <w:lastRenderedPageBreak/>
        <w:t>obowiązki IZ i IA związane z zarządzaniem, kontrolą i audytem w odniesieniu do projektu są pełnione przez organy odpowiedzialne za Program lub poprzez umowy zawierane z organami w krajach, w których dane działania są realizowane.</w:t>
      </w:r>
      <w:r w:rsidR="004B654C" w:rsidRPr="00E53CE9">
        <w:rPr>
          <w:rFonts w:cs="Calibri"/>
          <w:color w:val="000000"/>
          <w:sz w:val="24"/>
          <w:szCs w:val="24"/>
        </w:rPr>
        <w:t xml:space="preserve"> </w:t>
      </w:r>
    </w:p>
    <w:p w:rsidR="004B654C" w:rsidRPr="001268E7" w:rsidRDefault="00A06DB7" w:rsidP="003F7BB5">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Wymóg dotyczący trwałości</w:t>
      </w:r>
    </w:p>
    <w:p w:rsidR="004B654C" w:rsidRPr="001268E7" w:rsidRDefault="00A06DB7" w:rsidP="00A06DB7">
      <w:pPr>
        <w:tabs>
          <w:tab w:val="left" w:pos="0"/>
        </w:tabs>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 xml:space="preserve">W przypadku każdego projektu zawierającego element infrastrukturalny dokonuje się zwrotu wkładu </w:t>
      </w:r>
      <w:r w:rsidR="008F2DE9">
        <w:rPr>
          <w:rFonts w:cs="Calibri"/>
          <w:sz w:val="24"/>
          <w:szCs w:val="24"/>
          <w:lang w:eastAsia="pl-PL"/>
        </w:rPr>
        <w:t>Programu</w:t>
      </w:r>
      <w:r w:rsidRPr="001268E7">
        <w:rPr>
          <w:rFonts w:cs="Calibri"/>
          <w:sz w:val="24"/>
          <w:szCs w:val="24"/>
          <w:lang w:eastAsia="pl-PL"/>
        </w:rPr>
        <w:t xml:space="preserve">, jeśli w okresie </w:t>
      </w:r>
      <w:r w:rsidRPr="001268E7">
        <w:rPr>
          <w:rFonts w:cs="Calibri"/>
          <w:b/>
          <w:sz w:val="24"/>
          <w:szCs w:val="24"/>
          <w:lang w:eastAsia="pl-PL"/>
        </w:rPr>
        <w:t>pięciu lat</w:t>
      </w:r>
      <w:r w:rsidRPr="001268E7">
        <w:rPr>
          <w:rFonts w:cs="Calibri"/>
          <w:sz w:val="24"/>
          <w:szCs w:val="24"/>
          <w:lang w:eastAsia="pl-PL"/>
        </w:rPr>
        <w:t xml:space="preserve"> od zakończenia projektu lub, w stosownych przypadkach, w okresie przewidzianym w przepisach dotyczących pomocy państwa nastąpiła istotna zmiana wpływająca na jego charakter, cele lub warunki realizacji, co mogłoby doprowadzić do naruszenia jego pierwotnych celów.</w:t>
      </w:r>
      <w:r w:rsidR="004B654C" w:rsidRPr="001268E7">
        <w:rPr>
          <w:rFonts w:cs="Calibri"/>
          <w:bCs/>
          <w:color w:val="000000"/>
          <w:sz w:val="24"/>
          <w:szCs w:val="24"/>
        </w:rPr>
        <w:t xml:space="preserve"> </w:t>
      </w:r>
      <w:r w:rsidRPr="001268E7">
        <w:rPr>
          <w:rFonts w:cs="Calibri"/>
          <w:sz w:val="24"/>
          <w:szCs w:val="24"/>
          <w:lang w:eastAsia="pl-PL"/>
        </w:rPr>
        <w:t>Kwoty nienależnie wypłacone w odniesieniu do takiego projektu są odzyskiwane przez IZ proporcjonalnie do okresu, za który wymaganie nie zostało spełnione.</w:t>
      </w:r>
      <w:r w:rsidR="004B654C" w:rsidRPr="001268E7">
        <w:rPr>
          <w:rFonts w:cs="Calibri"/>
          <w:bCs/>
          <w:color w:val="000000"/>
          <w:sz w:val="24"/>
          <w:szCs w:val="24"/>
        </w:rPr>
        <w:t xml:space="preserve"> </w:t>
      </w:r>
    </w:p>
    <w:p w:rsidR="004B654C" w:rsidRPr="001268E7" w:rsidRDefault="00A06DB7" w:rsidP="003F7BB5">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Kontraktowanie</w:t>
      </w:r>
      <w:r w:rsidR="004B654C" w:rsidRPr="001268E7">
        <w:rPr>
          <w:rFonts w:cs="Calibri"/>
          <w:b/>
          <w:i/>
          <w:sz w:val="24"/>
          <w:szCs w:val="24"/>
          <w:u w:val="single"/>
        </w:rPr>
        <w:t xml:space="preserve"> </w:t>
      </w:r>
    </w:p>
    <w:p w:rsidR="004B654C" w:rsidRPr="001268E7" w:rsidRDefault="00624B86" w:rsidP="00624B86">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 xml:space="preserve">Zgodnie z tym, co wskazano powyżej, co do zasady wsparcie dla projektów udzielane </w:t>
      </w:r>
      <w:r w:rsidRPr="001268E7">
        <w:rPr>
          <w:rFonts w:cs="Calibri"/>
          <w:sz w:val="24"/>
          <w:szCs w:val="24"/>
          <w:lang w:eastAsia="pl-PL"/>
        </w:rPr>
        <w:t>będzie w postaci dofinansowania udzielanego projektom wy</w:t>
      </w:r>
      <w:r w:rsidR="00D83967" w:rsidRPr="001268E7">
        <w:rPr>
          <w:rFonts w:cs="Calibri"/>
          <w:sz w:val="24"/>
          <w:szCs w:val="24"/>
          <w:lang w:eastAsia="pl-PL"/>
        </w:rPr>
        <w:t>branym w drodze ZSW</w:t>
      </w:r>
      <w:r w:rsidRPr="001268E7">
        <w:rPr>
          <w:rFonts w:cs="Calibri"/>
          <w:sz w:val="24"/>
          <w:szCs w:val="24"/>
          <w:lang w:eastAsia="pl-PL"/>
        </w:rPr>
        <w:t>.</w:t>
      </w:r>
      <w:r w:rsidR="004B654C" w:rsidRPr="001268E7">
        <w:rPr>
          <w:rFonts w:cs="Calibri"/>
          <w:bCs/>
          <w:color w:val="000000"/>
          <w:sz w:val="24"/>
          <w:szCs w:val="24"/>
        </w:rPr>
        <w:t xml:space="preserve"> </w:t>
      </w:r>
    </w:p>
    <w:p w:rsidR="004B654C" w:rsidRPr="001268E7" w:rsidRDefault="00624B86" w:rsidP="00624B86">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WST przygotowuje umowę o dofinansowanie wraz ze wszystkimi załącznikami dla wnioskodawców, których wnioski zostały wybrane, wykorzystując w tym celu wzór umowy o dofinansowanie zatwierdzony prze</w:t>
      </w:r>
      <w:r w:rsidR="00D83967" w:rsidRPr="001268E7">
        <w:rPr>
          <w:rFonts w:cs="Calibri"/>
          <w:sz w:val="24"/>
          <w:szCs w:val="24"/>
          <w:lang w:eastAsia="pl-PL"/>
        </w:rPr>
        <w:t>z WKM dla danego ZSW</w:t>
      </w:r>
      <w:r w:rsidRPr="001268E7">
        <w:rPr>
          <w:rFonts w:cs="Calibri"/>
          <w:sz w:val="24"/>
          <w:szCs w:val="24"/>
          <w:lang w:eastAsia="pl-PL"/>
        </w:rPr>
        <w:t>.</w:t>
      </w:r>
      <w:r w:rsidR="004B654C" w:rsidRPr="001268E7">
        <w:rPr>
          <w:rFonts w:cs="Calibri"/>
          <w:bCs/>
          <w:color w:val="000000"/>
          <w:sz w:val="24"/>
          <w:szCs w:val="24"/>
        </w:rPr>
        <w:t xml:space="preserve"> </w:t>
      </w:r>
      <w:r w:rsidR="00D83967" w:rsidRPr="001268E7">
        <w:rPr>
          <w:rFonts w:cs="Calibri"/>
          <w:sz w:val="24"/>
          <w:szCs w:val="24"/>
          <w:lang w:eastAsia="pl-PL"/>
        </w:rPr>
        <w:t xml:space="preserve">Prośby o wprowadzenie korekt, udzielenie wyjaśnień, </w:t>
      </w:r>
      <w:r w:rsidRPr="001268E7">
        <w:rPr>
          <w:rFonts w:cs="Calibri"/>
          <w:sz w:val="24"/>
          <w:szCs w:val="24"/>
          <w:lang w:eastAsia="pl-PL"/>
        </w:rPr>
        <w:t>wprowadzenie niewielkich zmian (będące częścią rekomendacji WKM) oraz dodatkowe dokumenty przekazywane będą wnioskodawcom, których wnioski zostały zaakceptowane, po zatwierdzeniu przez WKM Raportu z O</w:t>
      </w:r>
      <w:r w:rsidR="00D83967" w:rsidRPr="001268E7">
        <w:rPr>
          <w:rFonts w:cs="Calibri"/>
          <w:sz w:val="24"/>
          <w:szCs w:val="24"/>
          <w:lang w:eastAsia="pl-PL"/>
        </w:rPr>
        <w:t>ceny dla każdego ZSW</w:t>
      </w:r>
      <w:r w:rsidRPr="001268E7">
        <w:rPr>
          <w:rFonts w:cs="Calibri"/>
          <w:sz w:val="24"/>
          <w:szCs w:val="24"/>
          <w:lang w:eastAsia="pl-PL"/>
        </w:rPr>
        <w:t>.</w:t>
      </w:r>
      <w:r w:rsidR="004B654C" w:rsidRPr="001268E7">
        <w:rPr>
          <w:rFonts w:cs="Calibri"/>
          <w:bCs/>
          <w:color w:val="000000"/>
          <w:sz w:val="24"/>
          <w:szCs w:val="24"/>
        </w:rPr>
        <w:t xml:space="preserve"> </w:t>
      </w:r>
    </w:p>
    <w:p w:rsidR="004B654C" w:rsidRPr="001268E7" w:rsidRDefault="00624B86" w:rsidP="00624B86">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 xml:space="preserve">Po przygotowaniu </w:t>
      </w:r>
      <w:r w:rsidRPr="001268E7">
        <w:rPr>
          <w:rFonts w:cs="Calibri"/>
          <w:sz w:val="24"/>
          <w:szCs w:val="24"/>
          <w:lang w:eastAsia="pl-PL"/>
        </w:rPr>
        <w:t>i sprawdzeniu umowy wraz z załącznikami, zostaje ona podpisana przez IZ.</w:t>
      </w:r>
      <w:r w:rsidR="004B654C" w:rsidRPr="001268E7">
        <w:rPr>
          <w:rFonts w:cs="Calibri"/>
          <w:bCs/>
          <w:color w:val="000000"/>
          <w:sz w:val="24"/>
          <w:szCs w:val="24"/>
        </w:rPr>
        <w:t xml:space="preserve"> </w:t>
      </w:r>
    </w:p>
    <w:p w:rsidR="004B654C" w:rsidRDefault="00624B86" w:rsidP="00624B86">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Lista umów zawartych pomiędzy IZ a beneficjentami musi zostać opublikowana na stronie internetowej Programu.</w:t>
      </w:r>
      <w:r w:rsidR="004B654C" w:rsidRPr="001268E7">
        <w:rPr>
          <w:rFonts w:cs="Calibri"/>
          <w:bCs/>
          <w:color w:val="000000"/>
          <w:sz w:val="24"/>
          <w:szCs w:val="24"/>
        </w:rPr>
        <w:t xml:space="preserve"> </w:t>
      </w:r>
    </w:p>
    <w:p w:rsidR="00E53CE9" w:rsidRPr="00E53CE9" w:rsidRDefault="00E53CE9" w:rsidP="00624B86">
      <w:pPr>
        <w:autoSpaceDE w:val="0"/>
        <w:autoSpaceDN w:val="0"/>
        <w:adjustRightInd w:val="0"/>
        <w:spacing w:before="100" w:beforeAutospacing="1" w:after="100" w:afterAutospacing="1" w:line="240" w:lineRule="auto"/>
        <w:jc w:val="both"/>
        <w:rPr>
          <w:rStyle w:val="Wyrnieniedelikatne"/>
        </w:rPr>
      </w:pPr>
      <w:r w:rsidRPr="00E53CE9">
        <w:rPr>
          <w:rStyle w:val="Wyrnieniedelikatne"/>
        </w:rPr>
        <w:t>Zmiany w Umowie</w:t>
      </w:r>
      <w:r>
        <w:rPr>
          <w:rStyle w:val="Wyrnieniedelikatne"/>
        </w:rPr>
        <w:t xml:space="preserve"> Dotacji</w:t>
      </w:r>
    </w:p>
    <w:p w:rsidR="004B654C" w:rsidRPr="001268E7" w:rsidRDefault="004B6C1A" w:rsidP="007D6B56">
      <w:pPr>
        <w:autoSpaceDE w:val="0"/>
        <w:autoSpaceDN w:val="0"/>
        <w:adjustRightInd w:val="0"/>
        <w:spacing w:before="120" w:after="120" w:line="240" w:lineRule="auto"/>
        <w:jc w:val="both"/>
        <w:rPr>
          <w:sz w:val="24"/>
          <w:szCs w:val="24"/>
          <w:lang w:eastAsia="en-GB"/>
        </w:rPr>
      </w:pPr>
      <w:r w:rsidRPr="001268E7">
        <w:rPr>
          <w:sz w:val="24"/>
          <w:szCs w:val="24"/>
          <w:lang w:eastAsia="en-GB"/>
        </w:rPr>
        <w:t>Żadne zmiany</w:t>
      </w:r>
      <w:r w:rsidR="007D6B56" w:rsidRPr="001268E7">
        <w:rPr>
          <w:sz w:val="24"/>
          <w:szCs w:val="24"/>
          <w:lang w:eastAsia="en-GB"/>
        </w:rPr>
        <w:t xml:space="preserve"> w treści</w:t>
      </w:r>
      <w:r w:rsidRPr="001268E7">
        <w:rPr>
          <w:sz w:val="24"/>
          <w:szCs w:val="24"/>
          <w:lang w:eastAsia="en-GB"/>
        </w:rPr>
        <w:t xml:space="preserve"> umowy nie mo</w:t>
      </w:r>
      <w:r w:rsidR="007D6B56" w:rsidRPr="001268E7">
        <w:rPr>
          <w:sz w:val="24"/>
          <w:szCs w:val="24"/>
          <w:lang w:eastAsia="en-GB"/>
        </w:rPr>
        <w:t>gą skutkować zmianą</w:t>
      </w:r>
      <w:r w:rsidRPr="001268E7">
        <w:rPr>
          <w:sz w:val="24"/>
          <w:szCs w:val="24"/>
          <w:lang w:eastAsia="en-GB"/>
        </w:rPr>
        <w:t xml:space="preserve"> warunków u</w:t>
      </w:r>
      <w:r w:rsidR="007D6B56" w:rsidRPr="001268E7">
        <w:rPr>
          <w:sz w:val="24"/>
          <w:szCs w:val="24"/>
          <w:lang w:eastAsia="en-GB"/>
        </w:rPr>
        <w:t>dzielenia dofinasowania</w:t>
      </w:r>
      <w:r w:rsidRPr="001268E7">
        <w:rPr>
          <w:sz w:val="24"/>
          <w:szCs w:val="24"/>
          <w:lang w:eastAsia="en-GB"/>
        </w:rPr>
        <w:t xml:space="preserve"> obowiązujących w mom</w:t>
      </w:r>
      <w:r w:rsidR="007D6B56" w:rsidRPr="001268E7">
        <w:rPr>
          <w:sz w:val="24"/>
          <w:szCs w:val="24"/>
          <w:lang w:eastAsia="en-GB"/>
        </w:rPr>
        <w:t>encie zawarcia danej umowy</w:t>
      </w:r>
      <w:r w:rsidRPr="001268E7">
        <w:rPr>
          <w:sz w:val="24"/>
          <w:szCs w:val="24"/>
          <w:lang w:eastAsia="en-GB"/>
        </w:rPr>
        <w:t>.</w:t>
      </w:r>
      <w:r w:rsidR="004B654C" w:rsidRPr="001268E7">
        <w:rPr>
          <w:sz w:val="24"/>
          <w:szCs w:val="24"/>
          <w:lang w:eastAsia="en-GB"/>
        </w:rPr>
        <w:t xml:space="preserve"> </w:t>
      </w:r>
      <w:r w:rsidRPr="001268E7">
        <w:rPr>
          <w:sz w:val="24"/>
          <w:szCs w:val="24"/>
          <w:lang w:eastAsia="en-GB"/>
        </w:rPr>
        <w:t>Zmiany nie mogą być sprzeczne z zasadami równego traktowania projektów.</w:t>
      </w:r>
      <w:r w:rsidR="004B654C" w:rsidRPr="001268E7">
        <w:rPr>
          <w:sz w:val="24"/>
          <w:szCs w:val="24"/>
          <w:lang w:eastAsia="en-GB"/>
        </w:rPr>
        <w:t xml:space="preserve"> </w:t>
      </w:r>
      <w:r w:rsidRPr="001268E7">
        <w:rPr>
          <w:sz w:val="24"/>
          <w:szCs w:val="24"/>
          <w:lang w:eastAsia="en-GB"/>
        </w:rPr>
        <w:t xml:space="preserve">Znaczące zmiany w treści umowy muszą być wprowadzone w formie </w:t>
      </w:r>
      <w:r w:rsidR="007D6B56" w:rsidRPr="001268E7">
        <w:rPr>
          <w:sz w:val="24"/>
          <w:szCs w:val="24"/>
          <w:lang w:eastAsia="en-GB"/>
        </w:rPr>
        <w:t>aneksu</w:t>
      </w:r>
      <w:r w:rsidRPr="001268E7">
        <w:rPr>
          <w:sz w:val="24"/>
          <w:szCs w:val="24"/>
          <w:lang w:eastAsia="en-GB"/>
        </w:rPr>
        <w:t>.</w:t>
      </w:r>
      <w:r w:rsidR="004B654C" w:rsidRPr="001268E7">
        <w:rPr>
          <w:sz w:val="24"/>
          <w:szCs w:val="24"/>
          <w:lang w:eastAsia="en-GB"/>
        </w:rPr>
        <w:t xml:space="preserve"> </w:t>
      </w:r>
      <w:r w:rsidR="007D6B56" w:rsidRPr="001268E7">
        <w:rPr>
          <w:sz w:val="24"/>
          <w:szCs w:val="24"/>
          <w:lang w:eastAsia="en-GB"/>
        </w:rPr>
        <w:t>Aneks</w:t>
      </w:r>
      <w:r w:rsidRPr="001268E7">
        <w:rPr>
          <w:sz w:val="24"/>
          <w:szCs w:val="24"/>
          <w:lang w:eastAsia="en-GB"/>
        </w:rPr>
        <w:t xml:space="preserve"> musi </w:t>
      </w:r>
      <w:r w:rsidR="007D6B56" w:rsidRPr="001268E7">
        <w:rPr>
          <w:sz w:val="24"/>
          <w:szCs w:val="24"/>
          <w:lang w:eastAsia="en-GB"/>
        </w:rPr>
        <w:t>zostać</w:t>
      </w:r>
      <w:r w:rsidRPr="001268E7">
        <w:rPr>
          <w:sz w:val="24"/>
          <w:szCs w:val="24"/>
          <w:lang w:eastAsia="en-GB"/>
        </w:rPr>
        <w:t xml:space="preserve"> podpisany przez strony umowy.</w:t>
      </w:r>
    </w:p>
    <w:p w:rsidR="004B654C" w:rsidRPr="001268E7" w:rsidRDefault="007D6B56" w:rsidP="007D6B56">
      <w:pPr>
        <w:pStyle w:val="Nagwek2"/>
        <w:rPr>
          <w:rFonts w:cs="Calibri"/>
          <w:szCs w:val="28"/>
        </w:rPr>
      </w:pPr>
      <w:bookmarkStart w:id="52" w:name="_Toc530737586"/>
      <w:r w:rsidRPr="001268E7">
        <w:rPr>
          <w:rFonts w:cs="Calibri"/>
          <w:szCs w:val="28"/>
        </w:rPr>
        <w:t>4.4 Projekty wybrane w procedurze bezpośredniego udzielenia zamówienia</w:t>
      </w:r>
      <w:bookmarkEnd w:id="52"/>
      <w:r w:rsidR="004B654C" w:rsidRPr="001268E7">
        <w:rPr>
          <w:rFonts w:cs="Calibri"/>
          <w:szCs w:val="28"/>
        </w:rPr>
        <w:t xml:space="preserve"> </w:t>
      </w:r>
    </w:p>
    <w:p w:rsidR="004B654C" w:rsidRPr="001268E7" w:rsidRDefault="00910495" w:rsidP="00910495">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W ramach Programu Duże Projekty Infrastrukturalne (DPI) będą wybierane wyłącznie w procedurze bezpośredniego udzielenia zamówienia.</w:t>
      </w:r>
      <w:r w:rsidR="004B654C" w:rsidRPr="001268E7">
        <w:rPr>
          <w:rFonts w:cs="Calibri"/>
          <w:bCs/>
          <w:color w:val="000000"/>
          <w:sz w:val="24"/>
          <w:szCs w:val="24"/>
        </w:rPr>
        <w:t xml:space="preserve"> </w:t>
      </w:r>
      <w:r w:rsidRPr="001268E7">
        <w:rPr>
          <w:rFonts w:cs="Calibri"/>
          <w:bCs/>
          <w:color w:val="000000"/>
          <w:sz w:val="24"/>
          <w:szCs w:val="24"/>
        </w:rPr>
        <w:t>Procedura bezpośredniego udzielenia zamówienia w ramach Programu będzie dotyczyć wyłącznie DPI.</w:t>
      </w:r>
      <w:r w:rsidR="004B654C" w:rsidRPr="001268E7">
        <w:rPr>
          <w:rFonts w:cs="Calibri"/>
          <w:bCs/>
          <w:color w:val="000000"/>
          <w:sz w:val="24"/>
          <w:szCs w:val="24"/>
        </w:rPr>
        <w:t xml:space="preserve"> </w:t>
      </w:r>
      <w:r w:rsidRPr="001268E7">
        <w:rPr>
          <w:rFonts w:cs="Calibri"/>
          <w:sz w:val="24"/>
          <w:szCs w:val="24"/>
          <w:lang w:eastAsia="pl-PL"/>
        </w:rPr>
        <w:t xml:space="preserve">Duży Projekt Infrastrukturalny (DPI) oznacza projekt obejmujący roboty, działania lub usługi, które mają spełniać niepodzielną funkcję o konkretnym charakterze i jasno określonych celach będących przedmiotem wspólnego zainteresowania, aby realizować inwestycje przynoszące skutki i </w:t>
      </w:r>
      <w:r w:rsidRPr="001268E7">
        <w:rPr>
          <w:rFonts w:cs="Calibri"/>
          <w:sz w:val="24"/>
          <w:szCs w:val="24"/>
          <w:lang w:eastAsia="pl-PL"/>
        </w:rPr>
        <w:lastRenderedPageBreak/>
        <w:t>korzyści o charakterze transgranicznym i w przypadku których część budżetu wynosząca co najmniej 2,5 mln EUR jest przeznaczona na nabywanie infrastruktury.</w:t>
      </w:r>
    </w:p>
    <w:p w:rsidR="004B654C" w:rsidRPr="001268E7" w:rsidRDefault="00910495" w:rsidP="00910495">
      <w:pPr>
        <w:pStyle w:val="Akapitzlist1"/>
        <w:spacing w:before="100" w:beforeAutospacing="1" w:after="100" w:afterAutospacing="1" w:line="240" w:lineRule="auto"/>
        <w:ind w:left="0"/>
        <w:contextualSpacing w:val="0"/>
        <w:jc w:val="both"/>
        <w:rPr>
          <w:rFonts w:cs="Calibri"/>
          <w:sz w:val="24"/>
          <w:szCs w:val="24"/>
        </w:rPr>
      </w:pPr>
      <w:r w:rsidRPr="001268E7">
        <w:rPr>
          <w:rFonts w:cs="Calibri"/>
          <w:sz w:val="24"/>
          <w:szCs w:val="24"/>
        </w:rPr>
        <w:t>Współfinansowanie DPI jest możliwe we wszystkich celach tematycznych.</w:t>
      </w:r>
      <w:r w:rsidR="004B654C" w:rsidRPr="001268E7">
        <w:rPr>
          <w:rFonts w:cs="Calibri"/>
          <w:sz w:val="24"/>
          <w:szCs w:val="24"/>
        </w:rPr>
        <w:t xml:space="preserve"> </w:t>
      </w:r>
    </w:p>
    <w:p w:rsidR="004B654C" w:rsidRPr="001268E7" w:rsidRDefault="00910495" w:rsidP="00910495">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Inne projekty, w których nabycie infrastruktury przewyższa kwotę 2,5 mln EUR, nie będą wybieran</w:t>
      </w:r>
      <w:r w:rsidR="00D83967" w:rsidRPr="001268E7">
        <w:rPr>
          <w:rFonts w:cs="Calibri"/>
          <w:sz w:val="24"/>
          <w:szCs w:val="24"/>
        </w:rPr>
        <w:t>e w drodze</w:t>
      </w:r>
      <w:r w:rsidRPr="001268E7">
        <w:rPr>
          <w:rFonts w:cs="Calibri"/>
          <w:sz w:val="24"/>
          <w:szCs w:val="24"/>
        </w:rPr>
        <w:t xml:space="preserve"> zaproszenia do składania wniosków.</w:t>
      </w:r>
    </w:p>
    <w:p w:rsidR="004B654C" w:rsidRPr="001268E7" w:rsidRDefault="00910495" w:rsidP="00910495">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Projekty proponowane do wyboru bez zaproszenia do składania wniosków są zatwierdzane przez Komisję Europejską w ramach dwuetapowej procedury obejmującej złożenie streszczenia projektu, a następnie pełnego wniosku projektowego.</w:t>
      </w:r>
      <w:r w:rsidR="004B654C" w:rsidRPr="001268E7">
        <w:rPr>
          <w:rFonts w:cs="Calibri"/>
          <w:sz w:val="24"/>
          <w:szCs w:val="24"/>
        </w:rPr>
        <w:t xml:space="preserve"> </w:t>
      </w:r>
      <w:r w:rsidRPr="001268E7">
        <w:rPr>
          <w:rFonts w:cs="Calibri"/>
          <w:sz w:val="24"/>
          <w:szCs w:val="24"/>
          <w:lang w:eastAsia="pl-PL"/>
        </w:rPr>
        <w:t>Na każdym etapie Komisja Europejska powiadamia Instytucję Zarządzającą (IZ) o swojej decyzji w terminie dwóch miesięcy od daty złożenia dokumentu.</w:t>
      </w:r>
      <w:r w:rsidR="004B654C" w:rsidRPr="001268E7">
        <w:rPr>
          <w:rFonts w:cs="Calibri"/>
          <w:sz w:val="24"/>
          <w:szCs w:val="24"/>
        </w:rPr>
        <w:t xml:space="preserve"> </w:t>
      </w:r>
      <w:r w:rsidRPr="001268E7">
        <w:rPr>
          <w:rFonts w:cs="Calibri"/>
          <w:sz w:val="24"/>
          <w:szCs w:val="24"/>
          <w:lang w:eastAsia="pl-PL"/>
        </w:rPr>
        <w:t>W razie konieczności termin ten może zostać przedłużony.</w:t>
      </w:r>
      <w:r w:rsidR="004B654C" w:rsidRPr="001268E7">
        <w:rPr>
          <w:rFonts w:cs="Calibri"/>
          <w:sz w:val="24"/>
          <w:szCs w:val="24"/>
        </w:rPr>
        <w:t xml:space="preserve"> </w:t>
      </w:r>
      <w:r w:rsidRPr="001268E7">
        <w:rPr>
          <w:rFonts w:cs="Calibri"/>
          <w:sz w:val="24"/>
          <w:szCs w:val="24"/>
          <w:lang w:eastAsia="pl-PL"/>
        </w:rPr>
        <w:t>Jeśli Komisja Europejska odrzuca proponowany projekt, powiadamia IZ o przyczynach swojej decyzji.</w:t>
      </w:r>
      <w:r w:rsidR="004B654C" w:rsidRPr="001268E7">
        <w:rPr>
          <w:rFonts w:cs="Calibri"/>
          <w:sz w:val="24"/>
          <w:szCs w:val="24"/>
        </w:rPr>
        <w:t xml:space="preserve"> </w:t>
      </w:r>
    </w:p>
    <w:p w:rsidR="004B654C" w:rsidRPr="001268E7" w:rsidRDefault="00910495" w:rsidP="00910495">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DPI, które mają być finansowane w ramach Programu, zostały wybrane i uzgodnione przez WKP.</w:t>
      </w:r>
      <w:r w:rsidR="004B654C" w:rsidRPr="001268E7">
        <w:rPr>
          <w:rFonts w:cs="Calibri"/>
          <w:sz w:val="24"/>
          <w:szCs w:val="24"/>
        </w:rPr>
        <w:t xml:space="preserve"> </w:t>
      </w:r>
      <w:r w:rsidR="00D402C4" w:rsidRPr="001268E7">
        <w:rPr>
          <w:rFonts w:cs="Calibri"/>
          <w:sz w:val="24"/>
          <w:szCs w:val="24"/>
        </w:rPr>
        <w:t>Żadne inne projekty nie mogą zostać</w:t>
      </w:r>
      <w:r w:rsidRPr="001268E7">
        <w:rPr>
          <w:rFonts w:cs="Calibri"/>
          <w:sz w:val="24"/>
          <w:szCs w:val="24"/>
        </w:rPr>
        <w:t xml:space="preserve"> wybrane w drodze procedury bezpośredniej.</w:t>
      </w:r>
      <w:r w:rsidR="004B654C" w:rsidRPr="001268E7">
        <w:rPr>
          <w:rFonts w:cs="Calibri"/>
          <w:sz w:val="24"/>
          <w:szCs w:val="24"/>
        </w:rPr>
        <w:t xml:space="preserve"> </w:t>
      </w:r>
      <w:r w:rsidRPr="001268E7">
        <w:rPr>
          <w:rFonts w:cs="Calibri"/>
          <w:sz w:val="24"/>
          <w:szCs w:val="24"/>
        </w:rPr>
        <w:t>Lista proponowanych DPI znajduje się poniżej:</w:t>
      </w:r>
    </w:p>
    <w:p w:rsidR="008A63B2" w:rsidRPr="001268E7" w:rsidRDefault="00910495" w:rsidP="00910495">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Lista Dużych Projektów Infrastrukturalnych:</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7686"/>
      </w:tblGrid>
      <w:tr w:rsidR="00B902B9" w:rsidRPr="001268E7" w:rsidTr="00DE4D40">
        <w:tc>
          <w:tcPr>
            <w:tcW w:w="1889" w:type="dxa"/>
            <w:shd w:val="clear" w:color="auto" w:fill="auto"/>
            <w:vAlign w:val="center"/>
          </w:tcPr>
          <w:p w:rsidR="00B902B9" w:rsidRPr="001268E7" w:rsidRDefault="00910495"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Cel Tematyczny</w:t>
            </w:r>
          </w:p>
        </w:tc>
        <w:tc>
          <w:tcPr>
            <w:tcW w:w="7686" w:type="dxa"/>
            <w:shd w:val="clear" w:color="auto" w:fill="auto"/>
            <w:vAlign w:val="center"/>
          </w:tcPr>
          <w:p w:rsidR="00B902B9" w:rsidRPr="001268E7" w:rsidRDefault="00910495"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3 - Promocja kultury lokalnej i zachowanie dziedzictwa historycznego</w:t>
            </w:r>
          </w:p>
        </w:tc>
      </w:tr>
      <w:tr w:rsidR="00B902B9" w:rsidRPr="001268E7" w:rsidTr="00DE4D40">
        <w:tc>
          <w:tcPr>
            <w:tcW w:w="1889" w:type="dxa"/>
            <w:shd w:val="clear" w:color="auto" w:fill="auto"/>
            <w:vAlign w:val="center"/>
          </w:tcPr>
          <w:p w:rsidR="00B902B9" w:rsidRPr="001268E7" w:rsidRDefault="00910495"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Tytuł</w:t>
            </w:r>
          </w:p>
        </w:tc>
        <w:tc>
          <w:tcPr>
            <w:tcW w:w="7686" w:type="dxa"/>
            <w:shd w:val="clear" w:color="auto" w:fill="auto"/>
            <w:vAlign w:val="center"/>
          </w:tcPr>
          <w:p w:rsidR="00B902B9" w:rsidRPr="001268E7" w:rsidRDefault="00910495"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Rozwój potencjału turystyczno-rekreacyjnego oraz turystyki wodnej w </w:t>
            </w:r>
            <w:r w:rsidR="00234E23" w:rsidRPr="001268E7">
              <w:rPr>
                <w:rFonts w:cs="Calibri"/>
                <w:sz w:val="20"/>
                <w:szCs w:val="20"/>
                <w:lang w:eastAsia="pl-PL"/>
              </w:rPr>
              <w:t xml:space="preserve">miastach </w:t>
            </w:r>
            <w:r w:rsidRPr="001268E7">
              <w:rPr>
                <w:rFonts w:cs="Calibri"/>
                <w:sz w:val="20"/>
                <w:szCs w:val="20"/>
                <w:lang w:eastAsia="pl-PL"/>
              </w:rPr>
              <w:t>Swietłyj i Malborku (Etap 2)</w:t>
            </w:r>
          </w:p>
        </w:tc>
      </w:tr>
      <w:tr w:rsidR="00B902B9" w:rsidRPr="001268E7" w:rsidTr="00DE4D40">
        <w:tc>
          <w:tcPr>
            <w:tcW w:w="1889" w:type="dxa"/>
            <w:shd w:val="clear" w:color="auto" w:fill="auto"/>
            <w:vAlign w:val="center"/>
          </w:tcPr>
          <w:p w:rsidR="00B902B9" w:rsidRPr="001268E7" w:rsidRDefault="00910495"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Beneficjent</w:t>
            </w:r>
            <w:r w:rsidR="00382621">
              <w:rPr>
                <w:rFonts w:cs="Calibri"/>
                <w:b/>
                <w:sz w:val="20"/>
                <w:szCs w:val="20"/>
                <w:lang w:eastAsia="pl-PL"/>
              </w:rPr>
              <w:t xml:space="preserve"> Wiodący</w:t>
            </w:r>
          </w:p>
        </w:tc>
        <w:tc>
          <w:tcPr>
            <w:tcW w:w="7686" w:type="dxa"/>
            <w:shd w:val="clear" w:color="auto" w:fill="auto"/>
            <w:vAlign w:val="center"/>
          </w:tcPr>
          <w:p w:rsidR="00B902B9" w:rsidRPr="001268E7" w:rsidRDefault="00F209C4"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Administracja</w:t>
            </w:r>
            <w:r w:rsidR="00910495" w:rsidRPr="001268E7">
              <w:rPr>
                <w:rFonts w:cs="Calibri"/>
                <w:sz w:val="20"/>
                <w:szCs w:val="20"/>
                <w:lang w:eastAsia="pl-PL"/>
              </w:rPr>
              <w:t xml:space="preserve"> "Dystryktu Miejskiego Swietłyj"</w:t>
            </w:r>
            <w:r w:rsidR="00B902B9" w:rsidRPr="001268E7">
              <w:rPr>
                <w:rFonts w:cs="Calibri"/>
                <w:sz w:val="20"/>
                <w:szCs w:val="20"/>
                <w:lang w:eastAsia="pl-PL"/>
              </w:rPr>
              <w:t xml:space="preserve"> </w:t>
            </w:r>
          </w:p>
        </w:tc>
      </w:tr>
      <w:tr w:rsidR="00B902B9" w:rsidRPr="001268E7" w:rsidTr="00DE4D40">
        <w:tc>
          <w:tcPr>
            <w:tcW w:w="1889" w:type="dxa"/>
            <w:shd w:val="clear" w:color="auto" w:fill="auto"/>
            <w:vAlign w:val="center"/>
          </w:tcPr>
          <w:p w:rsidR="00B902B9" w:rsidRPr="001268E7" w:rsidRDefault="00917EAF" w:rsidP="00925386">
            <w:pPr>
              <w:autoSpaceDE w:val="0"/>
              <w:autoSpaceDN w:val="0"/>
              <w:adjustRightInd w:val="0"/>
              <w:spacing w:after="0" w:line="240" w:lineRule="auto"/>
              <w:rPr>
                <w:rFonts w:cs="Calibri"/>
                <w:b/>
                <w:sz w:val="20"/>
                <w:szCs w:val="20"/>
                <w:lang w:eastAsia="pl-PL"/>
              </w:rPr>
            </w:pPr>
            <w:r>
              <w:rPr>
                <w:rFonts w:cs="Calibri"/>
                <w:b/>
                <w:sz w:val="20"/>
                <w:szCs w:val="20"/>
                <w:lang w:eastAsia="pl-PL"/>
              </w:rPr>
              <w:t>Pozostali B</w:t>
            </w:r>
            <w:r w:rsidR="00382621">
              <w:rPr>
                <w:rFonts w:cs="Calibri"/>
                <w:b/>
                <w:sz w:val="20"/>
                <w:szCs w:val="20"/>
                <w:lang w:eastAsia="pl-PL"/>
              </w:rPr>
              <w:t>eneficjenci</w:t>
            </w:r>
          </w:p>
        </w:tc>
        <w:tc>
          <w:tcPr>
            <w:tcW w:w="7686" w:type="dxa"/>
            <w:shd w:val="clear" w:color="auto" w:fill="auto"/>
            <w:vAlign w:val="center"/>
          </w:tcPr>
          <w:p w:rsidR="00B902B9" w:rsidRPr="001268E7" w:rsidRDefault="003F3D33"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Gmina m</w:t>
            </w:r>
            <w:r w:rsidR="00910495" w:rsidRPr="001268E7">
              <w:rPr>
                <w:rFonts w:cs="Calibri"/>
                <w:sz w:val="20"/>
                <w:szCs w:val="20"/>
                <w:lang w:eastAsia="pl-PL"/>
              </w:rPr>
              <w:t>iejska Malbork</w:t>
            </w:r>
          </w:p>
        </w:tc>
      </w:tr>
      <w:tr w:rsidR="00B902B9" w:rsidRPr="001268E7" w:rsidTr="00DE4D40">
        <w:tc>
          <w:tcPr>
            <w:tcW w:w="1889" w:type="dxa"/>
            <w:shd w:val="clear" w:color="auto" w:fill="auto"/>
            <w:vAlign w:val="center"/>
          </w:tcPr>
          <w:p w:rsidR="00B902B9" w:rsidRPr="001268E7" w:rsidRDefault="00910495"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Całkowity budżet projektu</w:t>
            </w:r>
          </w:p>
        </w:tc>
        <w:tc>
          <w:tcPr>
            <w:tcW w:w="7686" w:type="dxa"/>
            <w:shd w:val="clear" w:color="auto" w:fill="auto"/>
            <w:vAlign w:val="center"/>
          </w:tcPr>
          <w:p w:rsidR="00B902B9" w:rsidRPr="001268E7" w:rsidRDefault="00910495"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5 117 838,46 EUR</w:t>
            </w:r>
          </w:p>
        </w:tc>
      </w:tr>
      <w:tr w:rsidR="00B902B9" w:rsidRPr="001268E7" w:rsidTr="00DE4D40">
        <w:tc>
          <w:tcPr>
            <w:tcW w:w="1889" w:type="dxa"/>
            <w:shd w:val="clear" w:color="auto" w:fill="auto"/>
            <w:vAlign w:val="center"/>
          </w:tcPr>
          <w:p w:rsidR="00B902B9" w:rsidRPr="001268E7" w:rsidRDefault="0068098C"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Kwota dotacji</w:t>
            </w:r>
          </w:p>
        </w:tc>
        <w:tc>
          <w:tcPr>
            <w:tcW w:w="7686" w:type="dxa"/>
            <w:shd w:val="clear" w:color="auto" w:fill="auto"/>
            <w:vAlign w:val="center"/>
          </w:tcPr>
          <w:p w:rsidR="00B902B9" w:rsidRPr="001268E7" w:rsidRDefault="0068098C"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4 606 054,61 EUR</w:t>
            </w:r>
          </w:p>
        </w:tc>
      </w:tr>
      <w:tr w:rsidR="00B902B9" w:rsidRPr="001268E7" w:rsidTr="00DE4D40">
        <w:tc>
          <w:tcPr>
            <w:tcW w:w="1889" w:type="dxa"/>
            <w:shd w:val="clear" w:color="auto" w:fill="auto"/>
            <w:vAlign w:val="center"/>
          </w:tcPr>
          <w:p w:rsidR="00B902B9" w:rsidRPr="001268E7" w:rsidRDefault="001F4C65"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Kwota elementu</w:t>
            </w:r>
            <w:r w:rsidR="0068098C" w:rsidRPr="001268E7">
              <w:rPr>
                <w:rFonts w:cs="Calibri"/>
                <w:b/>
                <w:sz w:val="20"/>
                <w:szCs w:val="20"/>
                <w:lang w:eastAsia="pl-PL"/>
              </w:rPr>
              <w:t xml:space="preserve"> infrastrukturalnego</w:t>
            </w:r>
          </w:p>
        </w:tc>
        <w:tc>
          <w:tcPr>
            <w:tcW w:w="7686" w:type="dxa"/>
            <w:shd w:val="clear" w:color="auto" w:fill="auto"/>
            <w:vAlign w:val="center"/>
          </w:tcPr>
          <w:p w:rsidR="00B902B9" w:rsidRPr="001268E7" w:rsidRDefault="0068098C"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4 793 503,08 EUR</w:t>
            </w:r>
          </w:p>
        </w:tc>
      </w:tr>
      <w:tr w:rsidR="00B902B9" w:rsidRPr="001268E7" w:rsidTr="00DE4D40">
        <w:tc>
          <w:tcPr>
            <w:tcW w:w="1889" w:type="dxa"/>
            <w:shd w:val="clear" w:color="auto" w:fill="auto"/>
            <w:vAlign w:val="center"/>
          </w:tcPr>
          <w:p w:rsidR="00B902B9" w:rsidRPr="001268E7" w:rsidRDefault="0068098C"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Okres trwania projektu</w:t>
            </w:r>
          </w:p>
        </w:tc>
        <w:tc>
          <w:tcPr>
            <w:tcW w:w="7686" w:type="dxa"/>
            <w:shd w:val="clear" w:color="auto" w:fill="auto"/>
            <w:vAlign w:val="center"/>
          </w:tcPr>
          <w:p w:rsidR="00B902B9" w:rsidRPr="001268E7" w:rsidRDefault="0068098C" w:rsidP="00382621">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36 miesięcy (</w:t>
            </w:r>
            <w:r w:rsidR="00382621">
              <w:rPr>
                <w:rFonts w:cs="Calibri"/>
                <w:sz w:val="20"/>
                <w:szCs w:val="20"/>
                <w:lang w:eastAsia="pl-PL"/>
              </w:rPr>
              <w:t>01.06.</w:t>
            </w:r>
            <w:r w:rsidRPr="001268E7">
              <w:rPr>
                <w:rFonts w:cs="Calibri"/>
                <w:sz w:val="20"/>
                <w:szCs w:val="20"/>
                <w:lang w:eastAsia="pl-PL"/>
              </w:rPr>
              <w:t xml:space="preserve">2017 </w:t>
            </w:r>
            <w:r w:rsidR="00382621">
              <w:rPr>
                <w:rFonts w:cs="Calibri"/>
                <w:sz w:val="20"/>
                <w:szCs w:val="20"/>
                <w:lang w:eastAsia="pl-PL"/>
              </w:rPr>
              <w:t>–</w:t>
            </w:r>
            <w:r w:rsidRPr="001268E7">
              <w:rPr>
                <w:rFonts w:cs="Calibri"/>
                <w:sz w:val="20"/>
                <w:szCs w:val="20"/>
                <w:lang w:eastAsia="pl-PL"/>
              </w:rPr>
              <w:t xml:space="preserve"> </w:t>
            </w:r>
            <w:r w:rsidR="00382621">
              <w:rPr>
                <w:rFonts w:cs="Calibri"/>
                <w:sz w:val="20"/>
                <w:szCs w:val="20"/>
                <w:lang w:eastAsia="pl-PL"/>
              </w:rPr>
              <w:t>01.06.</w:t>
            </w:r>
            <w:r w:rsidRPr="001268E7">
              <w:rPr>
                <w:rFonts w:cs="Calibri"/>
                <w:sz w:val="20"/>
                <w:szCs w:val="20"/>
                <w:lang w:eastAsia="pl-PL"/>
              </w:rPr>
              <w:t>20</w:t>
            </w:r>
            <w:r w:rsidR="00382621">
              <w:rPr>
                <w:rFonts w:cs="Calibri"/>
                <w:sz w:val="20"/>
                <w:szCs w:val="20"/>
                <w:lang w:eastAsia="pl-PL"/>
              </w:rPr>
              <w:t>20</w:t>
            </w:r>
            <w:r w:rsidRPr="001268E7">
              <w:rPr>
                <w:rFonts w:cs="Calibri"/>
                <w:sz w:val="20"/>
                <w:szCs w:val="20"/>
                <w:lang w:eastAsia="pl-PL"/>
              </w:rPr>
              <w:t>)</w:t>
            </w:r>
          </w:p>
        </w:tc>
      </w:tr>
      <w:tr w:rsidR="00B902B9" w:rsidRPr="001268E7" w:rsidTr="00DE4D40">
        <w:tc>
          <w:tcPr>
            <w:tcW w:w="1889" w:type="dxa"/>
            <w:shd w:val="clear" w:color="auto" w:fill="auto"/>
            <w:vAlign w:val="center"/>
          </w:tcPr>
          <w:p w:rsidR="00B902B9" w:rsidRPr="001268E7" w:rsidRDefault="0068098C"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Zakres projektu</w:t>
            </w:r>
          </w:p>
        </w:tc>
        <w:tc>
          <w:tcPr>
            <w:tcW w:w="7686" w:type="dxa"/>
            <w:shd w:val="clear" w:color="auto" w:fill="auto"/>
            <w:vAlign w:val="center"/>
          </w:tcPr>
          <w:p w:rsidR="00B902B9" w:rsidRPr="001268E7" w:rsidRDefault="0068098C" w:rsidP="00DE4D40">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Śródlądowe drogi wodne regionu kaliningradzkiego </w:t>
            </w:r>
            <w:r w:rsidR="00234E23" w:rsidRPr="001268E7">
              <w:rPr>
                <w:rFonts w:cs="Calibri"/>
                <w:sz w:val="20"/>
                <w:szCs w:val="20"/>
                <w:lang w:eastAsia="pl-PL"/>
              </w:rPr>
              <w:t>i polskiego województwa pomorskiego</w:t>
            </w:r>
            <w:r w:rsidRPr="001268E7">
              <w:rPr>
                <w:rFonts w:cs="Calibri"/>
                <w:sz w:val="20"/>
                <w:szCs w:val="20"/>
                <w:lang w:eastAsia="pl-PL"/>
              </w:rPr>
              <w:t xml:space="preserve"> są częścią międzynarodowej drogi wodnej "E-70", która przechodzi przez</w:t>
            </w:r>
            <w:r w:rsidR="00234E23" w:rsidRPr="001268E7">
              <w:rPr>
                <w:rFonts w:cs="Calibri"/>
                <w:sz w:val="20"/>
                <w:szCs w:val="20"/>
                <w:lang w:eastAsia="pl-PL"/>
              </w:rPr>
              <w:t xml:space="preserve"> dużą część Europy Centralnej, z</w:t>
            </w:r>
            <w:r w:rsidRPr="001268E7">
              <w:rPr>
                <w:rFonts w:cs="Calibri"/>
                <w:sz w:val="20"/>
                <w:szCs w:val="20"/>
                <w:lang w:eastAsia="pl-PL"/>
              </w:rPr>
              <w:t xml:space="preserve"> Antwerpii do Kłajpedy.</w:t>
            </w:r>
            <w:r w:rsidR="00B902B9" w:rsidRPr="001268E7">
              <w:rPr>
                <w:rFonts w:cs="Calibri"/>
                <w:sz w:val="20"/>
                <w:szCs w:val="20"/>
                <w:lang w:eastAsia="pl-PL"/>
              </w:rPr>
              <w:t xml:space="preserve"> </w:t>
            </w:r>
            <w:r w:rsidRPr="001268E7">
              <w:rPr>
                <w:rFonts w:cs="Calibri"/>
                <w:sz w:val="20"/>
                <w:szCs w:val="20"/>
                <w:lang w:eastAsia="pl-PL"/>
              </w:rPr>
              <w:t>Miasta Swietłyj i Malbork znajdują się na trasie międzynarodowej drogi wodnej E70 (</w:t>
            </w:r>
            <w:r w:rsidR="00DE4D40" w:rsidRPr="001268E7">
              <w:rPr>
                <w:rFonts w:cs="Calibri"/>
                <w:sz w:val="20"/>
                <w:szCs w:val="20"/>
                <w:lang w:eastAsia="pl-PL"/>
              </w:rPr>
              <w:t xml:space="preserve">Kaliningradzki </w:t>
            </w:r>
            <w:r w:rsidRPr="001268E7">
              <w:rPr>
                <w:rFonts w:cs="Calibri"/>
                <w:sz w:val="20"/>
                <w:szCs w:val="20"/>
                <w:lang w:eastAsia="pl-PL"/>
              </w:rPr>
              <w:t xml:space="preserve">Kanał </w:t>
            </w:r>
            <w:r w:rsidR="00DE4D40" w:rsidRPr="001268E7">
              <w:rPr>
                <w:rFonts w:cs="Calibri"/>
                <w:sz w:val="20"/>
                <w:szCs w:val="20"/>
                <w:lang w:eastAsia="pl-PL"/>
              </w:rPr>
              <w:t>Morski i rzeka Nogat), która przyczynia się do rozwoju turystyki wodnej.</w:t>
            </w:r>
          </w:p>
          <w:p w:rsidR="00B902B9" w:rsidRPr="001268E7" w:rsidRDefault="00DE4D40" w:rsidP="00DE4D40">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Problem tkwi w </w:t>
            </w:r>
            <w:r w:rsidR="00D402C4" w:rsidRPr="001268E7">
              <w:rPr>
                <w:rFonts w:cs="Calibri"/>
                <w:sz w:val="20"/>
                <w:szCs w:val="20"/>
                <w:lang w:eastAsia="pl-PL"/>
              </w:rPr>
              <w:t>tym, że infrastruktura turystyki</w:t>
            </w:r>
            <w:r w:rsidRPr="001268E7">
              <w:rPr>
                <w:rFonts w:cs="Calibri"/>
                <w:sz w:val="20"/>
                <w:szCs w:val="20"/>
                <w:lang w:eastAsia="pl-PL"/>
              </w:rPr>
              <w:t xml:space="preserve"> wodnej w mieście Swietłyj nie została jeszcze rozwinięta.</w:t>
            </w:r>
            <w:r w:rsidR="00B902B9" w:rsidRPr="001268E7">
              <w:rPr>
                <w:rFonts w:cs="Calibri"/>
                <w:sz w:val="20"/>
                <w:szCs w:val="20"/>
                <w:lang w:eastAsia="pl-PL"/>
              </w:rPr>
              <w:t xml:space="preserve"> </w:t>
            </w:r>
            <w:r w:rsidRPr="001268E7">
              <w:rPr>
                <w:rFonts w:cs="Calibri"/>
                <w:sz w:val="20"/>
                <w:szCs w:val="20"/>
                <w:lang w:eastAsia="pl-PL"/>
              </w:rPr>
              <w:t xml:space="preserve">Aby rozwiązać problem w mieście Swietłyj, konieczna jest </w:t>
            </w:r>
            <w:r w:rsidR="00234E23" w:rsidRPr="001268E7">
              <w:rPr>
                <w:rFonts w:cs="Calibri"/>
                <w:sz w:val="20"/>
                <w:szCs w:val="20"/>
                <w:lang w:eastAsia="pl-PL"/>
              </w:rPr>
              <w:t xml:space="preserve">przede wszystkim </w:t>
            </w:r>
            <w:r w:rsidRPr="001268E7">
              <w:rPr>
                <w:rFonts w:cs="Calibri"/>
                <w:sz w:val="20"/>
                <w:szCs w:val="20"/>
                <w:lang w:eastAsia="pl-PL"/>
              </w:rPr>
              <w:t>budowa nadbrze</w:t>
            </w:r>
            <w:r w:rsidR="00234E23" w:rsidRPr="001268E7">
              <w:rPr>
                <w:rFonts w:cs="Calibri"/>
                <w:sz w:val="20"/>
                <w:szCs w:val="20"/>
                <w:lang w:eastAsia="pl-PL"/>
              </w:rPr>
              <w:t>żnych konstrukcji oraz zagospodarowanie</w:t>
            </w:r>
            <w:r w:rsidRPr="001268E7">
              <w:rPr>
                <w:rFonts w:cs="Calibri"/>
                <w:sz w:val="20"/>
                <w:szCs w:val="20"/>
                <w:lang w:eastAsia="pl-PL"/>
              </w:rPr>
              <w:t xml:space="preserve"> przyległego terytorium na potrzeby turystyczne.</w:t>
            </w:r>
          </w:p>
          <w:p w:rsidR="00B902B9" w:rsidRPr="001268E7" w:rsidRDefault="00234E23" w:rsidP="00DE4D40">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Podobny problem istnieje</w:t>
            </w:r>
            <w:r w:rsidR="00DE4D40" w:rsidRPr="001268E7">
              <w:rPr>
                <w:rFonts w:cs="Calibri"/>
                <w:sz w:val="20"/>
                <w:szCs w:val="20"/>
                <w:lang w:eastAsia="pl-PL"/>
              </w:rPr>
              <w:t xml:space="preserve"> w Malborku.</w:t>
            </w:r>
            <w:r w:rsidR="00B902B9" w:rsidRPr="001268E7">
              <w:rPr>
                <w:rFonts w:cs="Calibri"/>
                <w:sz w:val="20"/>
                <w:szCs w:val="20"/>
                <w:lang w:eastAsia="pl-PL"/>
              </w:rPr>
              <w:t xml:space="preserve"> </w:t>
            </w:r>
            <w:r w:rsidRPr="001268E7">
              <w:rPr>
                <w:rFonts w:cs="Calibri"/>
                <w:sz w:val="20"/>
                <w:szCs w:val="20"/>
                <w:lang w:eastAsia="pl-PL"/>
              </w:rPr>
              <w:t>Miasto Malbork planuje zagospodarowanie</w:t>
            </w:r>
            <w:r w:rsidR="00DE4D40" w:rsidRPr="001268E7">
              <w:rPr>
                <w:rFonts w:cs="Calibri"/>
                <w:sz w:val="20"/>
                <w:szCs w:val="20"/>
                <w:lang w:eastAsia="pl-PL"/>
              </w:rPr>
              <w:t xml:space="preserve"> obszaru w pobliżu rzeki Nogat: bulwary, park miejski, ściany zabytkowe wzdłuż rzeki Nogat.</w:t>
            </w:r>
            <w:r w:rsidR="00B902B9" w:rsidRPr="001268E7">
              <w:rPr>
                <w:rFonts w:cs="Calibri"/>
                <w:sz w:val="20"/>
                <w:szCs w:val="20"/>
                <w:lang w:eastAsia="pl-PL"/>
              </w:rPr>
              <w:t xml:space="preserve"> </w:t>
            </w:r>
          </w:p>
          <w:p w:rsidR="00B902B9" w:rsidRDefault="00DE4D40" w:rsidP="00DE4D40">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Dokumentacja techniczna bulwarów została przygotowana w pierwszej edycji programu.</w:t>
            </w:r>
            <w:r w:rsidR="00B902B9" w:rsidRPr="001268E7">
              <w:rPr>
                <w:rFonts w:cs="Calibri"/>
                <w:sz w:val="20"/>
                <w:szCs w:val="20"/>
                <w:lang w:eastAsia="pl-PL"/>
              </w:rPr>
              <w:t xml:space="preserve"> </w:t>
            </w:r>
            <w:r w:rsidRPr="001268E7">
              <w:rPr>
                <w:rFonts w:cs="Calibri"/>
                <w:sz w:val="20"/>
                <w:szCs w:val="20"/>
                <w:lang w:eastAsia="pl-PL"/>
              </w:rPr>
              <w:t xml:space="preserve">Obydwa miasta </w:t>
            </w:r>
            <w:r w:rsidR="00180161">
              <w:rPr>
                <w:rFonts w:cs="Calibri"/>
                <w:sz w:val="20"/>
                <w:szCs w:val="20"/>
                <w:lang w:eastAsia="pl-PL"/>
              </w:rPr>
              <w:t xml:space="preserve">będą </w:t>
            </w:r>
            <w:r w:rsidRPr="001268E7">
              <w:rPr>
                <w:rFonts w:cs="Calibri"/>
                <w:sz w:val="20"/>
                <w:szCs w:val="20"/>
                <w:lang w:eastAsia="pl-PL"/>
              </w:rPr>
              <w:t>kontynu</w:t>
            </w:r>
            <w:r w:rsidR="00180161">
              <w:rPr>
                <w:rFonts w:cs="Calibri"/>
                <w:sz w:val="20"/>
                <w:szCs w:val="20"/>
                <w:lang w:eastAsia="pl-PL"/>
              </w:rPr>
              <w:t>łować</w:t>
            </w:r>
            <w:r w:rsidRPr="001268E7">
              <w:rPr>
                <w:rFonts w:cs="Calibri"/>
                <w:sz w:val="20"/>
                <w:szCs w:val="20"/>
                <w:lang w:eastAsia="pl-PL"/>
              </w:rPr>
              <w:t xml:space="preserve"> prace rozpoczęte w ramach Programu Współpracy Transgranicznej EISP Litwa-Polska-Rosja 2007-2013.</w:t>
            </w:r>
          </w:p>
          <w:p w:rsidR="00180161" w:rsidRDefault="00180161" w:rsidP="00DE4D40">
            <w:pPr>
              <w:autoSpaceDE w:val="0"/>
              <w:autoSpaceDN w:val="0"/>
              <w:adjustRightInd w:val="0"/>
              <w:spacing w:after="0" w:line="240" w:lineRule="auto"/>
              <w:jc w:val="both"/>
              <w:rPr>
                <w:rFonts w:cs="Calibri"/>
                <w:sz w:val="20"/>
                <w:szCs w:val="20"/>
                <w:lang w:eastAsia="pl-PL"/>
              </w:rPr>
            </w:pPr>
          </w:p>
          <w:p w:rsidR="00180161" w:rsidRPr="0083464D" w:rsidRDefault="00180161" w:rsidP="00DE4D40">
            <w:pPr>
              <w:autoSpaceDE w:val="0"/>
              <w:autoSpaceDN w:val="0"/>
              <w:adjustRightInd w:val="0"/>
              <w:spacing w:after="0" w:line="240" w:lineRule="auto"/>
              <w:jc w:val="both"/>
              <w:rPr>
                <w:rFonts w:cs="Calibri"/>
                <w:b/>
                <w:sz w:val="20"/>
                <w:szCs w:val="20"/>
                <w:lang w:eastAsia="pl-PL"/>
              </w:rPr>
            </w:pPr>
            <w:r w:rsidRPr="0083464D">
              <w:rPr>
                <w:rFonts w:cs="Calibri"/>
                <w:b/>
                <w:sz w:val="20"/>
                <w:szCs w:val="20"/>
                <w:lang w:eastAsia="pl-PL"/>
              </w:rPr>
              <w:t>Cel projektu:</w:t>
            </w:r>
          </w:p>
          <w:p w:rsidR="00E53CE9" w:rsidRPr="001268E7" w:rsidRDefault="00180161" w:rsidP="00E53CE9">
            <w:pPr>
              <w:autoSpaceDE w:val="0"/>
              <w:autoSpaceDN w:val="0"/>
              <w:adjustRightInd w:val="0"/>
              <w:spacing w:after="0" w:line="240" w:lineRule="auto"/>
              <w:contextualSpacing/>
              <w:jc w:val="both"/>
              <w:rPr>
                <w:rFonts w:cs="Calibri"/>
                <w:sz w:val="20"/>
                <w:szCs w:val="20"/>
                <w:lang w:eastAsia="pl-PL"/>
              </w:rPr>
            </w:pPr>
            <w:r>
              <w:rPr>
                <w:rFonts w:cs="Calibri"/>
                <w:sz w:val="20"/>
                <w:szCs w:val="20"/>
                <w:lang w:eastAsia="pl-PL"/>
              </w:rPr>
              <w:lastRenderedPageBreak/>
              <w:t>Głównym celem projektu jest rozwinięcie turystyki wodnej pomiędzy Obwodem Kaliningradzkim i Województwem Pomorskim jako część międzynarodowej drogi wodnej E70. Będzie to osiągnięte poprzez konstrukcję struktur nabrzeża oraz rozwój przyległych terytoriów</w:t>
            </w:r>
            <w:r w:rsidR="00E53CE9">
              <w:rPr>
                <w:rFonts w:cs="Calibri"/>
                <w:sz w:val="20"/>
                <w:szCs w:val="20"/>
                <w:lang w:eastAsia="pl-PL"/>
              </w:rPr>
              <w:t xml:space="preserve">. </w:t>
            </w:r>
            <w:r w:rsidR="00E53CE9" w:rsidRPr="001268E7">
              <w:rPr>
                <w:rFonts w:cs="Calibri"/>
                <w:sz w:val="20"/>
                <w:szCs w:val="20"/>
                <w:lang w:eastAsia="pl-PL"/>
              </w:rPr>
              <w:t>Rozpowszechnienie turystyki wodnej niewątpliwie przyczyni się do wzmocnienia wzajemnych kontaktów pomiędzy miastem Swietłyj a Malborkiem oraz transgranicznej współpracy pomiędzy Polską a Federacją Rosyjską.</w:t>
            </w:r>
            <w:r w:rsidR="00E53CE9">
              <w:rPr>
                <w:rFonts w:cs="Calibri"/>
                <w:sz w:val="20"/>
                <w:szCs w:val="20"/>
                <w:lang w:eastAsia="pl-PL"/>
              </w:rPr>
              <w:t xml:space="preserve"> </w:t>
            </w:r>
            <w:r w:rsidR="00E53CE9" w:rsidRPr="001268E7">
              <w:rPr>
                <w:rFonts w:cs="Calibri"/>
                <w:sz w:val="20"/>
                <w:szCs w:val="20"/>
                <w:lang w:eastAsia="pl-PL"/>
              </w:rPr>
              <w:t>Malbork kładzie nacisk na modernizację publicznej przestrzeni walorów miasta, dziedzictwo kulturowe oraz historyczne, jak również zwraca uwagę na położenie miasta przy rzece Nogat.</w:t>
            </w:r>
          </w:p>
          <w:p w:rsidR="00B902B9" w:rsidRPr="001268E7" w:rsidRDefault="00B902B9" w:rsidP="00E53CE9">
            <w:pPr>
              <w:autoSpaceDE w:val="0"/>
              <w:autoSpaceDN w:val="0"/>
              <w:adjustRightInd w:val="0"/>
              <w:spacing w:after="0" w:line="240" w:lineRule="auto"/>
              <w:contextualSpacing/>
              <w:jc w:val="both"/>
              <w:rPr>
                <w:rFonts w:cs="Calibri"/>
                <w:sz w:val="20"/>
                <w:szCs w:val="20"/>
                <w:lang w:eastAsia="pl-PL"/>
              </w:rPr>
            </w:pPr>
          </w:p>
          <w:p w:rsidR="00B902B9" w:rsidRPr="001268E7" w:rsidRDefault="00B902B9" w:rsidP="00180F2F">
            <w:pPr>
              <w:autoSpaceDE w:val="0"/>
              <w:autoSpaceDN w:val="0"/>
              <w:adjustRightInd w:val="0"/>
              <w:spacing w:after="0" w:line="240" w:lineRule="auto"/>
              <w:jc w:val="both"/>
              <w:rPr>
                <w:rFonts w:cs="Calibri"/>
                <w:sz w:val="20"/>
                <w:szCs w:val="20"/>
                <w:lang w:eastAsia="pl-PL"/>
              </w:rPr>
            </w:pPr>
          </w:p>
          <w:p w:rsidR="00B902B9" w:rsidRPr="001268E7" w:rsidRDefault="00DE4D40" w:rsidP="00DE4D40">
            <w:pPr>
              <w:autoSpaceDE w:val="0"/>
              <w:autoSpaceDN w:val="0"/>
              <w:adjustRightInd w:val="0"/>
              <w:spacing w:after="0" w:line="240" w:lineRule="auto"/>
              <w:jc w:val="both"/>
              <w:rPr>
                <w:rFonts w:cs="Calibri"/>
                <w:sz w:val="20"/>
                <w:szCs w:val="20"/>
                <w:lang w:eastAsia="pl-PL"/>
              </w:rPr>
            </w:pPr>
            <w:r w:rsidRPr="0083464D">
              <w:rPr>
                <w:rFonts w:cs="Calibri"/>
                <w:b/>
                <w:sz w:val="20"/>
                <w:szCs w:val="20"/>
                <w:lang w:eastAsia="pl-PL"/>
              </w:rPr>
              <w:t>Planowane działania</w:t>
            </w:r>
            <w:r w:rsidRPr="001268E7">
              <w:rPr>
                <w:rFonts w:cs="Calibri"/>
                <w:sz w:val="20"/>
                <w:szCs w:val="20"/>
                <w:lang w:eastAsia="pl-PL"/>
              </w:rPr>
              <w:t>:</w:t>
            </w:r>
          </w:p>
          <w:p w:rsidR="00DE4D40" w:rsidRPr="001268E7" w:rsidRDefault="00DE4D40" w:rsidP="00C62170">
            <w:pPr>
              <w:numPr>
                <w:ilvl w:val="0"/>
                <w:numId w:val="12"/>
              </w:numPr>
              <w:autoSpaceDE w:val="0"/>
              <w:autoSpaceDN w:val="0"/>
              <w:adjustRightInd w:val="0"/>
              <w:spacing w:after="0" w:line="240" w:lineRule="auto"/>
              <w:ind w:left="379"/>
              <w:jc w:val="both"/>
              <w:rPr>
                <w:rFonts w:cs="Calibri"/>
                <w:sz w:val="20"/>
                <w:szCs w:val="20"/>
                <w:lang w:eastAsia="pl-PL"/>
              </w:rPr>
            </w:pPr>
            <w:r w:rsidRPr="001268E7">
              <w:rPr>
                <w:rFonts w:cs="Calibri"/>
                <w:sz w:val="20"/>
                <w:szCs w:val="20"/>
                <w:lang w:eastAsia="pl-PL"/>
              </w:rPr>
              <w:t>Prace w zakresie budowy przybrzeżnych konstrukcji na Kaliningradzk</w:t>
            </w:r>
            <w:r w:rsidR="00234E23" w:rsidRPr="001268E7">
              <w:rPr>
                <w:rFonts w:cs="Calibri"/>
                <w:sz w:val="20"/>
                <w:szCs w:val="20"/>
                <w:lang w:eastAsia="pl-PL"/>
              </w:rPr>
              <w:t>im Kanale Morskim oraz zagospodarowania</w:t>
            </w:r>
            <w:r w:rsidRPr="001268E7">
              <w:rPr>
                <w:rFonts w:cs="Calibri"/>
                <w:sz w:val="20"/>
                <w:szCs w:val="20"/>
                <w:lang w:eastAsia="pl-PL"/>
              </w:rPr>
              <w:t xml:space="preserve"> przyległego terytorium na potrzeby turystyczne w </w:t>
            </w:r>
            <w:r w:rsidR="00234E23" w:rsidRPr="001268E7">
              <w:rPr>
                <w:rFonts w:cs="Calibri"/>
                <w:sz w:val="20"/>
                <w:szCs w:val="20"/>
                <w:lang w:eastAsia="pl-PL"/>
              </w:rPr>
              <w:t xml:space="preserve">mieście </w:t>
            </w:r>
            <w:r w:rsidRPr="001268E7">
              <w:rPr>
                <w:rFonts w:cs="Calibri"/>
                <w:sz w:val="20"/>
                <w:szCs w:val="20"/>
                <w:lang w:eastAsia="pl-PL"/>
              </w:rPr>
              <w:t>Swietłyj;</w:t>
            </w:r>
          </w:p>
          <w:p w:rsidR="00DE4D40" w:rsidRPr="001268E7" w:rsidRDefault="000778ED" w:rsidP="00C62170">
            <w:pPr>
              <w:numPr>
                <w:ilvl w:val="0"/>
                <w:numId w:val="12"/>
              </w:numPr>
              <w:autoSpaceDE w:val="0"/>
              <w:autoSpaceDN w:val="0"/>
              <w:adjustRightInd w:val="0"/>
              <w:spacing w:after="0" w:line="240" w:lineRule="auto"/>
              <w:ind w:left="379"/>
              <w:jc w:val="both"/>
              <w:rPr>
                <w:rFonts w:cs="Calibri"/>
                <w:sz w:val="20"/>
                <w:szCs w:val="20"/>
                <w:lang w:eastAsia="pl-PL"/>
              </w:rPr>
            </w:pPr>
            <w:r w:rsidRPr="001268E7">
              <w:rPr>
                <w:rFonts w:cs="Calibri"/>
                <w:sz w:val="20"/>
                <w:szCs w:val="20"/>
                <w:lang w:eastAsia="pl-PL"/>
              </w:rPr>
              <w:t>Prace w zakresie zagospodarowania mo</w:t>
            </w:r>
            <w:r w:rsidR="00DE4D40" w:rsidRPr="001268E7">
              <w:rPr>
                <w:rFonts w:cs="Calibri"/>
                <w:sz w:val="20"/>
                <w:szCs w:val="20"/>
                <w:lang w:eastAsia="pl-PL"/>
              </w:rPr>
              <w:t>l i przyległego terytorium w Malborku;</w:t>
            </w:r>
          </w:p>
          <w:p w:rsidR="00DE4D40" w:rsidRDefault="00DE4D40" w:rsidP="00C62170">
            <w:pPr>
              <w:numPr>
                <w:ilvl w:val="0"/>
                <w:numId w:val="12"/>
              </w:numPr>
              <w:autoSpaceDE w:val="0"/>
              <w:autoSpaceDN w:val="0"/>
              <w:adjustRightInd w:val="0"/>
              <w:spacing w:after="0" w:line="240" w:lineRule="auto"/>
              <w:ind w:left="379"/>
              <w:jc w:val="both"/>
              <w:rPr>
                <w:rFonts w:cs="Calibri"/>
                <w:sz w:val="20"/>
                <w:szCs w:val="20"/>
                <w:lang w:eastAsia="pl-PL"/>
              </w:rPr>
            </w:pPr>
            <w:r w:rsidRPr="001268E7">
              <w:rPr>
                <w:rFonts w:cs="Calibri"/>
                <w:sz w:val="20"/>
                <w:szCs w:val="20"/>
                <w:lang w:eastAsia="pl-PL"/>
              </w:rPr>
              <w:t>Doświadczenie wymieniane pomiędzy Partnerami Projektu w celu zmodernizowania terenów miejskich.</w:t>
            </w:r>
          </w:p>
          <w:p w:rsidR="0083464D" w:rsidRDefault="0083464D" w:rsidP="0083464D">
            <w:pPr>
              <w:autoSpaceDE w:val="0"/>
              <w:autoSpaceDN w:val="0"/>
              <w:adjustRightInd w:val="0"/>
              <w:spacing w:after="0" w:line="240" w:lineRule="auto"/>
              <w:jc w:val="both"/>
              <w:rPr>
                <w:rFonts w:cs="Calibri"/>
                <w:sz w:val="20"/>
                <w:szCs w:val="20"/>
                <w:lang w:eastAsia="pl-PL"/>
              </w:rPr>
            </w:pPr>
          </w:p>
          <w:p w:rsidR="0083464D" w:rsidRPr="0083464D" w:rsidRDefault="0083464D" w:rsidP="0083464D">
            <w:pPr>
              <w:autoSpaceDE w:val="0"/>
              <w:autoSpaceDN w:val="0"/>
              <w:adjustRightInd w:val="0"/>
              <w:spacing w:after="0" w:line="240" w:lineRule="auto"/>
              <w:jc w:val="both"/>
              <w:rPr>
                <w:rFonts w:cs="Calibri"/>
                <w:b/>
                <w:sz w:val="20"/>
                <w:szCs w:val="20"/>
                <w:lang w:eastAsia="pl-PL"/>
              </w:rPr>
            </w:pPr>
            <w:r w:rsidRPr="0083464D">
              <w:rPr>
                <w:rFonts w:cs="Calibri"/>
                <w:b/>
                <w:sz w:val="20"/>
                <w:szCs w:val="20"/>
                <w:lang w:eastAsia="pl-PL"/>
              </w:rPr>
              <w:t>Rezultaty projektu:</w:t>
            </w:r>
          </w:p>
          <w:p w:rsidR="0083464D" w:rsidRDefault="0083464D"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Struktury nabrzeża w Swietłyj są skonstruowane i przyległe tereny rozwinięte dla celów turystycznych;</w:t>
            </w:r>
          </w:p>
          <w:p w:rsidR="0083464D" w:rsidRDefault="0083464D"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Pomosty i terytoria przyległe w Malborku są zaaranżowane;</w:t>
            </w:r>
          </w:p>
          <w:p w:rsidR="0083464D" w:rsidRDefault="0083464D"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Połączenie wodne pomiędzy miastami jest wzmocnione;</w:t>
            </w:r>
          </w:p>
          <w:p w:rsidR="0083464D" w:rsidRDefault="0083464D"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Atrakcyjność miast la turystów jest zwiększona i liczba odwiedzających i turystów, włączając turystów wodnych, jest także zwiększona. Wpływa to także pozytywnie na ogólną sytuację ekonomiczną na obszarze projektu.</w:t>
            </w:r>
          </w:p>
          <w:p w:rsidR="00BB640D" w:rsidRDefault="00BB640D" w:rsidP="00BB640D">
            <w:pPr>
              <w:autoSpaceDE w:val="0"/>
              <w:autoSpaceDN w:val="0"/>
              <w:adjustRightInd w:val="0"/>
              <w:spacing w:after="0" w:line="240" w:lineRule="auto"/>
              <w:ind w:left="19"/>
              <w:jc w:val="both"/>
              <w:rPr>
                <w:rFonts w:cs="Calibri"/>
                <w:sz w:val="20"/>
                <w:szCs w:val="20"/>
                <w:lang w:eastAsia="pl-PL"/>
              </w:rPr>
            </w:pPr>
          </w:p>
          <w:p w:rsidR="00BB640D" w:rsidRDefault="004C48B5" w:rsidP="00BB640D">
            <w:pPr>
              <w:autoSpaceDE w:val="0"/>
              <w:autoSpaceDN w:val="0"/>
              <w:adjustRightInd w:val="0"/>
              <w:spacing w:after="0" w:line="240" w:lineRule="auto"/>
              <w:ind w:left="19"/>
              <w:jc w:val="both"/>
              <w:rPr>
                <w:rFonts w:cs="Calibri"/>
                <w:sz w:val="20"/>
                <w:szCs w:val="20"/>
                <w:lang w:eastAsia="pl-PL"/>
              </w:rPr>
            </w:pPr>
            <w:r>
              <w:rPr>
                <w:rFonts w:cs="Calibri"/>
                <w:b/>
                <w:sz w:val="20"/>
                <w:szCs w:val="20"/>
                <w:lang w:eastAsia="pl-PL"/>
              </w:rPr>
              <w:t>Efekt transgraniczny:</w:t>
            </w:r>
          </w:p>
          <w:p w:rsidR="00BB640D" w:rsidRDefault="00957182" w:rsidP="00BB640D">
            <w:pPr>
              <w:autoSpaceDE w:val="0"/>
              <w:autoSpaceDN w:val="0"/>
              <w:adjustRightInd w:val="0"/>
              <w:spacing w:after="0" w:line="240" w:lineRule="auto"/>
              <w:ind w:left="19"/>
              <w:jc w:val="both"/>
              <w:rPr>
                <w:rFonts w:cs="Calibri"/>
                <w:sz w:val="20"/>
                <w:szCs w:val="20"/>
                <w:lang w:eastAsia="pl-PL"/>
              </w:rPr>
            </w:pPr>
            <w:r>
              <w:rPr>
                <w:rFonts w:cs="Calibri"/>
                <w:sz w:val="20"/>
                <w:szCs w:val="20"/>
                <w:lang w:eastAsia="pl-PL"/>
              </w:rPr>
              <w:t>Jako że Swietłyj i Malbork są usytuowane na trasie międzynarodowej drogi wodnej E70, rozwój niezbędnej infrastruktury da dobre szanse firmom turystycznym obu miast na rozwój nowym wspólnych produktów turystycznych, które mogłyby być atrakcyjne nie tylko dla mieszkańców Obwodu Kaliningradzkiego i regionu Pomorza, ale także turystów spoza obszaru projektu (szczególnie pozostałego obszaru Rosji i Unii Europejskiej). Wg danych statystycznych liczba turystów przyjeżdżających do Obwodu Kaliningradzkiego wzrasta każdego roku. Realizacja tego projektu bez wątpienia doda synergii w rozwoju turystyki w obu miastach.</w:t>
            </w:r>
          </w:p>
          <w:p w:rsidR="00957182" w:rsidRPr="001268E7" w:rsidRDefault="00957182" w:rsidP="00BB640D">
            <w:pPr>
              <w:autoSpaceDE w:val="0"/>
              <w:autoSpaceDN w:val="0"/>
              <w:adjustRightInd w:val="0"/>
              <w:spacing w:after="0" w:line="240" w:lineRule="auto"/>
              <w:ind w:left="19"/>
              <w:jc w:val="both"/>
              <w:rPr>
                <w:rFonts w:cs="Calibri"/>
                <w:sz w:val="20"/>
                <w:szCs w:val="20"/>
                <w:lang w:eastAsia="pl-PL"/>
              </w:rPr>
            </w:pPr>
            <w:r>
              <w:rPr>
                <w:rFonts w:cs="Calibri"/>
                <w:sz w:val="20"/>
                <w:szCs w:val="20"/>
                <w:lang w:eastAsia="pl-PL"/>
              </w:rPr>
              <w:t>Ponadto, wodne przejście graniczne konsumuje mniej czasu i nie tworzy dodatkowej presji na istniejące przejścia graniczne, które są przeciążone szczególnie w okresie lata i wakacji.</w:t>
            </w:r>
          </w:p>
          <w:p w:rsidR="00B902B9" w:rsidRPr="001268E7" w:rsidRDefault="00B902B9" w:rsidP="00DE4D40">
            <w:pPr>
              <w:keepNext/>
              <w:autoSpaceDE w:val="0"/>
              <w:autoSpaceDN w:val="0"/>
              <w:adjustRightInd w:val="0"/>
              <w:spacing w:after="0" w:line="192" w:lineRule="auto"/>
              <w:ind w:left="720"/>
              <w:jc w:val="both"/>
              <w:rPr>
                <w:rFonts w:cs="Calibri"/>
              </w:rPr>
            </w:pPr>
          </w:p>
        </w:tc>
      </w:tr>
      <w:tr w:rsidR="00B902B9" w:rsidRPr="001268E7" w:rsidTr="00DE4D40">
        <w:tc>
          <w:tcPr>
            <w:tcW w:w="1889" w:type="dxa"/>
            <w:shd w:val="clear" w:color="auto" w:fill="auto"/>
            <w:vAlign w:val="center"/>
          </w:tcPr>
          <w:p w:rsidR="00B902B9" w:rsidRPr="001268E7" w:rsidRDefault="00DE4D40"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lastRenderedPageBreak/>
              <w:t>Uzasadnienie bezpośredniego udzielenia zamówienia</w:t>
            </w:r>
          </w:p>
        </w:tc>
        <w:tc>
          <w:tcPr>
            <w:tcW w:w="7686" w:type="dxa"/>
            <w:shd w:val="clear" w:color="auto" w:fill="auto"/>
            <w:vAlign w:val="center"/>
          </w:tcPr>
          <w:p w:rsidR="004F743A" w:rsidRPr="004F743A" w:rsidRDefault="00DE4D40" w:rsidP="004F743A">
            <w:pPr>
              <w:autoSpaceDE w:val="0"/>
              <w:autoSpaceDN w:val="0"/>
              <w:adjustRightInd w:val="0"/>
              <w:spacing w:after="0" w:line="240" w:lineRule="auto"/>
              <w:jc w:val="both"/>
              <w:rPr>
                <w:rFonts w:cs="Calibri"/>
                <w:sz w:val="20"/>
                <w:szCs w:val="20"/>
                <w:lang w:eastAsia="pl-PL" w:bidi="pl-PL"/>
              </w:rPr>
            </w:pPr>
            <w:r w:rsidRPr="001268E7">
              <w:rPr>
                <w:rFonts w:cs="Calibri"/>
                <w:sz w:val="20"/>
                <w:szCs w:val="20"/>
                <w:lang w:eastAsia="pl-PL"/>
              </w:rPr>
              <w:t>Obszar przybrzeżny Kaliningradzkiego Kanału Morskiego w Swietłyj jest własnością miejską.</w:t>
            </w:r>
            <w:r w:rsidR="00B902B9" w:rsidRPr="001268E7">
              <w:rPr>
                <w:rFonts w:cs="Calibri"/>
                <w:sz w:val="20"/>
                <w:szCs w:val="20"/>
                <w:lang w:eastAsia="pl-PL"/>
              </w:rPr>
              <w:t xml:space="preserve"> </w:t>
            </w:r>
            <w:r w:rsidRPr="001268E7">
              <w:rPr>
                <w:rFonts w:cs="Calibri"/>
                <w:sz w:val="20"/>
                <w:szCs w:val="20"/>
                <w:lang w:eastAsia="pl-PL"/>
              </w:rPr>
              <w:t>Realizacja prac w zakresie budowy przyb</w:t>
            </w:r>
            <w:r w:rsidR="000778ED" w:rsidRPr="001268E7">
              <w:rPr>
                <w:rFonts w:cs="Calibri"/>
                <w:sz w:val="20"/>
                <w:szCs w:val="20"/>
                <w:lang w:eastAsia="pl-PL"/>
              </w:rPr>
              <w:t>rzeżnych konstrukcji i zagospodarowania</w:t>
            </w:r>
            <w:r w:rsidRPr="001268E7">
              <w:rPr>
                <w:rFonts w:cs="Calibri"/>
                <w:sz w:val="20"/>
                <w:szCs w:val="20"/>
                <w:lang w:eastAsia="pl-PL"/>
              </w:rPr>
              <w:t xml:space="preserve"> przyległego terytorium może nastąpić jedyni</w:t>
            </w:r>
            <w:r w:rsidR="00F209C4" w:rsidRPr="001268E7">
              <w:rPr>
                <w:rFonts w:cs="Calibri"/>
                <w:sz w:val="20"/>
                <w:szCs w:val="20"/>
                <w:lang w:eastAsia="pl-PL"/>
              </w:rPr>
              <w:t>e na m</w:t>
            </w:r>
            <w:r w:rsidR="003F3D33" w:rsidRPr="001268E7">
              <w:rPr>
                <w:rFonts w:cs="Calibri"/>
                <w:sz w:val="20"/>
                <w:szCs w:val="20"/>
                <w:lang w:eastAsia="pl-PL"/>
              </w:rPr>
              <w:t>ocy rozporządzenia Administracji</w:t>
            </w:r>
            <w:r w:rsidRPr="001268E7">
              <w:rPr>
                <w:rFonts w:cs="Calibri"/>
                <w:sz w:val="20"/>
                <w:szCs w:val="20"/>
                <w:lang w:eastAsia="pl-PL"/>
              </w:rPr>
              <w:t xml:space="preserve"> "Miejskiego </w:t>
            </w:r>
            <w:r w:rsidR="000778ED" w:rsidRPr="001268E7">
              <w:rPr>
                <w:rFonts w:cs="Calibri"/>
                <w:sz w:val="20"/>
                <w:szCs w:val="20"/>
                <w:lang w:eastAsia="pl-PL"/>
              </w:rPr>
              <w:t>Dystryktu</w:t>
            </w:r>
            <w:r w:rsidRPr="001268E7">
              <w:rPr>
                <w:rFonts w:cs="Calibri"/>
                <w:sz w:val="20"/>
                <w:szCs w:val="20"/>
                <w:lang w:eastAsia="pl-PL"/>
              </w:rPr>
              <w:t xml:space="preserve"> Swietłyj" ze względu na jego uprawnienia ustanowione w rosyjskich przepisach prawa.</w:t>
            </w:r>
            <w:r w:rsidR="004F743A">
              <w:rPr>
                <w:rFonts w:cs="Calibri"/>
                <w:sz w:val="20"/>
                <w:szCs w:val="20"/>
                <w:lang w:eastAsia="pl-PL"/>
              </w:rPr>
              <w:t xml:space="preserve"> </w:t>
            </w:r>
            <w:r w:rsidR="004F743A" w:rsidRPr="004F743A">
              <w:rPr>
                <w:rFonts w:cs="Calibri"/>
                <w:sz w:val="20"/>
                <w:szCs w:val="20"/>
                <w:lang w:eastAsia="pl-PL" w:bidi="pl-PL"/>
              </w:rPr>
              <w:t>Podstawą właściwego zatwierdzenia Administracji „okręgu miejskiego Swietłyj” jest art. 16 ust. 3, 17 i 20 Ustawy federalnej z dnia 6.10.2003 r. nr 131-FZ o ogólnych zasadach organizacji samorządu lokalnego w Federacji Rosyjskiej oraz Karta okręgu miejskiego Swietłyj.</w:t>
            </w:r>
          </w:p>
          <w:p w:rsidR="004F743A" w:rsidRPr="004F743A" w:rsidRDefault="004F743A" w:rsidP="004F743A">
            <w:pPr>
              <w:autoSpaceDE w:val="0"/>
              <w:autoSpaceDN w:val="0"/>
              <w:adjustRightInd w:val="0"/>
              <w:spacing w:after="0" w:line="240" w:lineRule="auto"/>
              <w:jc w:val="both"/>
              <w:rPr>
                <w:rFonts w:cs="Calibri"/>
                <w:sz w:val="20"/>
                <w:szCs w:val="20"/>
                <w:lang w:eastAsia="pl-PL" w:bidi="pl-PL"/>
              </w:rPr>
            </w:pPr>
            <w:r w:rsidRPr="004F743A">
              <w:rPr>
                <w:rFonts w:cs="Calibri"/>
                <w:sz w:val="20"/>
                <w:szCs w:val="20"/>
                <w:lang w:eastAsia="pl-PL" w:bidi="pl-PL"/>
              </w:rPr>
              <w:t>Partner – gmina Malbork – wdraża swoją część prac projektowych na własnym terytorium: bulwary miejskie należą do gminy Malbork i są przez nią zarządzane. Odpowiedzialność za kształtowanie krajobrazu bulwarów miejskich ponosi konkretny partner, tj. gmina Malbork. W swoich działaniach gmina Malbork kieruje się planem zagospodarowania przestrzennego zatwierdzonym następującymi uchwałami Rady Miasta:</w:t>
            </w:r>
          </w:p>
          <w:p w:rsidR="004F743A" w:rsidRPr="004F743A" w:rsidRDefault="004F743A" w:rsidP="00C62170">
            <w:pPr>
              <w:numPr>
                <w:ilvl w:val="0"/>
                <w:numId w:val="12"/>
              </w:numPr>
              <w:autoSpaceDE w:val="0"/>
              <w:autoSpaceDN w:val="0"/>
              <w:adjustRightInd w:val="0"/>
              <w:spacing w:after="0" w:line="240" w:lineRule="auto"/>
              <w:jc w:val="both"/>
              <w:rPr>
                <w:rFonts w:cs="Calibri"/>
                <w:sz w:val="20"/>
                <w:szCs w:val="20"/>
                <w:lang w:eastAsia="pl-PL" w:bidi="pl-PL"/>
              </w:rPr>
            </w:pPr>
            <w:r w:rsidRPr="004F743A">
              <w:rPr>
                <w:rFonts w:cs="Calibri"/>
                <w:sz w:val="20"/>
                <w:szCs w:val="20"/>
                <w:lang w:eastAsia="pl-PL" w:bidi="pl-PL"/>
              </w:rPr>
              <w:t>398/XLX/02 z dnia 25.07.2012 r.,</w:t>
            </w:r>
          </w:p>
          <w:p w:rsidR="004F743A" w:rsidRPr="004F743A" w:rsidRDefault="004F743A" w:rsidP="00C62170">
            <w:pPr>
              <w:numPr>
                <w:ilvl w:val="0"/>
                <w:numId w:val="12"/>
              </w:numPr>
              <w:autoSpaceDE w:val="0"/>
              <w:autoSpaceDN w:val="0"/>
              <w:adjustRightInd w:val="0"/>
              <w:spacing w:after="0" w:line="240" w:lineRule="auto"/>
              <w:jc w:val="both"/>
              <w:rPr>
                <w:rFonts w:cs="Calibri"/>
                <w:sz w:val="20"/>
                <w:szCs w:val="20"/>
                <w:lang w:eastAsia="pl-PL" w:bidi="pl-PL"/>
              </w:rPr>
            </w:pPr>
            <w:r w:rsidRPr="004F743A">
              <w:rPr>
                <w:rFonts w:cs="Calibri"/>
                <w:sz w:val="20"/>
                <w:szCs w:val="20"/>
                <w:lang w:eastAsia="pl-PL" w:bidi="pl-PL"/>
              </w:rPr>
              <w:t>V/35/2011 z dnia 10.02.2011 r.,</w:t>
            </w:r>
          </w:p>
          <w:p w:rsidR="004F743A" w:rsidRDefault="004F743A" w:rsidP="00C62170">
            <w:pPr>
              <w:numPr>
                <w:ilvl w:val="0"/>
                <w:numId w:val="12"/>
              </w:numPr>
              <w:autoSpaceDE w:val="0"/>
              <w:autoSpaceDN w:val="0"/>
              <w:adjustRightInd w:val="0"/>
              <w:spacing w:after="0" w:line="240" w:lineRule="auto"/>
              <w:jc w:val="both"/>
              <w:rPr>
                <w:rFonts w:cs="Calibri"/>
                <w:sz w:val="20"/>
                <w:szCs w:val="20"/>
                <w:lang w:eastAsia="pl-PL" w:bidi="pl-PL"/>
              </w:rPr>
            </w:pPr>
            <w:r w:rsidRPr="004F743A">
              <w:rPr>
                <w:rFonts w:cs="Calibri"/>
                <w:sz w:val="20"/>
                <w:szCs w:val="20"/>
                <w:lang w:eastAsia="pl-PL" w:bidi="pl-PL"/>
              </w:rPr>
              <w:t>368/XLIII/2005 z dnia 14.12.2005 r.,</w:t>
            </w:r>
          </w:p>
          <w:p w:rsidR="004F743A" w:rsidRPr="004F743A" w:rsidRDefault="004F743A" w:rsidP="00C62170">
            <w:pPr>
              <w:numPr>
                <w:ilvl w:val="0"/>
                <w:numId w:val="12"/>
              </w:numPr>
              <w:autoSpaceDE w:val="0"/>
              <w:autoSpaceDN w:val="0"/>
              <w:adjustRightInd w:val="0"/>
              <w:spacing w:after="0" w:line="240" w:lineRule="auto"/>
              <w:jc w:val="both"/>
              <w:rPr>
                <w:rFonts w:cs="Calibri"/>
                <w:sz w:val="20"/>
                <w:szCs w:val="20"/>
                <w:lang w:eastAsia="pl-PL" w:bidi="pl-PL"/>
              </w:rPr>
            </w:pPr>
            <w:r w:rsidRPr="004F743A">
              <w:rPr>
                <w:rFonts w:cs="Calibri"/>
                <w:sz w:val="20"/>
                <w:szCs w:val="20"/>
                <w:lang w:eastAsia="pl-PL" w:bidi="pl-PL"/>
              </w:rPr>
              <w:t>XVII/190/12 z dnia 29.03.2012 r.</w:t>
            </w:r>
          </w:p>
        </w:tc>
      </w:tr>
    </w:tbl>
    <w:p w:rsidR="00B902B9" w:rsidRPr="001268E7" w:rsidRDefault="00B902B9" w:rsidP="00B902B9">
      <w:pPr>
        <w:autoSpaceDE w:val="0"/>
        <w:autoSpaceDN w:val="0"/>
        <w:adjustRightInd w:val="0"/>
        <w:spacing w:after="0" w:line="240" w:lineRule="auto"/>
        <w:jc w:val="both"/>
        <w:rPr>
          <w:rFonts w:cs="Calibri"/>
          <w:sz w:val="24"/>
          <w:szCs w:val="24"/>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7686"/>
      </w:tblGrid>
      <w:tr w:rsidR="00B902B9" w:rsidRPr="001268E7" w:rsidTr="007F65D0">
        <w:tc>
          <w:tcPr>
            <w:tcW w:w="1889" w:type="dxa"/>
            <w:shd w:val="clear" w:color="auto" w:fill="auto"/>
            <w:vAlign w:val="center"/>
          </w:tcPr>
          <w:p w:rsidR="00B902B9" w:rsidRPr="001268E7" w:rsidRDefault="00DE4D40"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Cel Tematyczny</w:t>
            </w:r>
          </w:p>
        </w:tc>
        <w:tc>
          <w:tcPr>
            <w:tcW w:w="7686" w:type="dxa"/>
            <w:shd w:val="clear" w:color="auto" w:fill="auto"/>
            <w:vAlign w:val="center"/>
          </w:tcPr>
          <w:p w:rsidR="00B902B9" w:rsidRPr="001268E7" w:rsidRDefault="00DE4D40"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3 - Promocja kultury lokalnej i zachowanie dziedzictwa historycznego</w:t>
            </w:r>
          </w:p>
        </w:tc>
      </w:tr>
      <w:tr w:rsidR="00B902B9" w:rsidRPr="001268E7" w:rsidTr="007F65D0">
        <w:tc>
          <w:tcPr>
            <w:tcW w:w="1889" w:type="dxa"/>
            <w:shd w:val="clear" w:color="auto" w:fill="auto"/>
            <w:vAlign w:val="center"/>
          </w:tcPr>
          <w:p w:rsidR="00B902B9" w:rsidRPr="001268E7" w:rsidRDefault="00DE4D40"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Tytuł</w:t>
            </w:r>
          </w:p>
        </w:tc>
        <w:tc>
          <w:tcPr>
            <w:tcW w:w="7686" w:type="dxa"/>
            <w:shd w:val="clear" w:color="auto" w:fill="auto"/>
            <w:vAlign w:val="center"/>
          </w:tcPr>
          <w:p w:rsidR="00B902B9" w:rsidRPr="001268E7" w:rsidRDefault="009E1F49"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Transgran</w:t>
            </w:r>
            <w:r w:rsidR="000778ED" w:rsidRPr="001268E7">
              <w:rPr>
                <w:rFonts w:cs="Calibri"/>
                <w:sz w:val="20"/>
                <w:szCs w:val="20"/>
                <w:lang w:eastAsia="pl-PL"/>
              </w:rPr>
              <w:t>iczne trasy rowerowe w celu</w:t>
            </w:r>
            <w:r w:rsidRPr="001268E7">
              <w:rPr>
                <w:rFonts w:cs="Calibri"/>
                <w:sz w:val="20"/>
                <w:szCs w:val="20"/>
                <w:lang w:eastAsia="pl-PL"/>
              </w:rPr>
              <w:t xml:space="preserve"> </w:t>
            </w:r>
            <w:r w:rsidR="000778ED" w:rsidRPr="001268E7">
              <w:rPr>
                <w:rFonts w:cs="Calibri"/>
                <w:sz w:val="20"/>
                <w:szCs w:val="20"/>
                <w:lang w:eastAsia="pl-PL"/>
              </w:rPr>
              <w:t>wspierania</w:t>
            </w:r>
            <w:r w:rsidRPr="001268E7">
              <w:rPr>
                <w:rFonts w:cs="Calibri"/>
                <w:sz w:val="20"/>
                <w:szCs w:val="20"/>
                <w:lang w:eastAsia="pl-PL"/>
              </w:rPr>
              <w:t xml:space="preserve"> i zrównoważonego wykorzystania dziedzictwa kulturowego</w:t>
            </w:r>
            <w:r w:rsidR="00B902B9" w:rsidRPr="001268E7">
              <w:rPr>
                <w:rFonts w:cs="Calibri"/>
                <w:sz w:val="20"/>
                <w:szCs w:val="20"/>
                <w:lang w:eastAsia="pl-PL"/>
              </w:rPr>
              <w:t xml:space="preserve"> </w:t>
            </w:r>
          </w:p>
        </w:tc>
      </w:tr>
      <w:tr w:rsidR="00B902B9" w:rsidRPr="001268E7" w:rsidTr="007F65D0">
        <w:tc>
          <w:tcPr>
            <w:tcW w:w="1889" w:type="dxa"/>
            <w:shd w:val="clear" w:color="auto" w:fill="auto"/>
            <w:vAlign w:val="center"/>
          </w:tcPr>
          <w:p w:rsidR="00B902B9" w:rsidRPr="001268E7" w:rsidRDefault="009E1F49"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Beneficjent</w:t>
            </w:r>
            <w:r w:rsidR="005D335A">
              <w:rPr>
                <w:rFonts w:cs="Calibri"/>
                <w:b/>
                <w:sz w:val="20"/>
                <w:szCs w:val="20"/>
                <w:lang w:eastAsia="pl-PL"/>
              </w:rPr>
              <w:t xml:space="preserve"> Wiodący</w:t>
            </w:r>
          </w:p>
        </w:tc>
        <w:tc>
          <w:tcPr>
            <w:tcW w:w="7686" w:type="dxa"/>
            <w:shd w:val="clear" w:color="auto" w:fill="auto"/>
            <w:vAlign w:val="center"/>
          </w:tcPr>
          <w:p w:rsidR="00B902B9" w:rsidRPr="001268E7" w:rsidRDefault="009E1F49"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Ministerstwo Turystyki regionu kaliningradzkiego</w:t>
            </w:r>
            <w:r w:rsidR="00B902B9" w:rsidRPr="001268E7">
              <w:rPr>
                <w:rFonts w:cs="Calibri"/>
                <w:sz w:val="20"/>
                <w:szCs w:val="20"/>
                <w:lang w:eastAsia="pl-PL"/>
              </w:rPr>
              <w:t xml:space="preserve"> </w:t>
            </w:r>
          </w:p>
        </w:tc>
      </w:tr>
      <w:tr w:rsidR="00B902B9" w:rsidRPr="001268E7" w:rsidTr="007F65D0">
        <w:tc>
          <w:tcPr>
            <w:tcW w:w="1889" w:type="dxa"/>
            <w:shd w:val="clear" w:color="auto" w:fill="auto"/>
            <w:vAlign w:val="center"/>
          </w:tcPr>
          <w:p w:rsidR="00B902B9" w:rsidRPr="001268E7" w:rsidRDefault="005D335A" w:rsidP="00925386">
            <w:pPr>
              <w:autoSpaceDE w:val="0"/>
              <w:autoSpaceDN w:val="0"/>
              <w:adjustRightInd w:val="0"/>
              <w:spacing w:after="0" w:line="240" w:lineRule="auto"/>
              <w:rPr>
                <w:rFonts w:cs="Calibri"/>
                <w:b/>
                <w:sz w:val="20"/>
                <w:szCs w:val="20"/>
                <w:lang w:eastAsia="pl-PL"/>
              </w:rPr>
            </w:pPr>
            <w:r>
              <w:rPr>
                <w:rFonts w:cs="Calibri"/>
                <w:b/>
                <w:sz w:val="20"/>
                <w:szCs w:val="20"/>
                <w:lang w:eastAsia="pl-PL"/>
              </w:rPr>
              <w:t>Pozostali Beneficjenci</w:t>
            </w:r>
          </w:p>
        </w:tc>
        <w:tc>
          <w:tcPr>
            <w:tcW w:w="7686" w:type="dxa"/>
            <w:shd w:val="clear" w:color="auto" w:fill="auto"/>
            <w:vAlign w:val="center"/>
          </w:tcPr>
          <w:p w:rsidR="00B902B9" w:rsidRPr="001268E7" w:rsidRDefault="003F3D33" w:rsidP="00D931B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Administracja</w:t>
            </w:r>
            <w:r w:rsidR="007923C4" w:rsidRPr="001268E7">
              <w:rPr>
                <w:rFonts w:cs="Calibri"/>
                <w:sz w:val="20"/>
                <w:szCs w:val="20"/>
                <w:lang w:eastAsia="pl-PL"/>
              </w:rPr>
              <w:t xml:space="preserve"> gminy miejskiej</w:t>
            </w:r>
            <w:r w:rsidR="009E1F49" w:rsidRPr="001268E7">
              <w:rPr>
                <w:rFonts w:cs="Calibri"/>
                <w:sz w:val="20"/>
                <w:szCs w:val="20"/>
                <w:lang w:eastAsia="pl-PL"/>
              </w:rPr>
              <w:t xml:space="preserve"> </w:t>
            </w:r>
            <w:r w:rsidR="00D931B6" w:rsidRPr="001268E7">
              <w:rPr>
                <w:rFonts w:cs="Calibri"/>
                <w:sz w:val="20"/>
                <w:szCs w:val="20"/>
                <w:lang w:eastAsia="pl-PL"/>
              </w:rPr>
              <w:t>Swietłogorsk,</w:t>
            </w:r>
          </w:p>
          <w:p w:rsidR="00B902B9" w:rsidRPr="001268E7" w:rsidRDefault="003F3D33" w:rsidP="00D931B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Administracja</w:t>
            </w:r>
            <w:r w:rsidR="007923C4" w:rsidRPr="001268E7">
              <w:rPr>
                <w:rFonts w:cs="Calibri"/>
                <w:sz w:val="20"/>
                <w:szCs w:val="20"/>
                <w:lang w:eastAsia="pl-PL"/>
              </w:rPr>
              <w:t xml:space="preserve"> gminy miejskiej</w:t>
            </w:r>
            <w:r w:rsidR="00D931B6" w:rsidRPr="001268E7">
              <w:rPr>
                <w:rFonts w:cs="Calibri"/>
                <w:sz w:val="20"/>
                <w:szCs w:val="20"/>
                <w:lang w:eastAsia="pl-PL"/>
              </w:rPr>
              <w:t xml:space="preserve"> Pionierskij,</w:t>
            </w:r>
          </w:p>
          <w:p w:rsidR="00B902B9" w:rsidRPr="001268E7" w:rsidRDefault="003F3D33" w:rsidP="00D931B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Administracja</w:t>
            </w:r>
            <w:r w:rsidR="007923C4" w:rsidRPr="001268E7">
              <w:rPr>
                <w:rFonts w:cs="Calibri"/>
                <w:sz w:val="20"/>
                <w:szCs w:val="20"/>
                <w:lang w:eastAsia="pl-PL"/>
              </w:rPr>
              <w:t xml:space="preserve"> gminy miejskiej</w:t>
            </w:r>
            <w:r w:rsidR="00D931B6" w:rsidRPr="001268E7">
              <w:rPr>
                <w:rFonts w:cs="Calibri"/>
                <w:sz w:val="20"/>
                <w:szCs w:val="20"/>
                <w:lang w:eastAsia="pl-PL"/>
              </w:rPr>
              <w:t xml:space="preserve"> Zielenogradsk,</w:t>
            </w:r>
          </w:p>
          <w:p w:rsidR="00B902B9" w:rsidRPr="001268E7" w:rsidRDefault="00D931B6" w:rsidP="00D931B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Ministerstwo Infrastruktury regionu kaliningradzkiego,</w:t>
            </w:r>
          </w:p>
          <w:p w:rsidR="00B902B9" w:rsidRPr="001268E7" w:rsidRDefault="00D931B6" w:rsidP="00D931B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Ministerstwo Budowy regionu kaliningradzkiego</w:t>
            </w:r>
          </w:p>
          <w:p w:rsidR="00B902B9" w:rsidRPr="001268E7" w:rsidRDefault="00834B82" w:rsidP="00D931B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Wydział Turystyki administracji</w:t>
            </w:r>
            <w:r w:rsidR="00D931B6" w:rsidRPr="001268E7">
              <w:rPr>
                <w:rFonts w:cs="Calibri"/>
                <w:sz w:val="20"/>
                <w:szCs w:val="20"/>
                <w:lang w:eastAsia="pl-PL"/>
              </w:rPr>
              <w:t xml:space="preserve"> województwa warmińsko-mazurskiego,</w:t>
            </w:r>
          </w:p>
          <w:p w:rsidR="00B902B9" w:rsidRPr="001268E7" w:rsidRDefault="000778ED"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Fundusz Ochrony Zabytków (</w:t>
            </w:r>
            <w:r w:rsidR="00D931B6" w:rsidRPr="001268E7">
              <w:rPr>
                <w:rFonts w:cs="Calibri"/>
                <w:sz w:val="20"/>
                <w:szCs w:val="20"/>
                <w:lang w:eastAsia="pl-PL"/>
              </w:rPr>
              <w:t>Polska)</w:t>
            </w:r>
          </w:p>
        </w:tc>
      </w:tr>
      <w:tr w:rsidR="00B902B9" w:rsidRPr="001268E7" w:rsidTr="007F65D0">
        <w:tc>
          <w:tcPr>
            <w:tcW w:w="1889" w:type="dxa"/>
            <w:shd w:val="clear" w:color="auto" w:fill="auto"/>
            <w:vAlign w:val="center"/>
          </w:tcPr>
          <w:p w:rsidR="00B902B9" w:rsidRPr="001268E7" w:rsidRDefault="00D931B6"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Całkowity budżet projektu</w:t>
            </w:r>
          </w:p>
        </w:tc>
        <w:tc>
          <w:tcPr>
            <w:tcW w:w="7686" w:type="dxa"/>
            <w:shd w:val="clear" w:color="auto" w:fill="auto"/>
            <w:vAlign w:val="center"/>
          </w:tcPr>
          <w:p w:rsidR="00B902B9" w:rsidRPr="001268E7" w:rsidRDefault="00D931B6"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4 500 000,00 EUR</w:t>
            </w:r>
          </w:p>
        </w:tc>
      </w:tr>
      <w:tr w:rsidR="00B902B9" w:rsidRPr="001268E7" w:rsidTr="007F65D0">
        <w:tc>
          <w:tcPr>
            <w:tcW w:w="1889" w:type="dxa"/>
            <w:shd w:val="clear" w:color="auto" w:fill="auto"/>
            <w:vAlign w:val="center"/>
          </w:tcPr>
          <w:p w:rsidR="00B902B9" w:rsidRPr="001268E7" w:rsidRDefault="00D931B6"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Kwota dotacji</w:t>
            </w:r>
          </w:p>
        </w:tc>
        <w:tc>
          <w:tcPr>
            <w:tcW w:w="7686" w:type="dxa"/>
            <w:shd w:val="clear" w:color="auto" w:fill="auto"/>
            <w:vAlign w:val="center"/>
          </w:tcPr>
          <w:p w:rsidR="00B902B9" w:rsidRPr="001268E7" w:rsidRDefault="00E53CE9" w:rsidP="00925386">
            <w:pPr>
              <w:autoSpaceDE w:val="0"/>
              <w:autoSpaceDN w:val="0"/>
              <w:adjustRightInd w:val="0"/>
              <w:spacing w:after="0" w:line="240" w:lineRule="auto"/>
              <w:jc w:val="both"/>
              <w:rPr>
                <w:rFonts w:cs="Calibri"/>
                <w:sz w:val="20"/>
                <w:szCs w:val="20"/>
                <w:lang w:eastAsia="pl-PL"/>
              </w:rPr>
            </w:pPr>
            <w:r>
              <w:rPr>
                <w:rFonts w:cs="Calibri"/>
                <w:sz w:val="20"/>
                <w:szCs w:val="20"/>
                <w:lang w:eastAsia="pl-PL"/>
              </w:rPr>
              <w:t>4 046 692,50 EUR</w:t>
            </w:r>
          </w:p>
        </w:tc>
      </w:tr>
      <w:tr w:rsidR="00B902B9" w:rsidRPr="001268E7" w:rsidTr="007F65D0">
        <w:tc>
          <w:tcPr>
            <w:tcW w:w="1889" w:type="dxa"/>
            <w:shd w:val="clear" w:color="auto" w:fill="auto"/>
            <w:vAlign w:val="center"/>
          </w:tcPr>
          <w:p w:rsidR="00B902B9" w:rsidRPr="001268E7" w:rsidRDefault="001F4C65"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Kwota elementu</w:t>
            </w:r>
            <w:r w:rsidR="00D931B6" w:rsidRPr="001268E7">
              <w:rPr>
                <w:rFonts w:cs="Calibri"/>
                <w:b/>
                <w:sz w:val="20"/>
                <w:szCs w:val="20"/>
                <w:lang w:eastAsia="pl-PL"/>
              </w:rPr>
              <w:t xml:space="preserve"> infrastrukturalnego</w:t>
            </w:r>
          </w:p>
        </w:tc>
        <w:tc>
          <w:tcPr>
            <w:tcW w:w="7686" w:type="dxa"/>
            <w:shd w:val="clear" w:color="auto" w:fill="auto"/>
            <w:vAlign w:val="center"/>
          </w:tcPr>
          <w:p w:rsidR="00B902B9" w:rsidRPr="001268E7" w:rsidRDefault="00E53CE9" w:rsidP="00925386">
            <w:pPr>
              <w:autoSpaceDE w:val="0"/>
              <w:autoSpaceDN w:val="0"/>
              <w:adjustRightInd w:val="0"/>
              <w:spacing w:after="0" w:line="240" w:lineRule="auto"/>
              <w:jc w:val="both"/>
              <w:rPr>
                <w:rFonts w:cs="Calibri"/>
                <w:sz w:val="20"/>
                <w:szCs w:val="20"/>
                <w:lang w:eastAsia="pl-PL"/>
              </w:rPr>
            </w:pPr>
            <w:r>
              <w:rPr>
                <w:rFonts w:cs="Calibri"/>
                <w:sz w:val="20"/>
                <w:szCs w:val="20"/>
                <w:lang w:eastAsia="pl-PL"/>
              </w:rPr>
              <w:t>4 393 400,50 EUR</w:t>
            </w:r>
          </w:p>
        </w:tc>
      </w:tr>
      <w:tr w:rsidR="00B902B9" w:rsidRPr="001268E7" w:rsidTr="007F65D0">
        <w:tc>
          <w:tcPr>
            <w:tcW w:w="1889" w:type="dxa"/>
            <w:shd w:val="clear" w:color="auto" w:fill="auto"/>
            <w:vAlign w:val="center"/>
          </w:tcPr>
          <w:p w:rsidR="00B902B9" w:rsidRPr="001268E7" w:rsidRDefault="00D931B6"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Okres trwania projektu</w:t>
            </w:r>
          </w:p>
        </w:tc>
        <w:tc>
          <w:tcPr>
            <w:tcW w:w="7686" w:type="dxa"/>
            <w:shd w:val="clear" w:color="auto" w:fill="auto"/>
            <w:vAlign w:val="center"/>
          </w:tcPr>
          <w:p w:rsidR="00B902B9" w:rsidRPr="001268E7" w:rsidRDefault="00D931B6" w:rsidP="004735DD">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36 miesięcy (</w:t>
            </w:r>
            <w:r w:rsidR="004735DD">
              <w:rPr>
                <w:rFonts w:cs="Calibri"/>
                <w:sz w:val="20"/>
                <w:szCs w:val="20"/>
                <w:lang w:eastAsia="pl-PL"/>
              </w:rPr>
              <w:t>01.06.</w:t>
            </w:r>
            <w:r w:rsidRPr="001268E7">
              <w:rPr>
                <w:rFonts w:cs="Calibri"/>
                <w:sz w:val="20"/>
                <w:szCs w:val="20"/>
                <w:lang w:eastAsia="pl-PL"/>
              </w:rPr>
              <w:t xml:space="preserve">2017 </w:t>
            </w:r>
            <w:r w:rsidR="004735DD">
              <w:rPr>
                <w:rFonts w:cs="Calibri"/>
                <w:sz w:val="20"/>
                <w:szCs w:val="20"/>
                <w:lang w:eastAsia="pl-PL"/>
              </w:rPr>
              <w:t>–</w:t>
            </w:r>
            <w:r w:rsidRPr="001268E7">
              <w:rPr>
                <w:rFonts w:cs="Calibri"/>
                <w:sz w:val="20"/>
                <w:szCs w:val="20"/>
                <w:lang w:eastAsia="pl-PL"/>
              </w:rPr>
              <w:t xml:space="preserve"> </w:t>
            </w:r>
            <w:r w:rsidR="004735DD">
              <w:rPr>
                <w:rFonts w:cs="Calibri"/>
                <w:sz w:val="20"/>
                <w:szCs w:val="20"/>
                <w:lang w:eastAsia="pl-PL"/>
              </w:rPr>
              <w:t>01.06.</w:t>
            </w:r>
            <w:r w:rsidRPr="001268E7">
              <w:rPr>
                <w:rFonts w:cs="Calibri"/>
                <w:sz w:val="20"/>
                <w:szCs w:val="20"/>
                <w:lang w:eastAsia="pl-PL"/>
              </w:rPr>
              <w:t>20</w:t>
            </w:r>
            <w:r w:rsidR="004735DD">
              <w:rPr>
                <w:rFonts w:cs="Calibri"/>
                <w:sz w:val="20"/>
                <w:szCs w:val="20"/>
                <w:lang w:eastAsia="pl-PL"/>
              </w:rPr>
              <w:t>20</w:t>
            </w:r>
            <w:r w:rsidRPr="001268E7">
              <w:rPr>
                <w:rFonts w:cs="Calibri"/>
                <w:sz w:val="20"/>
                <w:szCs w:val="20"/>
                <w:lang w:eastAsia="pl-PL"/>
              </w:rPr>
              <w:t>)</w:t>
            </w:r>
          </w:p>
        </w:tc>
      </w:tr>
      <w:tr w:rsidR="00B902B9" w:rsidRPr="001268E7" w:rsidTr="007F65D0">
        <w:tc>
          <w:tcPr>
            <w:tcW w:w="1889" w:type="dxa"/>
            <w:shd w:val="clear" w:color="auto" w:fill="auto"/>
            <w:vAlign w:val="center"/>
          </w:tcPr>
          <w:p w:rsidR="00B902B9" w:rsidRPr="001268E7" w:rsidRDefault="00D931B6"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Zakres projektu</w:t>
            </w:r>
          </w:p>
        </w:tc>
        <w:tc>
          <w:tcPr>
            <w:tcW w:w="7686" w:type="dxa"/>
            <w:shd w:val="clear" w:color="auto" w:fill="auto"/>
            <w:vAlign w:val="center"/>
          </w:tcPr>
          <w:p w:rsidR="00B902B9" w:rsidRPr="001268E7" w:rsidRDefault="00E54FEE" w:rsidP="00D931B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Zwiększający się</w:t>
            </w:r>
            <w:r w:rsidR="00D931B6" w:rsidRPr="001268E7">
              <w:rPr>
                <w:rFonts w:cs="Calibri"/>
                <w:sz w:val="20"/>
                <w:szCs w:val="20"/>
                <w:lang w:eastAsia="pl-PL"/>
              </w:rPr>
              <w:t xml:space="preserve"> udział indywidualnych turystów oraz aktywne formy turystyki ukształtowały globalny trend w ciągu ostatnich kilku lat.</w:t>
            </w:r>
            <w:r w:rsidR="00B902B9" w:rsidRPr="001268E7">
              <w:rPr>
                <w:rFonts w:cs="Calibri"/>
                <w:sz w:val="20"/>
                <w:szCs w:val="20"/>
                <w:lang w:eastAsia="pl-PL"/>
              </w:rPr>
              <w:t xml:space="preserve"> </w:t>
            </w:r>
            <w:r w:rsidR="00D931B6" w:rsidRPr="001268E7">
              <w:rPr>
                <w:rFonts w:cs="Calibri"/>
                <w:sz w:val="20"/>
                <w:szCs w:val="20"/>
                <w:lang w:eastAsia="pl-PL"/>
              </w:rPr>
              <w:t>Na obszarze Programu znajdują się</w:t>
            </w:r>
            <w:r w:rsidRPr="001268E7">
              <w:rPr>
                <w:rFonts w:cs="Calibri"/>
                <w:sz w:val="20"/>
                <w:szCs w:val="20"/>
                <w:lang w:eastAsia="pl-PL"/>
              </w:rPr>
              <w:t xml:space="preserve"> dwie trasy rowerowe EuroVelo (</w:t>
            </w:r>
            <w:r w:rsidR="00D931B6" w:rsidRPr="001268E7">
              <w:rPr>
                <w:rFonts w:cs="Calibri"/>
                <w:sz w:val="20"/>
                <w:szCs w:val="20"/>
                <w:lang w:eastAsia="pl-PL"/>
              </w:rPr>
              <w:t>EV10 и EV13). Ze względu na to, że po obydwu stronach obszaru transgranicznego brak jest infrastruktury turystycznej</w:t>
            </w:r>
            <w:r w:rsidRPr="001268E7">
              <w:rPr>
                <w:rFonts w:cs="Calibri"/>
                <w:sz w:val="20"/>
                <w:szCs w:val="20"/>
                <w:lang w:eastAsia="pl-PL"/>
              </w:rPr>
              <w:t>, która byłaby</w:t>
            </w:r>
            <w:r w:rsidR="00D931B6" w:rsidRPr="001268E7">
              <w:rPr>
                <w:rFonts w:cs="Calibri"/>
                <w:sz w:val="20"/>
                <w:szCs w:val="20"/>
                <w:lang w:eastAsia="pl-PL"/>
              </w:rPr>
              <w:t xml:space="preserve"> </w:t>
            </w:r>
            <w:r w:rsidRPr="001268E7">
              <w:rPr>
                <w:rFonts w:cs="Calibri"/>
                <w:sz w:val="20"/>
                <w:szCs w:val="20"/>
                <w:lang w:eastAsia="pl-PL"/>
              </w:rPr>
              <w:t>rozwinięta</w:t>
            </w:r>
            <w:r w:rsidR="00D931B6" w:rsidRPr="001268E7">
              <w:rPr>
                <w:rFonts w:cs="Calibri"/>
                <w:sz w:val="20"/>
                <w:szCs w:val="20"/>
                <w:lang w:eastAsia="pl-PL"/>
              </w:rPr>
              <w:t xml:space="preserve"> zgodnie z wymaganiami EuroVelo, prowadzone są dwa projekty inwestycyjne na dużą skalę ("Green velo" (PL) i "Spit to spit" (RU)), które muszą być koordynowane na etapie budowy, jak również planuje się dalsze wykorzystanie </w:t>
            </w:r>
            <w:r w:rsidRPr="001268E7">
              <w:rPr>
                <w:rFonts w:cs="Calibri"/>
                <w:sz w:val="20"/>
                <w:szCs w:val="20"/>
                <w:lang w:eastAsia="pl-PL"/>
              </w:rPr>
              <w:t>transgranicznej</w:t>
            </w:r>
            <w:r w:rsidR="00D931B6" w:rsidRPr="001268E7">
              <w:rPr>
                <w:rFonts w:cs="Calibri"/>
                <w:sz w:val="20"/>
                <w:szCs w:val="20"/>
                <w:lang w:eastAsia="pl-PL"/>
              </w:rPr>
              <w:t xml:space="preserve"> turystyki rowerowej oraz codziennych tras.</w:t>
            </w:r>
            <w:r w:rsidR="00650AC0" w:rsidRPr="001268E7">
              <w:rPr>
                <w:rFonts w:cs="Calibri"/>
                <w:sz w:val="20"/>
                <w:szCs w:val="20"/>
                <w:lang w:eastAsia="pl-PL"/>
              </w:rPr>
              <w:t xml:space="preserve"> </w:t>
            </w:r>
          </w:p>
          <w:p w:rsidR="00B902B9" w:rsidRDefault="00D931B6" w:rsidP="007F65D0">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Obydwa projekty </w:t>
            </w:r>
            <w:r w:rsidR="00D402C4" w:rsidRPr="001268E7">
              <w:rPr>
                <w:rFonts w:cs="Calibri"/>
                <w:sz w:val="20"/>
                <w:szCs w:val="20"/>
                <w:lang w:eastAsia="pl-PL"/>
              </w:rPr>
              <w:t>"Green velo"</w:t>
            </w:r>
            <w:r w:rsidR="007F65D0" w:rsidRPr="001268E7">
              <w:rPr>
                <w:rFonts w:cs="Calibri"/>
                <w:sz w:val="20"/>
                <w:szCs w:val="20"/>
                <w:lang w:eastAsia="pl-PL"/>
              </w:rPr>
              <w:t xml:space="preserve"> (PL) i "Spit to spit" (RU) (415,9 km tras rowerowych na Warmii i Mazurach z 1980 km w Polsce Wschodniej oraz 51 km tras rowerowych w regionie</w:t>
            </w:r>
            <w:r w:rsidR="00E54FEE" w:rsidRPr="001268E7">
              <w:rPr>
                <w:rFonts w:cs="Calibri"/>
                <w:sz w:val="20"/>
                <w:szCs w:val="20"/>
                <w:lang w:eastAsia="pl-PL"/>
              </w:rPr>
              <w:t xml:space="preserve"> kaliningradzkim) mogłyby</w:t>
            </w:r>
            <w:r w:rsidR="007F65D0" w:rsidRPr="001268E7">
              <w:rPr>
                <w:rFonts w:cs="Calibri"/>
                <w:sz w:val="20"/>
                <w:szCs w:val="20"/>
                <w:lang w:eastAsia="pl-PL"/>
              </w:rPr>
              <w:t xml:space="preserve"> być realizowane jedynie na zasadach transgranicznego partnerstwa i sąsiedztwa, aby</w:t>
            </w:r>
            <w:r w:rsidR="00650AC0" w:rsidRPr="001268E7">
              <w:rPr>
                <w:rFonts w:cs="Calibri"/>
                <w:sz w:val="20"/>
                <w:szCs w:val="20"/>
                <w:lang w:eastAsia="pl-PL"/>
              </w:rPr>
              <w:t xml:space="preserve"> </w:t>
            </w:r>
            <w:r w:rsidR="007F65D0" w:rsidRPr="001268E7">
              <w:rPr>
                <w:rFonts w:cs="Calibri"/>
                <w:sz w:val="20"/>
                <w:szCs w:val="20"/>
                <w:lang w:eastAsia="pl-PL"/>
              </w:rPr>
              <w:t>uzyskać zrównoważony charakter w przestrzeni i czasie.</w:t>
            </w:r>
          </w:p>
          <w:p w:rsidR="00D422FC" w:rsidRDefault="00D422FC" w:rsidP="007F65D0">
            <w:pPr>
              <w:autoSpaceDE w:val="0"/>
              <w:autoSpaceDN w:val="0"/>
              <w:adjustRightInd w:val="0"/>
              <w:spacing w:after="0" w:line="240" w:lineRule="auto"/>
              <w:jc w:val="both"/>
              <w:rPr>
                <w:rFonts w:cs="Calibri"/>
                <w:sz w:val="20"/>
                <w:szCs w:val="20"/>
                <w:lang w:eastAsia="pl-PL"/>
              </w:rPr>
            </w:pPr>
          </w:p>
          <w:p w:rsidR="00D422FC" w:rsidRPr="00D422FC" w:rsidRDefault="00D422FC" w:rsidP="007F65D0">
            <w:pPr>
              <w:autoSpaceDE w:val="0"/>
              <w:autoSpaceDN w:val="0"/>
              <w:adjustRightInd w:val="0"/>
              <w:spacing w:after="0" w:line="240" w:lineRule="auto"/>
              <w:jc w:val="both"/>
              <w:rPr>
                <w:rFonts w:cs="Calibri"/>
                <w:b/>
                <w:sz w:val="20"/>
                <w:szCs w:val="20"/>
                <w:lang w:eastAsia="pl-PL"/>
              </w:rPr>
            </w:pPr>
            <w:r w:rsidRPr="00D422FC">
              <w:rPr>
                <w:rFonts w:cs="Calibri"/>
                <w:b/>
                <w:sz w:val="20"/>
                <w:szCs w:val="20"/>
                <w:lang w:eastAsia="pl-PL"/>
              </w:rPr>
              <w:t>Cele projektu:</w:t>
            </w:r>
          </w:p>
          <w:p w:rsidR="002D2B93" w:rsidRPr="001268E7" w:rsidRDefault="002D2B93" w:rsidP="007F65D0">
            <w:pPr>
              <w:autoSpaceDE w:val="0"/>
              <w:autoSpaceDN w:val="0"/>
              <w:adjustRightInd w:val="0"/>
              <w:spacing w:after="0" w:line="240" w:lineRule="auto"/>
              <w:jc w:val="both"/>
              <w:rPr>
                <w:rFonts w:cs="Calibri"/>
                <w:sz w:val="20"/>
                <w:szCs w:val="20"/>
                <w:lang w:eastAsia="pl-PL"/>
              </w:rPr>
            </w:pPr>
            <w:r w:rsidRPr="002D2B93">
              <w:rPr>
                <w:rFonts w:cs="Calibri"/>
                <w:sz w:val="20"/>
                <w:szCs w:val="20"/>
                <w:lang w:eastAsia="pl-PL" w:bidi="pl-PL"/>
              </w:rPr>
              <w:t>W związku z rosnącą popularnością jazdy na rowerze pojawia się potrzeba uwzględnienia tego rodzaju aktywnej turystyki</w:t>
            </w:r>
            <w:r>
              <w:rPr>
                <w:rFonts w:cs="Calibri"/>
                <w:sz w:val="20"/>
                <w:szCs w:val="20"/>
                <w:lang w:eastAsia="pl-PL" w:bidi="pl-PL"/>
              </w:rPr>
              <w:t xml:space="preserve"> </w:t>
            </w:r>
            <w:r w:rsidRPr="002D2B93">
              <w:rPr>
                <w:rFonts w:cs="Calibri"/>
                <w:sz w:val="20"/>
                <w:szCs w:val="20"/>
                <w:lang w:eastAsia="pl-PL" w:bidi="pl-PL"/>
              </w:rPr>
              <w:t>w promowaniu obiektów dziedzictwa historycznego i kulturowego w regionach przygranicznych. Dzięki temu projektowi turyści będą mogli poznać zagadnienia, które są wspólne dla sąsiadujących regionów Rosji i Polski, a także historię byłego terytorium Prus Wschodnich. Niepowtarzalny krajobraz kulturowy i przyrodniczy znajdujący się w zasięgu tras rowerowych to szansa na to, by w pełni docenić dziedzictwo kulturowe obu krajów. Efekty transgraniczne zostaną osiągnięte dzięki nowym trasom turystycznym, które przyczynią się zarówno do zwiększenia napływu turystów w obu krajach, jak i do ustanowienia dobrosąsiedzkich stosunków oraz stworzenia warunków, które będą sprzyjały rozwojowi infrastruktury turystycznej i tworzeniu na trasach nowych atrakcji.</w:t>
            </w:r>
          </w:p>
          <w:p w:rsidR="00B902B9" w:rsidRPr="001268E7" w:rsidRDefault="00B902B9" w:rsidP="00180F2F">
            <w:pPr>
              <w:autoSpaceDE w:val="0"/>
              <w:autoSpaceDN w:val="0"/>
              <w:adjustRightInd w:val="0"/>
              <w:spacing w:after="0" w:line="240" w:lineRule="auto"/>
              <w:jc w:val="both"/>
              <w:rPr>
                <w:rFonts w:cs="Calibri"/>
                <w:sz w:val="20"/>
                <w:szCs w:val="20"/>
                <w:lang w:eastAsia="pl-PL"/>
              </w:rPr>
            </w:pPr>
          </w:p>
          <w:p w:rsidR="00B902B9" w:rsidRPr="00D422FC" w:rsidRDefault="007F65D0" w:rsidP="007F65D0">
            <w:pPr>
              <w:autoSpaceDE w:val="0"/>
              <w:autoSpaceDN w:val="0"/>
              <w:adjustRightInd w:val="0"/>
              <w:spacing w:after="0" w:line="240" w:lineRule="auto"/>
              <w:jc w:val="both"/>
              <w:rPr>
                <w:rFonts w:cs="Calibri"/>
                <w:b/>
                <w:sz w:val="20"/>
                <w:szCs w:val="20"/>
                <w:lang w:eastAsia="pl-PL"/>
              </w:rPr>
            </w:pPr>
            <w:r w:rsidRPr="00D422FC">
              <w:rPr>
                <w:rFonts w:cs="Calibri"/>
                <w:b/>
                <w:sz w:val="20"/>
                <w:szCs w:val="20"/>
                <w:lang w:eastAsia="pl-PL"/>
              </w:rPr>
              <w:t>Planowane działania:</w:t>
            </w:r>
          </w:p>
          <w:p w:rsidR="007F65D0" w:rsidRPr="001268E7" w:rsidRDefault="007F65D0" w:rsidP="00C62170">
            <w:pPr>
              <w:numPr>
                <w:ilvl w:val="0"/>
                <w:numId w:val="12"/>
              </w:numPr>
              <w:autoSpaceDE w:val="0"/>
              <w:autoSpaceDN w:val="0"/>
              <w:adjustRightInd w:val="0"/>
              <w:spacing w:after="0" w:line="240" w:lineRule="auto"/>
              <w:ind w:left="379"/>
              <w:jc w:val="both"/>
              <w:rPr>
                <w:rFonts w:cs="Calibri"/>
                <w:sz w:val="20"/>
                <w:szCs w:val="20"/>
                <w:lang w:eastAsia="pl-PL"/>
              </w:rPr>
            </w:pPr>
            <w:r w:rsidRPr="001268E7">
              <w:rPr>
                <w:rFonts w:cs="Calibri"/>
                <w:sz w:val="20"/>
                <w:szCs w:val="20"/>
                <w:lang w:eastAsia="pl-PL"/>
              </w:rPr>
              <w:t xml:space="preserve">Budowa trasy rowerowej (Zielenogradsk-Pionierskij-Swietłogorsk-Kraj Nadmorski, 51 km) zintegrowanej z </w:t>
            </w:r>
            <w:r w:rsidR="00E54FEE" w:rsidRPr="001268E7">
              <w:rPr>
                <w:rFonts w:cs="Calibri"/>
                <w:sz w:val="20"/>
                <w:szCs w:val="20"/>
                <w:lang w:eastAsia="pl-PL"/>
              </w:rPr>
              <w:t xml:space="preserve">transgraniczną </w:t>
            </w:r>
            <w:r w:rsidRPr="001268E7">
              <w:rPr>
                <w:rFonts w:cs="Calibri"/>
                <w:sz w:val="20"/>
                <w:szCs w:val="20"/>
                <w:lang w:eastAsia="pl-PL"/>
              </w:rPr>
              <w:t xml:space="preserve">siecią tras rowerowych regionu Polska-Kaliningrad (RU). </w:t>
            </w:r>
          </w:p>
          <w:p w:rsidR="007F65D0" w:rsidRPr="001268E7" w:rsidRDefault="007F65D0" w:rsidP="00C62170">
            <w:pPr>
              <w:numPr>
                <w:ilvl w:val="0"/>
                <w:numId w:val="12"/>
              </w:numPr>
              <w:autoSpaceDE w:val="0"/>
              <w:autoSpaceDN w:val="0"/>
              <w:adjustRightInd w:val="0"/>
              <w:spacing w:after="0" w:line="240" w:lineRule="auto"/>
              <w:ind w:left="379"/>
              <w:jc w:val="both"/>
              <w:rPr>
                <w:rFonts w:cs="Calibri"/>
                <w:sz w:val="20"/>
                <w:szCs w:val="20"/>
                <w:lang w:eastAsia="pl-PL"/>
              </w:rPr>
            </w:pPr>
            <w:r w:rsidRPr="001268E7">
              <w:rPr>
                <w:rFonts w:cs="Calibri"/>
                <w:sz w:val="20"/>
                <w:szCs w:val="20"/>
                <w:lang w:eastAsia="pl-PL"/>
              </w:rPr>
              <w:t xml:space="preserve">Wspieranie istniejących i rozwój nowych </w:t>
            </w:r>
            <w:r w:rsidR="00E54FEE" w:rsidRPr="001268E7">
              <w:rPr>
                <w:rFonts w:cs="Calibri"/>
                <w:sz w:val="20"/>
                <w:szCs w:val="20"/>
                <w:lang w:eastAsia="pl-PL"/>
              </w:rPr>
              <w:t xml:space="preserve">turystycznych transgranicznych </w:t>
            </w:r>
            <w:r w:rsidRPr="001268E7">
              <w:rPr>
                <w:rFonts w:cs="Calibri"/>
                <w:sz w:val="20"/>
                <w:szCs w:val="20"/>
                <w:lang w:eastAsia="pl-PL"/>
              </w:rPr>
              <w:t xml:space="preserve">tras rowerowych (PL, RU). </w:t>
            </w:r>
          </w:p>
          <w:p w:rsidR="007F65D0" w:rsidRPr="001268E7" w:rsidRDefault="007F65D0" w:rsidP="00C62170">
            <w:pPr>
              <w:numPr>
                <w:ilvl w:val="0"/>
                <w:numId w:val="12"/>
              </w:numPr>
              <w:autoSpaceDE w:val="0"/>
              <w:autoSpaceDN w:val="0"/>
              <w:adjustRightInd w:val="0"/>
              <w:spacing w:after="0" w:line="240" w:lineRule="auto"/>
              <w:ind w:left="379"/>
              <w:jc w:val="both"/>
              <w:rPr>
                <w:rFonts w:cs="Calibri"/>
                <w:sz w:val="20"/>
                <w:szCs w:val="20"/>
                <w:lang w:eastAsia="pl-PL"/>
              </w:rPr>
            </w:pPr>
            <w:r w:rsidRPr="001268E7">
              <w:rPr>
                <w:rFonts w:cs="Calibri"/>
                <w:sz w:val="20"/>
                <w:szCs w:val="20"/>
                <w:lang w:eastAsia="pl-PL"/>
              </w:rPr>
              <w:t xml:space="preserve">Organizacja interaktywnych turystycznych transgranicznych produktów (wydarzeń) w oparciu o trasy rowerowe (PL, RU). </w:t>
            </w:r>
          </w:p>
          <w:p w:rsidR="007F65D0" w:rsidRDefault="007F65D0" w:rsidP="00C62170">
            <w:pPr>
              <w:numPr>
                <w:ilvl w:val="0"/>
                <w:numId w:val="12"/>
              </w:numPr>
              <w:autoSpaceDE w:val="0"/>
              <w:autoSpaceDN w:val="0"/>
              <w:adjustRightInd w:val="0"/>
              <w:spacing w:after="0" w:line="240" w:lineRule="auto"/>
              <w:ind w:left="379"/>
              <w:jc w:val="both"/>
              <w:rPr>
                <w:rFonts w:cs="Calibri"/>
                <w:sz w:val="20"/>
                <w:szCs w:val="20"/>
                <w:lang w:eastAsia="pl-PL"/>
              </w:rPr>
            </w:pPr>
            <w:r w:rsidRPr="001268E7">
              <w:rPr>
                <w:rFonts w:cs="Calibri"/>
                <w:sz w:val="20"/>
                <w:szCs w:val="20"/>
                <w:lang w:eastAsia="pl-PL"/>
              </w:rPr>
              <w:t>Wydawanie publikacji w 3 językach; wydawanie newsletterów, rozpowszechnianie informacji w środkach masowego przekazu, gazetach itd. (PL, RU).</w:t>
            </w:r>
          </w:p>
          <w:p w:rsidR="005B21DE" w:rsidRDefault="005B21DE" w:rsidP="005B21DE">
            <w:pPr>
              <w:autoSpaceDE w:val="0"/>
              <w:autoSpaceDN w:val="0"/>
              <w:adjustRightInd w:val="0"/>
              <w:spacing w:after="0" w:line="240" w:lineRule="auto"/>
              <w:ind w:left="19"/>
              <w:jc w:val="both"/>
              <w:rPr>
                <w:rFonts w:cs="Calibri"/>
                <w:sz w:val="20"/>
                <w:szCs w:val="20"/>
                <w:lang w:eastAsia="pl-PL"/>
              </w:rPr>
            </w:pPr>
          </w:p>
          <w:p w:rsidR="005B21DE" w:rsidRPr="005B21DE" w:rsidRDefault="005B21DE" w:rsidP="005B21DE">
            <w:pPr>
              <w:autoSpaceDE w:val="0"/>
              <w:autoSpaceDN w:val="0"/>
              <w:adjustRightInd w:val="0"/>
              <w:spacing w:after="0" w:line="240" w:lineRule="auto"/>
              <w:ind w:left="19"/>
              <w:jc w:val="both"/>
              <w:rPr>
                <w:rFonts w:cs="Calibri"/>
                <w:b/>
                <w:sz w:val="20"/>
                <w:szCs w:val="20"/>
                <w:lang w:eastAsia="pl-PL"/>
              </w:rPr>
            </w:pPr>
            <w:r w:rsidRPr="005B21DE">
              <w:rPr>
                <w:rFonts w:cs="Calibri"/>
                <w:b/>
                <w:sz w:val="20"/>
                <w:szCs w:val="20"/>
                <w:lang w:eastAsia="pl-PL"/>
              </w:rPr>
              <w:t>Rezultaty projektu:</w:t>
            </w:r>
          </w:p>
          <w:p w:rsidR="005B21DE" w:rsidRDefault="002378C9"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Ścieżka rowerowa w Obwodzie Kaliningradzkim jest zbudowania i włączona do sieci ścieżek rowerowych Polska-Obwód Kaliningradzki;</w:t>
            </w:r>
          </w:p>
          <w:p w:rsidR="002378C9" w:rsidRDefault="0063338C"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Kilka transgranicznych wydarzeń turystycznych bazujących na ścieżkach rowerowych jest zrealizowanych;</w:t>
            </w:r>
          </w:p>
          <w:p w:rsidR="0063338C" w:rsidRDefault="00E5713F"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Materiały promocyjne są przygotowanie i rozdystrybuowane;</w:t>
            </w:r>
          </w:p>
          <w:p w:rsidR="00E5713F" w:rsidRDefault="00E5713F" w:rsidP="00C62170">
            <w:pPr>
              <w:numPr>
                <w:ilvl w:val="0"/>
                <w:numId w:val="12"/>
              </w:numPr>
              <w:autoSpaceDE w:val="0"/>
              <w:autoSpaceDN w:val="0"/>
              <w:adjustRightInd w:val="0"/>
              <w:spacing w:after="0" w:line="240" w:lineRule="auto"/>
              <w:ind w:left="379"/>
              <w:jc w:val="both"/>
              <w:rPr>
                <w:rFonts w:cs="Calibri"/>
                <w:sz w:val="20"/>
                <w:szCs w:val="20"/>
                <w:lang w:eastAsia="pl-PL"/>
              </w:rPr>
            </w:pPr>
            <w:r>
              <w:rPr>
                <w:rFonts w:cs="Calibri"/>
                <w:sz w:val="20"/>
                <w:szCs w:val="20"/>
                <w:lang w:eastAsia="pl-PL"/>
              </w:rPr>
              <w:t>Kontakty pomiędzy instytucjami i organizacjami rowerowymi są wzmocnione.</w:t>
            </w:r>
          </w:p>
          <w:p w:rsidR="00E5713F" w:rsidRDefault="00E5713F" w:rsidP="00E5713F">
            <w:pPr>
              <w:autoSpaceDE w:val="0"/>
              <w:autoSpaceDN w:val="0"/>
              <w:adjustRightInd w:val="0"/>
              <w:spacing w:after="0" w:line="240" w:lineRule="auto"/>
              <w:jc w:val="both"/>
              <w:rPr>
                <w:rFonts w:cs="Calibri"/>
                <w:sz w:val="20"/>
                <w:szCs w:val="20"/>
                <w:lang w:eastAsia="pl-PL"/>
              </w:rPr>
            </w:pPr>
          </w:p>
          <w:p w:rsidR="00E5713F" w:rsidRPr="004A509F" w:rsidRDefault="004C48B5" w:rsidP="00E5713F">
            <w:pPr>
              <w:autoSpaceDE w:val="0"/>
              <w:autoSpaceDN w:val="0"/>
              <w:adjustRightInd w:val="0"/>
              <w:spacing w:after="0" w:line="240" w:lineRule="auto"/>
              <w:jc w:val="both"/>
              <w:rPr>
                <w:rFonts w:cs="Calibri"/>
                <w:b/>
                <w:sz w:val="20"/>
                <w:szCs w:val="20"/>
                <w:lang w:eastAsia="pl-PL"/>
              </w:rPr>
            </w:pPr>
            <w:r w:rsidRPr="004A509F">
              <w:rPr>
                <w:rFonts w:cs="Calibri"/>
                <w:b/>
                <w:sz w:val="20"/>
                <w:szCs w:val="20"/>
                <w:lang w:eastAsia="pl-PL"/>
              </w:rPr>
              <w:t xml:space="preserve">Efekt </w:t>
            </w:r>
            <w:r w:rsidR="002A02EE" w:rsidRPr="004A509F">
              <w:rPr>
                <w:rFonts w:cs="Calibri"/>
                <w:b/>
                <w:sz w:val="20"/>
                <w:szCs w:val="20"/>
                <w:lang w:eastAsia="pl-PL"/>
              </w:rPr>
              <w:t>transgraniczny:</w:t>
            </w:r>
          </w:p>
          <w:p w:rsidR="002A02EE" w:rsidRPr="001268E7" w:rsidRDefault="002429E8" w:rsidP="00E5713F">
            <w:pPr>
              <w:autoSpaceDE w:val="0"/>
              <w:autoSpaceDN w:val="0"/>
              <w:adjustRightInd w:val="0"/>
              <w:spacing w:after="0" w:line="240" w:lineRule="auto"/>
              <w:jc w:val="both"/>
              <w:rPr>
                <w:rFonts w:cs="Calibri"/>
                <w:sz w:val="20"/>
                <w:szCs w:val="20"/>
                <w:lang w:eastAsia="pl-PL"/>
              </w:rPr>
            </w:pPr>
            <w:r>
              <w:rPr>
                <w:rFonts w:cs="Calibri"/>
                <w:sz w:val="20"/>
                <w:szCs w:val="20"/>
                <w:lang w:eastAsia="pl-PL"/>
              </w:rPr>
              <w:t>Rozwój niezbędnej infrastruktury da obu regionom dobrą szansę na koordynację ich działań turystycznych i rozwój nowych produktów bazujących na rowerach, które byłyby atrakcyjne nie tylko dla mieszkańców Kaliningradu oraz regionu Warmii i Mazur ale także dla turystów spoza obszaru projektu (w szczególności z pozostałych obszarów Rosji oraz z Unii Europejskiej).</w:t>
            </w:r>
          </w:p>
          <w:p w:rsidR="00B902B9" w:rsidRPr="001268E7" w:rsidRDefault="00B902B9" w:rsidP="007F65D0">
            <w:pPr>
              <w:keepNext/>
              <w:autoSpaceDE w:val="0"/>
              <w:autoSpaceDN w:val="0"/>
              <w:adjustRightInd w:val="0"/>
              <w:spacing w:after="0" w:line="192" w:lineRule="auto"/>
              <w:ind w:left="720"/>
              <w:jc w:val="both"/>
              <w:rPr>
                <w:rFonts w:cs="Calibri"/>
              </w:rPr>
            </w:pPr>
          </w:p>
        </w:tc>
      </w:tr>
      <w:tr w:rsidR="00B902B9" w:rsidRPr="001268E7" w:rsidTr="007F65D0">
        <w:tc>
          <w:tcPr>
            <w:tcW w:w="1889" w:type="dxa"/>
            <w:shd w:val="clear" w:color="auto" w:fill="auto"/>
            <w:vAlign w:val="center"/>
          </w:tcPr>
          <w:p w:rsidR="00B902B9" w:rsidRPr="001268E7" w:rsidRDefault="007F65D0" w:rsidP="0092538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lastRenderedPageBreak/>
              <w:t>Uzasadnienie bezpośredniego udzielenia zamówienia</w:t>
            </w:r>
          </w:p>
        </w:tc>
        <w:tc>
          <w:tcPr>
            <w:tcW w:w="7686" w:type="dxa"/>
            <w:shd w:val="clear" w:color="auto" w:fill="auto"/>
            <w:vAlign w:val="center"/>
          </w:tcPr>
          <w:p w:rsidR="00B902B9" w:rsidRDefault="007F65D0" w:rsidP="0092538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Ze względu na federalne przepisy prawa, realizacja projektów musi być wspierana, koordynowana i współfinansowana przez regionalne i lokalne władze.</w:t>
            </w:r>
            <w:r w:rsidR="00B902B9" w:rsidRPr="001268E7">
              <w:rPr>
                <w:rFonts w:cs="Calibri"/>
                <w:sz w:val="20"/>
                <w:szCs w:val="20"/>
                <w:lang w:eastAsia="pl-PL"/>
              </w:rPr>
              <w:t xml:space="preserve"> </w:t>
            </w:r>
            <w:r w:rsidRPr="001268E7">
              <w:rPr>
                <w:rFonts w:cs="Calibri"/>
                <w:sz w:val="20"/>
                <w:szCs w:val="20"/>
                <w:lang w:eastAsia="pl-PL"/>
              </w:rPr>
              <w:t xml:space="preserve">Zgodnie z Federalnym Programem "Rozwój wewnętrznego i napływającego ruchu turystycznego w Federacji Rosyjskiej 2011-2018", rozwój stref turystki i rekreacji powinien być oparty na podejściu </w:t>
            </w:r>
            <w:r w:rsidR="00E54FEE" w:rsidRPr="001268E7">
              <w:rPr>
                <w:rFonts w:cs="Calibri"/>
                <w:sz w:val="20"/>
                <w:szCs w:val="20"/>
                <w:lang w:eastAsia="pl-PL"/>
              </w:rPr>
              <w:t xml:space="preserve">dotyczącym </w:t>
            </w:r>
            <w:r w:rsidRPr="001268E7">
              <w:rPr>
                <w:rFonts w:cs="Calibri"/>
                <w:sz w:val="20"/>
                <w:szCs w:val="20"/>
                <w:lang w:eastAsia="pl-PL"/>
              </w:rPr>
              <w:t>klastra turystycznego, podczas gdy obiekty infrastruktury pomocniczej (w tym trasy rowerowe) muszą być</w:t>
            </w:r>
            <w:r w:rsidR="00E54FEE" w:rsidRPr="001268E7">
              <w:rPr>
                <w:rFonts w:cs="Calibri"/>
                <w:sz w:val="20"/>
                <w:szCs w:val="20"/>
                <w:lang w:eastAsia="pl-PL"/>
              </w:rPr>
              <w:t xml:space="preserve"> rozbudowane</w:t>
            </w:r>
            <w:r w:rsidRPr="001268E7">
              <w:rPr>
                <w:rFonts w:cs="Calibri"/>
                <w:sz w:val="20"/>
                <w:szCs w:val="20"/>
                <w:lang w:eastAsia="pl-PL"/>
              </w:rPr>
              <w:t xml:space="preserve"> i współfinansowane z państwowych, regionalnych i lokalnych budżetów.</w:t>
            </w:r>
          </w:p>
          <w:p w:rsidR="00AE7813" w:rsidRPr="001268E7" w:rsidRDefault="00AE7813" w:rsidP="00925386">
            <w:pPr>
              <w:autoSpaceDE w:val="0"/>
              <w:autoSpaceDN w:val="0"/>
              <w:adjustRightInd w:val="0"/>
              <w:spacing w:after="0" w:line="240" w:lineRule="auto"/>
              <w:jc w:val="both"/>
              <w:rPr>
                <w:rFonts w:cs="Calibri"/>
                <w:sz w:val="20"/>
                <w:szCs w:val="20"/>
                <w:lang w:eastAsia="pl-PL"/>
              </w:rPr>
            </w:pPr>
            <w:r>
              <w:rPr>
                <w:rFonts w:cs="Calibri"/>
                <w:sz w:val="20"/>
                <w:szCs w:val="20"/>
                <w:lang w:eastAsia="pl-PL"/>
              </w:rPr>
              <w:t>Fundusz Ochrony Zabytków jest w szczególności zaproszone jako partner projektu jako że ta organizacja rozwinęła Koncepcję trans granicznych ścieżek turystycznych (uwzględniając rowerowe) dla Obwodu Kaliningradzkiego w ramach projektu „Crossroads” wdrażanego w ramach poprzedniego Programu „Litwa-Polska-Rosja 2007-2014” i ma unikalną wiedzę i kompetencje w tym zakresie. Proponowany projekt będzie wdrażany zgodnie z Koncepcją i wydaje się naturalne, że twórcy Koncepcji uczestniczą w projekcie jako partnerzy.</w:t>
            </w:r>
          </w:p>
        </w:tc>
      </w:tr>
      <w:tr w:rsidR="00B902B9" w:rsidRPr="001268E7" w:rsidTr="003C30A6">
        <w:tc>
          <w:tcPr>
            <w:tcW w:w="1889" w:type="dxa"/>
            <w:shd w:val="clear" w:color="auto" w:fill="auto"/>
            <w:vAlign w:val="center"/>
          </w:tcPr>
          <w:p w:rsidR="00B902B9" w:rsidRPr="001268E7" w:rsidRDefault="00C57006" w:rsidP="00C5700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Cel Tematyczny</w:t>
            </w:r>
          </w:p>
        </w:tc>
        <w:tc>
          <w:tcPr>
            <w:tcW w:w="7686" w:type="dxa"/>
            <w:shd w:val="clear" w:color="auto" w:fill="auto"/>
            <w:vAlign w:val="center"/>
          </w:tcPr>
          <w:p w:rsidR="00B902B9" w:rsidRPr="001268E7" w:rsidRDefault="00C57006" w:rsidP="00C5700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7 - Popra</w:t>
            </w:r>
            <w:r w:rsidR="0068238C" w:rsidRPr="001268E7">
              <w:rPr>
                <w:rFonts w:cs="Calibri"/>
                <w:b/>
                <w:sz w:val="20"/>
                <w:szCs w:val="20"/>
                <w:lang w:eastAsia="pl-PL"/>
              </w:rPr>
              <w:t>wa dostępności regionów, rozwój</w:t>
            </w:r>
            <w:r w:rsidRPr="001268E7">
              <w:rPr>
                <w:rFonts w:cs="Calibri"/>
                <w:b/>
                <w:sz w:val="20"/>
                <w:szCs w:val="20"/>
                <w:lang w:eastAsia="pl-PL"/>
              </w:rPr>
              <w:t xml:space="preserve"> trwałego i odpornego na klimat transportu oraz sieci i systemów komunikacyjnych</w:t>
            </w:r>
          </w:p>
        </w:tc>
      </w:tr>
      <w:tr w:rsidR="00B902B9" w:rsidRPr="001268E7" w:rsidTr="003C30A6">
        <w:tc>
          <w:tcPr>
            <w:tcW w:w="1889" w:type="dxa"/>
            <w:shd w:val="clear" w:color="auto" w:fill="auto"/>
            <w:vAlign w:val="center"/>
          </w:tcPr>
          <w:p w:rsidR="00B902B9" w:rsidRPr="001268E7" w:rsidRDefault="00C57006" w:rsidP="00C5700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Tytuł</w:t>
            </w:r>
          </w:p>
        </w:tc>
        <w:tc>
          <w:tcPr>
            <w:tcW w:w="7686" w:type="dxa"/>
            <w:shd w:val="clear" w:color="auto" w:fill="auto"/>
            <w:vAlign w:val="center"/>
          </w:tcPr>
          <w:p w:rsidR="00B902B9" w:rsidRPr="001268E7" w:rsidRDefault="00C71633"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Przebudowa drogi wojewódzkiej nr 512 wraz z budową drogi i przeprawy mostowej w Bartoszycach, w tym zmiana </w:t>
            </w:r>
            <w:r w:rsidR="003C30A6" w:rsidRPr="001268E7">
              <w:rPr>
                <w:rFonts w:cs="Calibri"/>
                <w:sz w:val="20"/>
                <w:szCs w:val="20"/>
                <w:lang w:eastAsia="pl-PL"/>
              </w:rPr>
              <w:t>przebiegu</w:t>
            </w:r>
          </w:p>
        </w:tc>
      </w:tr>
      <w:tr w:rsidR="00B902B9" w:rsidRPr="001268E7" w:rsidTr="003C30A6">
        <w:tc>
          <w:tcPr>
            <w:tcW w:w="1889" w:type="dxa"/>
            <w:shd w:val="clear" w:color="auto" w:fill="auto"/>
            <w:vAlign w:val="center"/>
          </w:tcPr>
          <w:p w:rsidR="00B902B9" w:rsidRPr="001268E7" w:rsidRDefault="00C71633" w:rsidP="00C71633">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Beneficjent</w:t>
            </w:r>
            <w:r w:rsidR="00C2605F">
              <w:rPr>
                <w:rFonts w:cs="Calibri"/>
                <w:b/>
                <w:sz w:val="20"/>
                <w:szCs w:val="20"/>
                <w:lang w:eastAsia="pl-PL"/>
              </w:rPr>
              <w:t xml:space="preserve"> Wiodący</w:t>
            </w:r>
          </w:p>
        </w:tc>
        <w:tc>
          <w:tcPr>
            <w:tcW w:w="7686" w:type="dxa"/>
            <w:shd w:val="clear" w:color="auto" w:fill="auto"/>
            <w:vAlign w:val="center"/>
          </w:tcPr>
          <w:p w:rsidR="00B902B9" w:rsidRPr="001268E7" w:rsidRDefault="00C71633" w:rsidP="00C71633">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Wojewódzki Zarząd Dróg w Olsztynie</w:t>
            </w:r>
            <w:r w:rsidR="00B902B9" w:rsidRPr="001268E7">
              <w:rPr>
                <w:rFonts w:cs="Calibri"/>
                <w:sz w:val="20"/>
                <w:szCs w:val="20"/>
                <w:lang w:eastAsia="pl-PL"/>
              </w:rPr>
              <w:t xml:space="preserve"> </w:t>
            </w:r>
          </w:p>
        </w:tc>
      </w:tr>
      <w:tr w:rsidR="00B902B9" w:rsidRPr="001268E7" w:rsidTr="003C30A6">
        <w:tc>
          <w:tcPr>
            <w:tcW w:w="1889" w:type="dxa"/>
            <w:shd w:val="clear" w:color="auto" w:fill="auto"/>
            <w:vAlign w:val="center"/>
          </w:tcPr>
          <w:p w:rsidR="00B902B9" w:rsidRPr="001268E7" w:rsidRDefault="00C2605F" w:rsidP="00C71633">
            <w:pPr>
              <w:autoSpaceDE w:val="0"/>
              <w:autoSpaceDN w:val="0"/>
              <w:adjustRightInd w:val="0"/>
              <w:spacing w:after="0" w:line="240" w:lineRule="auto"/>
              <w:rPr>
                <w:rFonts w:cs="Calibri"/>
                <w:b/>
                <w:sz w:val="20"/>
                <w:szCs w:val="20"/>
                <w:lang w:eastAsia="pl-PL"/>
              </w:rPr>
            </w:pPr>
            <w:r>
              <w:rPr>
                <w:rFonts w:cs="Calibri"/>
                <w:b/>
                <w:sz w:val="20"/>
                <w:szCs w:val="20"/>
                <w:lang w:eastAsia="pl-PL"/>
              </w:rPr>
              <w:t>Pozostali Beneficjenci</w:t>
            </w:r>
          </w:p>
        </w:tc>
        <w:tc>
          <w:tcPr>
            <w:tcW w:w="7686" w:type="dxa"/>
            <w:shd w:val="clear" w:color="auto" w:fill="auto"/>
            <w:vAlign w:val="center"/>
          </w:tcPr>
          <w:p w:rsidR="00B902B9" w:rsidRPr="001268E7" w:rsidRDefault="00C71633" w:rsidP="00C71633">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Administracja gminy miejskiej dystryktu miejskiego Gusiew</w:t>
            </w:r>
          </w:p>
        </w:tc>
      </w:tr>
      <w:tr w:rsidR="00B902B9" w:rsidRPr="001268E7" w:rsidTr="003C30A6">
        <w:tc>
          <w:tcPr>
            <w:tcW w:w="1889" w:type="dxa"/>
            <w:shd w:val="clear" w:color="auto" w:fill="auto"/>
            <w:vAlign w:val="center"/>
          </w:tcPr>
          <w:p w:rsidR="00B902B9" w:rsidRPr="001268E7" w:rsidRDefault="00C71633" w:rsidP="00C71633">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Całkowity budżet projektu</w:t>
            </w:r>
          </w:p>
        </w:tc>
        <w:tc>
          <w:tcPr>
            <w:tcW w:w="7686" w:type="dxa"/>
            <w:shd w:val="clear" w:color="auto" w:fill="auto"/>
            <w:vAlign w:val="center"/>
          </w:tcPr>
          <w:p w:rsidR="00B902B9" w:rsidRPr="001268E7" w:rsidRDefault="00C71633" w:rsidP="00C71633">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8 040 000,00 EUR</w:t>
            </w:r>
          </w:p>
        </w:tc>
      </w:tr>
      <w:tr w:rsidR="00B902B9" w:rsidRPr="001268E7" w:rsidTr="003C30A6">
        <w:tc>
          <w:tcPr>
            <w:tcW w:w="1889" w:type="dxa"/>
            <w:shd w:val="clear" w:color="auto" w:fill="auto"/>
            <w:vAlign w:val="center"/>
          </w:tcPr>
          <w:p w:rsidR="00B902B9" w:rsidRPr="001268E7" w:rsidRDefault="00C71633" w:rsidP="00C71633">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Kwota dotacji</w:t>
            </w:r>
          </w:p>
        </w:tc>
        <w:tc>
          <w:tcPr>
            <w:tcW w:w="7686" w:type="dxa"/>
            <w:shd w:val="clear" w:color="auto" w:fill="auto"/>
            <w:vAlign w:val="center"/>
          </w:tcPr>
          <w:p w:rsidR="00B902B9" w:rsidRPr="001268E7" w:rsidRDefault="0048001E" w:rsidP="00C71633">
            <w:pPr>
              <w:autoSpaceDE w:val="0"/>
              <w:autoSpaceDN w:val="0"/>
              <w:adjustRightInd w:val="0"/>
              <w:spacing w:after="0" w:line="240" w:lineRule="auto"/>
              <w:jc w:val="both"/>
              <w:rPr>
                <w:rFonts w:cs="Calibri"/>
                <w:sz w:val="20"/>
                <w:szCs w:val="20"/>
                <w:lang w:eastAsia="pl-PL"/>
              </w:rPr>
            </w:pPr>
            <w:r>
              <w:rPr>
                <w:rFonts w:cs="Calibri"/>
                <w:sz w:val="20"/>
                <w:szCs w:val="20"/>
                <w:lang w:eastAsia="pl-PL"/>
              </w:rPr>
              <w:t>7 236 000,00 EUR</w:t>
            </w:r>
          </w:p>
        </w:tc>
      </w:tr>
      <w:tr w:rsidR="00B902B9" w:rsidRPr="001268E7" w:rsidTr="003C30A6">
        <w:tc>
          <w:tcPr>
            <w:tcW w:w="1889" w:type="dxa"/>
            <w:shd w:val="clear" w:color="auto" w:fill="auto"/>
            <w:vAlign w:val="center"/>
          </w:tcPr>
          <w:p w:rsidR="00B902B9" w:rsidRPr="001268E7" w:rsidRDefault="001F4C65" w:rsidP="00C71633">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Kwota elementu</w:t>
            </w:r>
            <w:r w:rsidR="00C71633" w:rsidRPr="001268E7">
              <w:rPr>
                <w:rFonts w:cs="Calibri"/>
                <w:b/>
                <w:sz w:val="20"/>
                <w:szCs w:val="20"/>
                <w:lang w:eastAsia="pl-PL"/>
              </w:rPr>
              <w:t xml:space="preserve"> infrastrukturalnego</w:t>
            </w:r>
          </w:p>
        </w:tc>
        <w:tc>
          <w:tcPr>
            <w:tcW w:w="7686" w:type="dxa"/>
            <w:shd w:val="clear" w:color="auto" w:fill="auto"/>
            <w:vAlign w:val="center"/>
          </w:tcPr>
          <w:p w:rsidR="00B902B9" w:rsidRPr="001268E7" w:rsidRDefault="0048001E" w:rsidP="00C71633">
            <w:pPr>
              <w:autoSpaceDE w:val="0"/>
              <w:autoSpaceDN w:val="0"/>
              <w:adjustRightInd w:val="0"/>
              <w:spacing w:after="0" w:line="240" w:lineRule="auto"/>
              <w:jc w:val="both"/>
              <w:rPr>
                <w:rFonts w:cs="Calibri"/>
                <w:sz w:val="20"/>
                <w:szCs w:val="20"/>
                <w:lang w:eastAsia="pl-PL"/>
              </w:rPr>
            </w:pPr>
            <w:r>
              <w:rPr>
                <w:rFonts w:cs="Calibri"/>
                <w:sz w:val="20"/>
                <w:szCs w:val="20"/>
                <w:lang w:eastAsia="pl-PL"/>
              </w:rPr>
              <w:t>7 661 200,00 EUR</w:t>
            </w:r>
          </w:p>
        </w:tc>
      </w:tr>
      <w:tr w:rsidR="00B902B9" w:rsidRPr="001268E7" w:rsidTr="003C30A6">
        <w:tc>
          <w:tcPr>
            <w:tcW w:w="1889" w:type="dxa"/>
            <w:shd w:val="clear" w:color="auto" w:fill="auto"/>
            <w:vAlign w:val="center"/>
          </w:tcPr>
          <w:p w:rsidR="00B902B9" w:rsidRPr="001268E7" w:rsidRDefault="00C71633" w:rsidP="00C71633">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Okres trwania projektu</w:t>
            </w:r>
          </w:p>
        </w:tc>
        <w:tc>
          <w:tcPr>
            <w:tcW w:w="7686" w:type="dxa"/>
            <w:shd w:val="clear" w:color="auto" w:fill="auto"/>
            <w:vAlign w:val="center"/>
          </w:tcPr>
          <w:p w:rsidR="00B902B9" w:rsidRPr="001268E7" w:rsidRDefault="0048001E" w:rsidP="00180F2F">
            <w:pPr>
              <w:autoSpaceDE w:val="0"/>
              <w:autoSpaceDN w:val="0"/>
              <w:adjustRightInd w:val="0"/>
              <w:spacing w:after="0" w:line="240" w:lineRule="auto"/>
              <w:jc w:val="both"/>
              <w:rPr>
                <w:rFonts w:cs="Calibri"/>
                <w:sz w:val="20"/>
                <w:szCs w:val="20"/>
                <w:lang w:eastAsia="pl-PL"/>
              </w:rPr>
            </w:pPr>
            <w:r>
              <w:rPr>
                <w:rFonts w:cs="Calibri"/>
                <w:sz w:val="20"/>
                <w:szCs w:val="20"/>
                <w:lang w:eastAsia="pl-PL"/>
              </w:rPr>
              <w:t>– – 36 miesięcy</w:t>
            </w:r>
          </w:p>
        </w:tc>
      </w:tr>
      <w:tr w:rsidR="00B902B9" w:rsidRPr="001268E7" w:rsidTr="003C30A6">
        <w:tc>
          <w:tcPr>
            <w:tcW w:w="1889" w:type="dxa"/>
            <w:shd w:val="clear" w:color="auto" w:fill="auto"/>
            <w:vAlign w:val="center"/>
          </w:tcPr>
          <w:p w:rsidR="00B902B9" w:rsidRPr="001268E7" w:rsidRDefault="00C71633" w:rsidP="00C71633">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t>Zakres projektu</w:t>
            </w:r>
          </w:p>
        </w:tc>
        <w:tc>
          <w:tcPr>
            <w:tcW w:w="7686" w:type="dxa"/>
            <w:shd w:val="clear" w:color="auto" w:fill="auto"/>
            <w:vAlign w:val="center"/>
          </w:tcPr>
          <w:p w:rsidR="00B902B9" w:rsidRDefault="005D74F7" w:rsidP="003C30A6">
            <w:pPr>
              <w:autoSpaceDE w:val="0"/>
              <w:autoSpaceDN w:val="0"/>
              <w:adjustRightInd w:val="0"/>
              <w:spacing w:after="0" w:line="240" w:lineRule="auto"/>
              <w:jc w:val="both"/>
              <w:rPr>
                <w:rFonts w:cs="Calibri"/>
                <w:sz w:val="20"/>
                <w:szCs w:val="20"/>
                <w:lang w:eastAsia="pl-PL"/>
              </w:rPr>
            </w:pPr>
            <w:r>
              <w:rPr>
                <w:rFonts w:cs="Calibri"/>
                <w:sz w:val="20"/>
                <w:szCs w:val="20"/>
                <w:lang w:eastAsia="pl-PL"/>
              </w:rPr>
              <w:t xml:space="preserve">Tło: </w:t>
            </w:r>
            <w:r w:rsidR="00C71633" w:rsidRPr="001268E7">
              <w:rPr>
                <w:rFonts w:cs="Calibri"/>
                <w:sz w:val="20"/>
                <w:szCs w:val="20"/>
                <w:lang w:eastAsia="pl-PL"/>
              </w:rPr>
              <w:t>Zgodnie z badaniami przeprowadzonymi w 2010 r. przez Generalną Dyrekcję Dróg Krajowych i Autostrad</w:t>
            </w:r>
            <w:r w:rsidR="00F535E1" w:rsidRPr="001268E7">
              <w:rPr>
                <w:rFonts w:cs="Calibri"/>
                <w:sz w:val="20"/>
                <w:szCs w:val="20"/>
                <w:lang w:eastAsia="pl-PL"/>
              </w:rPr>
              <w:t>,</w:t>
            </w:r>
            <w:r w:rsidR="00C71633" w:rsidRPr="001268E7">
              <w:rPr>
                <w:rFonts w:cs="Calibri"/>
                <w:sz w:val="20"/>
                <w:szCs w:val="20"/>
                <w:lang w:eastAsia="pl-PL"/>
              </w:rPr>
              <w:t xml:space="preserve"> Oddział w Olsztynie, średni</w:t>
            </w:r>
            <w:r w:rsidR="003C30A6" w:rsidRPr="001268E7">
              <w:rPr>
                <w:rFonts w:cs="Calibri"/>
                <w:sz w:val="20"/>
                <w:szCs w:val="20"/>
                <w:lang w:eastAsia="pl-PL"/>
              </w:rPr>
              <w:t xml:space="preserve"> dzienny ruch drogowy tylko na moście w Bartoszycach wzdłuż drogi krajowej nr 51 prowadzącej do przejścia granicznego Bezledy - Bagrationowsk wyniósł 17 119 samochodów.</w:t>
            </w:r>
            <w:r w:rsidR="00B902B9" w:rsidRPr="001268E7">
              <w:rPr>
                <w:rFonts w:cs="Calibri"/>
                <w:sz w:val="20"/>
                <w:szCs w:val="20"/>
                <w:lang w:eastAsia="pl-PL"/>
              </w:rPr>
              <w:t xml:space="preserve"> </w:t>
            </w:r>
            <w:r w:rsidR="003C30A6" w:rsidRPr="001268E7">
              <w:rPr>
                <w:rFonts w:cs="Calibri"/>
                <w:sz w:val="20"/>
                <w:szCs w:val="20"/>
                <w:lang w:eastAsia="pl-PL"/>
              </w:rPr>
              <w:t>Umowa o małym ruchu granicznym pomiędzy UE a Fe</w:t>
            </w:r>
            <w:r w:rsidR="00F535E1" w:rsidRPr="001268E7">
              <w:rPr>
                <w:rFonts w:cs="Calibri"/>
                <w:sz w:val="20"/>
                <w:szCs w:val="20"/>
                <w:lang w:eastAsia="pl-PL"/>
              </w:rPr>
              <w:t xml:space="preserve">deracją Rosyjską, która </w:t>
            </w:r>
            <w:r w:rsidR="003C30A6" w:rsidRPr="001268E7">
              <w:rPr>
                <w:rFonts w:cs="Calibri"/>
                <w:sz w:val="20"/>
                <w:szCs w:val="20"/>
                <w:lang w:eastAsia="pl-PL"/>
              </w:rPr>
              <w:t>weszła w życie w lipcu 2012 r., spowodowała znaczący wzrost ruchu przez to przejście graniczne.</w:t>
            </w:r>
            <w:r w:rsidR="00B902B9" w:rsidRPr="001268E7">
              <w:rPr>
                <w:rFonts w:cs="Calibri"/>
                <w:sz w:val="20"/>
                <w:szCs w:val="20"/>
                <w:lang w:eastAsia="pl-PL"/>
              </w:rPr>
              <w:t xml:space="preserve"> </w:t>
            </w:r>
            <w:r w:rsidR="003C30A6" w:rsidRPr="001268E7">
              <w:rPr>
                <w:rFonts w:cs="Calibri"/>
                <w:sz w:val="20"/>
                <w:szCs w:val="20"/>
                <w:lang w:eastAsia="pl-PL"/>
              </w:rPr>
              <w:t>Zgodnie z danymi polskiej straży granicznej, w 2012 r. przejście graniczne zostało przekroczone przez 1 059 778 osób oraz 722 640 pojaz</w:t>
            </w:r>
            <w:r w:rsidR="0068238C" w:rsidRPr="001268E7">
              <w:rPr>
                <w:rFonts w:cs="Calibri"/>
                <w:sz w:val="20"/>
                <w:szCs w:val="20"/>
                <w:lang w:eastAsia="pl-PL"/>
              </w:rPr>
              <w:t>dy</w:t>
            </w:r>
            <w:r w:rsidR="00F535E1" w:rsidRPr="001268E7">
              <w:rPr>
                <w:rFonts w:cs="Calibri"/>
                <w:sz w:val="20"/>
                <w:szCs w:val="20"/>
                <w:lang w:eastAsia="pl-PL"/>
              </w:rPr>
              <w:t>, natomiast w 2013 r. przejście zostało przekroczone przez</w:t>
            </w:r>
            <w:r w:rsidR="003C30A6" w:rsidRPr="001268E7">
              <w:rPr>
                <w:rFonts w:cs="Calibri"/>
                <w:sz w:val="20"/>
                <w:szCs w:val="20"/>
                <w:lang w:eastAsia="pl-PL"/>
              </w:rPr>
              <w:t xml:space="preserve"> 1 764</w:t>
            </w:r>
            <w:r w:rsidR="00F535E1" w:rsidRPr="001268E7">
              <w:rPr>
                <w:rFonts w:cs="Calibri"/>
                <w:sz w:val="20"/>
                <w:szCs w:val="20"/>
                <w:lang w:eastAsia="pl-PL"/>
              </w:rPr>
              <w:t xml:space="preserve"> </w:t>
            </w:r>
            <w:r w:rsidR="0068238C" w:rsidRPr="001268E7">
              <w:rPr>
                <w:rFonts w:cs="Calibri"/>
                <w:sz w:val="20"/>
                <w:szCs w:val="20"/>
                <w:lang w:eastAsia="pl-PL"/>
              </w:rPr>
              <w:t>416 osób oraz 1 173 542 pojazdy</w:t>
            </w:r>
            <w:r w:rsidR="003C30A6" w:rsidRPr="001268E7">
              <w:rPr>
                <w:rFonts w:cs="Calibri"/>
                <w:sz w:val="20"/>
                <w:szCs w:val="20"/>
                <w:lang w:eastAsia="pl-PL"/>
              </w:rPr>
              <w:t>.</w:t>
            </w:r>
            <w:r w:rsidR="00B902B9" w:rsidRPr="001268E7">
              <w:rPr>
                <w:rFonts w:cs="Calibri"/>
                <w:sz w:val="20"/>
                <w:szCs w:val="20"/>
                <w:lang w:eastAsia="pl-PL"/>
              </w:rPr>
              <w:t xml:space="preserve"> </w:t>
            </w:r>
            <w:r w:rsidR="003C30A6" w:rsidRPr="001268E7">
              <w:rPr>
                <w:rFonts w:cs="Calibri"/>
                <w:sz w:val="20"/>
                <w:szCs w:val="20"/>
                <w:lang w:eastAsia="pl-PL"/>
              </w:rPr>
              <w:t>Oznacza to wzrost odpowiednio o ponad 66% i 62%.</w:t>
            </w:r>
            <w:r w:rsidR="00B902B9" w:rsidRPr="001268E7">
              <w:rPr>
                <w:rFonts w:cs="Calibri"/>
                <w:sz w:val="20"/>
                <w:szCs w:val="20"/>
                <w:lang w:eastAsia="pl-PL"/>
              </w:rPr>
              <w:t xml:space="preserve"> </w:t>
            </w:r>
            <w:r w:rsidR="003C30A6" w:rsidRPr="001268E7">
              <w:rPr>
                <w:rFonts w:cs="Calibri"/>
                <w:sz w:val="20"/>
                <w:szCs w:val="20"/>
                <w:lang w:eastAsia="pl-PL"/>
              </w:rPr>
              <w:t>Jednocześnie, most został określony jako istotne wąskie gardło.</w:t>
            </w:r>
            <w:r w:rsidR="00B902B9" w:rsidRPr="001268E7">
              <w:rPr>
                <w:rFonts w:cs="Calibri"/>
                <w:sz w:val="20"/>
                <w:szCs w:val="20"/>
                <w:lang w:eastAsia="pl-PL"/>
              </w:rPr>
              <w:t xml:space="preserve"> </w:t>
            </w:r>
            <w:r w:rsidR="003C30A6" w:rsidRPr="001268E7">
              <w:rPr>
                <w:rFonts w:cs="Calibri"/>
                <w:sz w:val="20"/>
                <w:szCs w:val="20"/>
                <w:lang w:eastAsia="pl-PL"/>
              </w:rPr>
              <w:t xml:space="preserve">Każde zdarzenie </w:t>
            </w:r>
            <w:r w:rsidR="0086507B" w:rsidRPr="001268E7">
              <w:rPr>
                <w:rFonts w:cs="Calibri"/>
                <w:sz w:val="20"/>
                <w:szCs w:val="20"/>
                <w:lang w:eastAsia="pl-PL"/>
              </w:rPr>
              <w:t>drogowe w tym rejonie oraz wszystkie drobne</w:t>
            </w:r>
            <w:r w:rsidR="003C30A6" w:rsidRPr="001268E7">
              <w:rPr>
                <w:rFonts w:cs="Calibri"/>
                <w:sz w:val="20"/>
                <w:szCs w:val="20"/>
                <w:lang w:eastAsia="pl-PL"/>
              </w:rPr>
              <w:t xml:space="preserve"> prace konserwacyjne na moście powodują trudności w ruchu w kierunku/z granicy oraz powodują zator w mieście.</w:t>
            </w:r>
            <w:r w:rsidR="00336059">
              <w:rPr>
                <w:rFonts w:cs="Calibri"/>
                <w:sz w:val="20"/>
                <w:szCs w:val="20"/>
                <w:lang w:eastAsia="pl-PL"/>
              </w:rPr>
              <w:t xml:space="preserve"> Te same </w:t>
            </w:r>
            <w:r w:rsidR="00947882">
              <w:rPr>
                <w:rFonts w:cs="Calibri"/>
                <w:sz w:val="20"/>
                <w:szCs w:val="20"/>
                <w:lang w:eastAsia="pl-PL"/>
              </w:rPr>
              <w:t xml:space="preserve">wyzwania dotyczą zarządzania </w:t>
            </w:r>
            <w:r w:rsidR="00947882">
              <w:rPr>
                <w:rFonts w:cs="Calibri"/>
                <w:sz w:val="20"/>
                <w:szCs w:val="20"/>
                <w:lang w:eastAsia="pl-PL"/>
              </w:rPr>
              <w:lastRenderedPageBreak/>
              <w:t>ruchem drogowym w Gusiewie (Obwód Kaliningradzki), gdzie miast</w:t>
            </w:r>
            <w:r w:rsidR="0038135A">
              <w:rPr>
                <w:rFonts w:cs="Calibri"/>
                <w:sz w:val="20"/>
                <w:szCs w:val="20"/>
                <w:lang w:eastAsia="pl-PL"/>
              </w:rPr>
              <w:t>o</w:t>
            </w:r>
            <w:r w:rsidR="00947882">
              <w:rPr>
                <w:rFonts w:cs="Calibri"/>
                <w:sz w:val="20"/>
                <w:szCs w:val="20"/>
                <w:lang w:eastAsia="pl-PL"/>
              </w:rPr>
              <w:t xml:space="preserve"> cierpi </w:t>
            </w:r>
            <w:r w:rsidR="0080041E">
              <w:rPr>
                <w:rFonts w:cs="Calibri"/>
                <w:sz w:val="20"/>
                <w:szCs w:val="20"/>
                <w:lang w:eastAsia="pl-PL"/>
              </w:rPr>
              <w:t>z powodu</w:t>
            </w:r>
            <w:r w:rsidR="00947882">
              <w:rPr>
                <w:rFonts w:cs="Calibri"/>
                <w:sz w:val="20"/>
                <w:szCs w:val="20"/>
                <w:lang w:eastAsia="pl-PL"/>
              </w:rPr>
              <w:t xml:space="preserve"> </w:t>
            </w:r>
            <w:r w:rsidR="0080041E">
              <w:rPr>
                <w:rFonts w:cs="Calibri"/>
                <w:sz w:val="20"/>
                <w:szCs w:val="20"/>
                <w:lang w:eastAsia="pl-PL"/>
              </w:rPr>
              <w:t>nieodpowiednich parametrów infrastruktury drogowej dostosowanej do dużego ruchu drogowego.</w:t>
            </w:r>
          </w:p>
          <w:p w:rsidR="0080041E" w:rsidRDefault="0080041E" w:rsidP="003C30A6">
            <w:pPr>
              <w:autoSpaceDE w:val="0"/>
              <w:autoSpaceDN w:val="0"/>
              <w:adjustRightInd w:val="0"/>
              <w:spacing w:after="0" w:line="240" w:lineRule="auto"/>
              <w:jc w:val="both"/>
              <w:rPr>
                <w:rFonts w:cs="Calibri"/>
                <w:sz w:val="20"/>
                <w:szCs w:val="20"/>
                <w:lang w:eastAsia="pl-PL"/>
              </w:rPr>
            </w:pPr>
          </w:p>
          <w:p w:rsidR="0080041E" w:rsidRDefault="0080041E" w:rsidP="003C30A6">
            <w:pPr>
              <w:autoSpaceDE w:val="0"/>
              <w:autoSpaceDN w:val="0"/>
              <w:adjustRightInd w:val="0"/>
              <w:spacing w:after="0" w:line="240" w:lineRule="auto"/>
              <w:jc w:val="both"/>
              <w:rPr>
                <w:rFonts w:cs="Calibri"/>
                <w:sz w:val="20"/>
                <w:szCs w:val="20"/>
                <w:lang w:eastAsia="pl-PL"/>
              </w:rPr>
            </w:pPr>
            <w:r>
              <w:rPr>
                <w:rFonts w:cs="Calibri"/>
                <w:sz w:val="20"/>
                <w:szCs w:val="20"/>
                <w:lang w:eastAsia="pl-PL"/>
              </w:rPr>
              <w:t xml:space="preserve">Głównym celem projektu jest rozwój infrastruktury drogowej po obu stronach granicy co pozwoli zmniejszyć przeciążenie w miastach zlokalizowanych blisko przejść granicznych </w:t>
            </w:r>
            <w:r w:rsidR="00160A36">
              <w:rPr>
                <w:rFonts w:cs="Calibri"/>
                <w:sz w:val="20"/>
                <w:szCs w:val="20"/>
                <w:lang w:eastAsia="pl-PL"/>
              </w:rPr>
              <w:t>(Bartoszyce-Bezledy, Gusiew-Gołdap)</w:t>
            </w:r>
            <w:r w:rsidR="00D054E3">
              <w:rPr>
                <w:rFonts w:cs="Calibri"/>
                <w:sz w:val="20"/>
                <w:szCs w:val="20"/>
                <w:lang w:eastAsia="pl-PL"/>
              </w:rPr>
              <w:t xml:space="preserve"> dotkniętych przez duży ruch drogowy związany z drogą tranzytową.</w:t>
            </w:r>
          </w:p>
          <w:p w:rsidR="00D054E3" w:rsidRDefault="00D054E3" w:rsidP="003C30A6">
            <w:pPr>
              <w:autoSpaceDE w:val="0"/>
              <w:autoSpaceDN w:val="0"/>
              <w:adjustRightInd w:val="0"/>
              <w:spacing w:after="0" w:line="240" w:lineRule="auto"/>
              <w:jc w:val="both"/>
              <w:rPr>
                <w:rFonts w:cs="Calibri"/>
                <w:sz w:val="20"/>
                <w:szCs w:val="20"/>
                <w:lang w:eastAsia="pl-PL"/>
              </w:rPr>
            </w:pPr>
          </w:p>
          <w:p w:rsidR="00D054E3" w:rsidRPr="0048001E" w:rsidRDefault="00D054E3" w:rsidP="003C30A6">
            <w:pPr>
              <w:autoSpaceDE w:val="0"/>
              <w:autoSpaceDN w:val="0"/>
              <w:adjustRightInd w:val="0"/>
              <w:spacing w:after="0" w:line="240" w:lineRule="auto"/>
              <w:jc w:val="both"/>
              <w:rPr>
                <w:rFonts w:cs="Calibri"/>
                <w:b/>
                <w:sz w:val="20"/>
                <w:szCs w:val="20"/>
                <w:lang w:eastAsia="pl-PL"/>
              </w:rPr>
            </w:pPr>
            <w:r w:rsidRPr="0048001E">
              <w:rPr>
                <w:rFonts w:cs="Calibri"/>
                <w:b/>
                <w:sz w:val="20"/>
                <w:szCs w:val="20"/>
                <w:lang w:eastAsia="pl-PL"/>
              </w:rPr>
              <w:t>Planowane działania:</w:t>
            </w:r>
          </w:p>
          <w:p w:rsidR="00D054E3" w:rsidRPr="00D054E3" w:rsidRDefault="00D054E3" w:rsidP="003C30A6">
            <w:pPr>
              <w:autoSpaceDE w:val="0"/>
              <w:autoSpaceDN w:val="0"/>
              <w:adjustRightInd w:val="0"/>
              <w:spacing w:after="0" w:line="240" w:lineRule="auto"/>
              <w:jc w:val="both"/>
              <w:rPr>
                <w:rFonts w:cs="Calibri"/>
                <w:i/>
                <w:sz w:val="20"/>
                <w:szCs w:val="20"/>
                <w:lang w:eastAsia="pl-PL"/>
              </w:rPr>
            </w:pPr>
            <w:r w:rsidRPr="00D054E3">
              <w:rPr>
                <w:rFonts w:cs="Calibri"/>
                <w:i/>
                <w:sz w:val="20"/>
                <w:szCs w:val="20"/>
                <w:lang w:eastAsia="pl-PL"/>
              </w:rPr>
              <w:t>Po stronie pol</w:t>
            </w:r>
            <w:r w:rsidR="0048001E">
              <w:rPr>
                <w:rFonts w:cs="Calibri"/>
                <w:i/>
                <w:sz w:val="20"/>
                <w:szCs w:val="20"/>
                <w:lang w:eastAsia="pl-PL"/>
              </w:rPr>
              <w:t>skiej</w:t>
            </w:r>
          </w:p>
          <w:p w:rsidR="00B902B9" w:rsidRPr="001268E7" w:rsidRDefault="000D48B9" w:rsidP="003C30A6">
            <w:pPr>
              <w:autoSpaceDE w:val="0"/>
              <w:autoSpaceDN w:val="0"/>
              <w:adjustRightInd w:val="0"/>
              <w:spacing w:after="0" w:line="240" w:lineRule="auto"/>
              <w:jc w:val="both"/>
              <w:rPr>
                <w:rFonts w:cs="Calibri"/>
                <w:sz w:val="20"/>
                <w:szCs w:val="20"/>
                <w:lang w:eastAsia="pl-PL"/>
              </w:rPr>
            </w:pPr>
            <w:r>
              <w:rPr>
                <w:rFonts w:cs="Calibri"/>
                <w:sz w:val="20"/>
                <w:szCs w:val="20"/>
                <w:lang w:eastAsia="pl-PL"/>
              </w:rPr>
              <w:t xml:space="preserve">W Bartoszycach (Warmińsko-Mazurskie) </w:t>
            </w:r>
            <w:r w:rsidR="003C30A6" w:rsidRPr="001268E7">
              <w:rPr>
                <w:rFonts w:cs="Calibri"/>
                <w:sz w:val="20"/>
                <w:szCs w:val="20"/>
                <w:lang w:eastAsia="pl-PL"/>
              </w:rPr>
              <w:t>Projekt obejmuje modernizację około 1350 m drogi oraz budowę drogowej przeprawy przez most i zmianę przebiegu drogi wojewódzkiej nr</w:t>
            </w:r>
            <w:r w:rsidR="00B902B9" w:rsidRPr="001268E7">
              <w:rPr>
                <w:rFonts w:cs="Calibri"/>
                <w:sz w:val="20"/>
                <w:szCs w:val="20"/>
                <w:lang w:eastAsia="pl-PL"/>
              </w:rPr>
              <w:t xml:space="preserve"> </w:t>
            </w:r>
            <w:r w:rsidR="003C30A6" w:rsidRPr="001268E7">
              <w:rPr>
                <w:rFonts w:cs="Calibri"/>
                <w:sz w:val="20"/>
                <w:szCs w:val="20"/>
                <w:lang w:eastAsia="pl-PL"/>
              </w:rPr>
              <w:t>512 w Bartoszycach na odcinku od ul. Gdańskiej</w:t>
            </w:r>
            <w:r w:rsidR="0086507B" w:rsidRPr="001268E7">
              <w:rPr>
                <w:rFonts w:cs="Calibri"/>
                <w:sz w:val="20"/>
                <w:szCs w:val="20"/>
                <w:lang w:eastAsia="pl-PL"/>
              </w:rPr>
              <w:t>,</w:t>
            </w:r>
            <w:r w:rsidR="003C30A6" w:rsidRPr="001268E7">
              <w:rPr>
                <w:rFonts w:cs="Calibri"/>
                <w:sz w:val="20"/>
                <w:szCs w:val="20"/>
                <w:lang w:eastAsia="pl-PL"/>
              </w:rPr>
              <w:t xml:space="preserve"> </w:t>
            </w:r>
            <w:r w:rsidR="0086507B" w:rsidRPr="001268E7">
              <w:rPr>
                <w:rFonts w:cs="Calibri"/>
                <w:sz w:val="20"/>
                <w:szCs w:val="20"/>
                <w:lang w:eastAsia="pl-PL"/>
              </w:rPr>
              <w:t>po</w:t>
            </w:r>
            <w:r w:rsidR="003C30A6" w:rsidRPr="001268E7">
              <w:rPr>
                <w:rFonts w:cs="Calibri"/>
                <w:sz w:val="20"/>
                <w:szCs w:val="20"/>
                <w:lang w:eastAsia="pl-PL"/>
              </w:rPr>
              <w:t>przez niezabudowany obszar do doliny rzeki Łyna, korzystając z mostu w celu przekroczenia rzeki, oraz dalej do skrzyżowania ulic J. Poniatowskiego i J. Słowackiego.</w:t>
            </w:r>
            <w:r w:rsidR="00B902B9" w:rsidRPr="001268E7">
              <w:rPr>
                <w:rFonts w:cs="Calibri"/>
                <w:sz w:val="20"/>
                <w:szCs w:val="20"/>
                <w:lang w:eastAsia="pl-PL"/>
              </w:rPr>
              <w:t xml:space="preserve"> </w:t>
            </w:r>
            <w:r w:rsidR="003C30A6" w:rsidRPr="001268E7">
              <w:rPr>
                <w:rFonts w:cs="Calibri"/>
                <w:sz w:val="20"/>
                <w:szCs w:val="20"/>
                <w:lang w:eastAsia="pl-PL"/>
              </w:rPr>
              <w:t>Dalej, trasa drogi wojewódzkiej nr</w:t>
            </w:r>
            <w:r w:rsidR="00B902B9" w:rsidRPr="001268E7">
              <w:rPr>
                <w:rFonts w:cs="Calibri"/>
                <w:sz w:val="20"/>
                <w:szCs w:val="20"/>
                <w:lang w:eastAsia="pl-PL"/>
              </w:rPr>
              <w:t xml:space="preserve"> </w:t>
            </w:r>
            <w:r w:rsidR="003C30A6" w:rsidRPr="001268E7">
              <w:rPr>
                <w:rFonts w:cs="Calibri"/>
                <w:sz w:val="20"/>
                <w:szCs w:val="20"/>
                <w:lang w:eastAsia="pl-PL"/>
              </w:rPr>
              <w:t>512 prowadzi przez ul. J. Poniatowskiego, do skrzyżowania z drogą krajową nr</w:t>
            </w:r>
            <w:r w:rsidR="00B902B9" w:rsidRPr="001268E7">
              <w:rPr>
                <w:rFonts w:cs="Calibri"/>
                <w:sz w:val="20"/>
                <w:szCs w:val="20"/>
                <w:lang w:eastAsia="pl-PL"/>
              </w:rPr>
              <w:t xml:space="preserve"> </w:t>
            </w:r>
            <w:r w:rsidR="003C30A6" w:rsidRPr="001268E7">
              <w:rPr>
                <w:rFonts w:cs="Calibri"/>
                <w:sz w:val="20"/>
                <w:szCs w:val="20"/>
                <w:lang w:eastAsia="pl-PL"/>
              </w:rPr>
              <w:t>51 prowadzącą do/z przejścia Bezledy - Bagrationowsk.</w:t>
            </w:r>
          </w:p>
          <w:p w:rsidR="005D74F7" w:rsidRDefault="005D74F7" w:rsidP="0086507B">
            <w:pPr>
              <w:autoSpaceDE w:val="0"/>
              <w:autoSpaceDN w:val="0"/>
              <w:adjustRightInd w:val="0"/>
              <w:spacing w:after="0" w:line="240" w:lineRule="auto"/>
              <w:jc w:val="both"/>
              <w:rPr>
                <w:rFonts w:cs="Calibri"/>
                <w:sz w:val="20"/>
                <w:szCs w:val="20"/>
                <w:lang w:eastAsia="pl-PL"/>
              </w:rPr>
            </w:pPr>
          </w:p>
          <w:p w:rsidR="005D74F7" w:rsidRPr="005D74F7" w:rsidRDefault="003C30A6" w:rsidP="0086507B">
            <w:pPr>
              <w:autoSpaceDE w:val="0"/>
              <w:autoSpaceDN w:val="0"/>
              <w:adjustRightInd w:val="0"/>
              <w:spacing w:after="0" w:line="240" w:lineRule="auto"/>
              <w:jc w:val="both"/>
              <w:rPr>
                <w:rFonts w:cs="Calibri"/>
                <w:i/>
                <w:sz w:val="20"/>
                <w:szCs w:val="20"/>
                <w:lang w:eastAsia="pl-PL"/>
              </w:rPr>
            </w:pPr>
            <w:r w:rsidRPr="005D74F7">
              <w:rPr>
                <w:rFonts w:cs="Calibri"/>
                <w:i/>
                <w:sz w:val="20"/>
                <w:szCs w:val="20"/>
                <w:lang w:eastAsia="pl-PL"/>
              </w:rPr>
              <w:t>Po stronie rosyjskiej</w:t>
            </w:r>
            <w:r w:rsidR="005D74F7">
              <w:rPr>
                <w:rFonts w:cs="Calibri"/>
                <w:i/>
                <w:sz w:val="20"/>
                <w:szCs w:val="20"/>
                <w:lang w:eastAsia="pl-PL"/>
              </w:rPr>
              <w:t>:</w:t>
            </w:r>
            <w:r w:rsidRPr="005D74F7">
              <w:rPr>
                <w:rFonts w:cs="Calibri"/>
                <w:i/>
                <w:sz w:val="20"/>
                <w:szCs w:val="20"/>
                <w:lang w:eastAsia="pl-PL"/>
              </w:rPr>
              <w:t xml:space="preserve"> </w:t>
            </w:r>
          </w:p>
          <w:p w:rsidR="00B902B9" w:rsidRDefault="00594971" w:rsidP="00594971">
            <w:pPr>
              <w:autoSpaceDE w:val="0"/>
              <w:autoSpaceDN w:val="0"/>
              <w:adjustRightInd w:val="0"/>
              <w:spacing w:after="0" w:line="240" w:lineRule="auto"/>
              <w:jc w:val="both"/>
              <w:rPr>
                <w:rFonts w:cs="Calibri"/>
                <w:sz w:val="20"/>
                <w:szCs w:val="20"/>
                <w:lang w:eastAsia="pl-PL"/>
              </w:rPr>
            </w:pPr>
            <w:r>
              <w:rPr>
                <w:rFonts w:cs="Calibri"/>
                <w:sz w:val="20"/>
                <w:szCs w:val="20"/>
                <w:lang w:eastAsia="pl-PL"/>
              </w:rPr>
              <w:t xml:space="preserve">Przewidziane jest przeprowadzenie prac dotyczących </w:t>
            </w:r>
            <w:r w:rsidR="003C30A6" w:rsidRPr="001268E7">
              <w:rPr>
                <w:rFonts w:cs="Calibri"/>
                <w:sz w:val="20"/>
                <w:szCs w:val="20"/>
                <w:lang w:eastAsia="pl-PL"/>
              </w:rPr>
              <w:t>rozbudow</w:t>
            </w:r>
            <w:r>
              <w:rPr>
                <w:rFonts w:cs="Calibri"/>
                <w:sz w:val="20"/>
                <w:szCs w:val="20"/>
                <w:lang w:eastAsia="pl-PL"/>
              </w:rPr>
              <w:t>y</w:t>
            </w:r>
            <w:r w:rsidR="003C30A6" w:rsidRPr="001268E7">
              <w:rPr>
                <w:rFonts w:cs="Calibri"/>
                <w:sz w:val="20"/>
                <w:szCs w:val="20"/>
                <w:lang w:eastAsia="pl-PL"/>
              </w:rPr>
              <w:t xml:space="preserve"> infrastruktury drogowej w Gusiewie na</w:t>
            </w:r>
            <w:r w:rsidR="0086507B" w:rsidRPr="001268E7">
              <w:rPr>
                <w:rFonts w:cs="Calibri"/>
                <w:sz w:val="20"/>
                <w:szCs w:val="20"/>
                <w:lang w:eastAsia="pl-PL"/>
              </w:rPr>
              <w:t xml:space="preserve"> łącznej długości ok. 2 km. Proj</w:t>
            </w:r>
            <w:r w:rsidR="003C30A6" w:rsidRPr="001268E7">
              <w:rPr>
                <w:rFonts w:cs="Calibri"/>
                <w:sz w:val="20"/>
                <w:szCs w:val="20"/>
                <w:lang w:eastAsia="pl-PL"/>
              </w:rPr>
              <w:t>ekt obejmuje: budowę promenady przy rzece Pissa, przebudowę ul. Sovietskaya prowadzącej do nowo wybudowanej szkoły nr</w:t>
            </w:r>
            <w:r w:rsidR="00B902B9" w:rsidRPr="001268E7">
              <w:rPr>
                <w:rFonts w:cs="Calibri"/>
                <w:sz w:val="20"/>
                <w:szCs w:val="20"/>
                <w:lang w:eastAsia="pl-PL"/>
              </w:rPr>
              <w:t xml:space="preserve"> </w:t>
            </w:r>
            <w:r w:rsidR="0086507B" w:rsidRPr="001268E7">
              <w:rPr>
                <w:rFonts w:cs="Calibri"/>
                <w:sz w:val="20"/>
                <w:szCs w:val="20"/>
                <w:lang w:eastAsia="pl-PL"/>
              </w:rPr>
              <w:t>3, przebudowę bocznych ulic, tj. ul.</w:t>
            </w:r>
            <w:r w:rsidR="003C30A6" w:rsidRPr="001268E7">
              <w:rPr>
                <w:rFonts w:cs="Calibri"/>
                <w:sz w:val="20"/>
                <w:szCs w:val="20"/>
                <w:lang w:eastAsia="pl-PL"/>
              </w:rPr>
              <w:t xml:space="preserve"> Sosnovaya i </w:t>
            </w:r>
            <w:r w:rsidR="0086507B" w:rsidRPr="001268E7">
              <w:rPr>
                <w:rFonts w:cs="Calibri"/>
                <w:sz w:val="20"/>
                <w:szCs w:val="20"/>
                <w:lang w:eastAsia="pl-PL"/>
              </w:rPr>
              <w:t xml:space="preserve">ul. </w:t>
            </w:r>
            <w:r w:rsidR="003C30A6" w:rsidRPr="001268E7">
              <w:rPr>
                <w:rFonts w:cs="Calibri"/>
                <w:sz w:val="20"/>
                <w:szCs w:val="20"/>
                <w:lang w:eastAsia="pl-PL"/>
              </w:rPr>
              <w:t>Lesnaya, budowę/przebudowę chodników oraz ścieżek rowerowych, oświetlenie drogowe i inne towarzyszące prace.</w:t>
            </w:r>
          </w:p>
          <w:p w:rsidR="009C4C2B" w:rsidRDefault="009C4C2B" w:rsidP="00594971">
            <w:pPr>
              <w:autoSpaceDE w:val="0"/>
              <w:autoSpaceDN w:val="0"/>
              <w:adjustRightInd w:val="0"/>
              <w:spacing w:after="0" w:line="240" w:lineRule="auto"/>
              <w:jc w:val="both"/>
              <w:rPr>
                <w:rFonts w:cs="Calibri"/>
                <w:sz w:val="20"/>
                <w:szCs w:val="20"/>
                <w:lang w:eastAsia="pl-PL"/>
              </w:rPr>
            </w:pPr>
          </w:p>
          <w:p w:rsidR="009C4C2B" w:rsidRPr="0048001E" w:rsidRDefault="009C4C2B" w:rsidP="00594971">
            <w:pPr>
              <w:autoSpaceDE w:val="0"/>
              <w:autoSpaceDN w:val="0"/>
              <w:adjustRightInd w:val="0"/>
              <w:spacing w:after="0" w:line="240" w:lineRule="auto"/>
              <w:jc w:val="both"/>
              <w:rPr>
                <w:rFonts w:cs="Calibri"/>
                <w:b/>
                <w:sz w:val="20"/>
                <w:szCs w:val="20"/>
                <w:lang w:eastAsia="pl-PL"/>
              </w:rPr>
            </w:pPr>
            <w:r w:rsidRPr="0048001E">
              <w:rPr>
                <w:rFonts w:cs="Calibri"/>
                <w:b/>
                <w:sz w:val="20"/>
                <w:szCs w:val="20"/>
                <w:lang w:eastAsia="pl-PL"/>
              </w:rPr>
              <w:t>Rezultaty projektu:</w:t>
            </w:r>
          </w:p>
          <w:p w:rsidR="009C4C2B" w:rsidRPr="001268E7" w:rsidRDefault="009C4C2B" w:rsidP="006040FE">
            <w:pPr>
              <w:autoSpaceDE w:val="0"/>
              <w:autoSpaceDN w:val="0"/>
              <w:adjustRightInd w:val="0"/>
              <w:spacing w:after="0" w:line="240" w:lineRule="auto"/>
              <w:jc w:val="both"/>
              <w:rPr>
                <w:rFonts w:cs="Calibri"/>
              </w:rPr>
            </w:pPr>
            <w:r>
              <w:rPr>
                <w:rFonts w:cs="Calibri"/>
                <w:sz w:val="20"/>
                <w:szCs w:val="20"/>
                <w:lang w:eastAsia="pl-PL"/>
              </w:rPr>
              <w:t>Projekt pozwoli zwiększyć zdolność infrastruktury drogowej w Gusiewie i Bartoszycach obciążonych tran granicznym ruchem tranzytowym. Usunie wąskie gardło w Bartoszycach (budowa mostu)</w:t>
            </w:r>
            <w:r w:rsidR="006040FE">
              <w:rPr>
                <w:rFonts w:cs="Calibri"/>
                <w:sz w:val="20"/>
                <w:szCs w:val="20"/>
                <w:lang w:eastAsia="pl-PL"/>
              </w:rPr>
              <w:t>i polepszy przepływy w Bartoszycachi Gusiewie. Rezultatem projektu będzie także wzrost bezpieczeństwa drogowego oraz spadek liczby wypadków drogowych, szczególnie z udziałem pieszych, jako że przebudowania infrastruktura będzie zlokalizowana w obszarze miast, zurbanizowanym.</w:t>
            </w:r>
          </w:p>
        </w:tc>
      </w:tr>
      <w:tr w:rsidR="00B902B9" w:rsidRPr="001268E7" w:rsidTr="003C30A6">
        <w:tc>
          <w:tcPr>
            <w:tcW w:w="1889" w:type="dxa"/>
            <w:shd w:val="clear" w:color="auto" w:fill="auto"/>
            <w:vAlign w:val="center"/>
          </w:tcPr>
          <w:p w:rsidR="00B902B9" w:rsidRPr="001268E7" w:rsidRDefault="003C30A6" w:rsidP="003C30A6">
            <w:pPr>
              <w:autoSpaceDE w:val="0"/>
              <w:autoSpaceDN w:val="0"/>
              <w:adjustRightInd w:val="0"/>
              <w:spacing w:after="0" w:line="240" w:lineRule="auto"/>
              <w:rPr>
                <w:rFonts w:cs="Calibri"/>
                <w:b/>
                <w:sz w:val="20"/>
                <w:szCs w:val="20"/>
                <w:lang w:eastAsia="pl-PL"/>
              </w:rPr>
            </w:pPr>
            <w:r w:rsidRPr="001268E7">
              <w:rPr>
                <w:rFonts w:cs="Calibri"/>
                <w:b/>
                <w:sz w:val="20"/>
                <w:szCs w:val="20"/>
                <w:lang w:eastAsia="pl-PL"/>
              </w:rPr>
              <w:lastRenderedPageBreak/>
              <w:t>Uzasadnienie bezpośredniego udzielenia zamówienia</w:t>
            </w:r>
          </w:p>
        </w:tc>
        <w:tc>
          <w:tcPr>
            <w:tcW w:w="7686" w:type="dxa"/>
            <w:shd w:val="clear" w:color="auto" w:fill="auto"/>
            <w:vAlign w:val="center"/>
          </w:tcPr>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Wojewódzki Zarząd Dróg w Olsztynie ma monopol de jure w odniesieniu do </w:t>
            </w:r>
            <w:r w:rsidR="0086507B" w:rsidRPr="001268E7">
              <w:rPr>
                <w:rFonts w:cs="Calibri"/>
                <w:sz w:val="20"/>
                <w:szCs w:val="20"/>
                <w:lang w:eastAsia="pl-PL"/>
              </w:rPr>
              <w:t>roz</w:t>
            </w:r>
            <w:r w:rsidRPr="001268E7">
              <w:rPr>
                <w:rFonts w:cs="Calibri"/>
                <w:sz w:val="20"/>
                <w:szCs w:val="20"/>
                <w:lang w:eastAsia="pl-PL"/>
              </w:rPr>
              <w:t>budowy i konserwacji dróg regionalnych w województwie warmińsko-mazurskim.</w:t>
            </w:r>
            <w:r w:rsidR="00B902B9" w:rsidRPr="001268E7">
              <w:rPr>
                <w:rFonts w:cs="Calibri"/>
                <w:sz w:val="20"/>
                <w:szCs w:val="20"/>
                <w:lang w:eastAsia="pl-PL"/>
              </w:rPr>
              <w:t xml:space="preserve"> </w:t>
            </w:r>
            <w:r w:rsidRPr="001268E7">
              <w:rPr>
                <w:rFonts w:cs="Calibri"/>
                <w:sz w:val="20"/>
                <w:szCs w:val="20"/>
                <w:lang w:eastAsia="pl-PL"/>
              </w:rPr>
              <w:t>Instytucja ta zarządza siecią dróg regionalnych.</w:t>
            </w:r>
            <w:r w:rsidR="00B902B9" w:rsidRPr="001268E7">
              <w:rPr>
                <w:rFonts w:cs="Calibri"/>
                <w:sz w:val="20"/>
                <w:szCs w:val="20"/>
                <w:lang w:eastAsia="pl-PL"/>
              </w:rPr>
              <w:t xml:space="preserve"> </w:t>
            </w:r>
            <w:r w:rsidRPr="001268E7">
              <w:rPr>
                <w:rFonts w:cs="Calibri"/>
                <w:sz w:val="20"/>
                <w:szCs w:val="20"/>
                <w:lang w:eastAsia="pl-PL"/>
              </w:rPr>
              <w:t>Główne działania w ramach Dużego Projektu Infrastrukturalnego dotyczą modernizacji drogi wojewódzkiej, z tego względu Regionalny Zarząd Dróg w Olsztynie posiada wyłączne prawo do prowadzenia wszelkich prac na tej drodze.</w:t>
            </w:r>
          </w:p>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Obecna struktura urzędu i </w:t>
            </w:r>
            <w:r w:rsidR="0068238C" w:rsidRPr="001268E7">
              <w:rPr>
                <w:rFonts w:cs="Calibri"/>
                <w:sz w:val="20"/>
                <w:szCs w:val="20"/>
                <w:lang w:eastAsia="pl-PL"/>
              </w:rPr>
              <w:t xml:space="preserve">zakres jego kompetencji nabytych </w:t>
            </w:r>
            <w:r w:rsidRPr="001268E7">
              <w:rPr>
                <w:rFonts w:cs="Calibri"/>
                <w:sz w:val="20"/>
                <w:szCs w:val="20"/>
                <w:lang w:eastAsia="pl-PL"/>
              </w:rPr>
              <w:t>dzięki inwestowaniu i zarządzaniu drogami od kilku lat zapewnia skuteczną realizację projektu.</w:t>
            </w:r>
            <w:r w:rsidR="00B902B9" w:rsidRPr="001268E7">
              <w:rPr>
                <w:rFonts w:cs="Calibri"/>
                <w:sz w:val="20"/>
                <w:szCs w:val="20"/>
                <w:lang w:eastAsia="pl-PL"/>
              </w:rPr>
              <w:t xml:space="preserve"> </w:t>
            </w:r>
            <w:r w:rsidRPr="001268E7">
              <w:rPr>
                <w:rFonts w:cs="Calibri"/>
                <w:sz w:val="20"/>
                <w:szCs w:val="20"/>
                <w:lang w:eastAsia="pl-PL"/>
              </w:rPr>
              <w:t xml:space="preserve">Wojewódzki Zarząd Dróg posiada doświadczenie w realizacji programów w ramach funduszy strukturalnych Unii Europejskiej (między innymi Program </w:t>
            </w:r>
            <w:r w:rsidR="0068238C" w:rsidRPr="001268E7">
              <w:rPr>
                <w:rFonts w:cs="Calibri"/>
                <w:sz w:val="20"/>
                <w:szCs w:val="20"/>
                <w:lang w:eastAsia="pl-PL"/>
              </w:rPr>
              <w:t>Współpracy Transgranicznej LT-PL-RU</w:t>
            </w:r>
            <w:r w:rsidRPr="001268E7">
              <w:rPr>
                <w:rFonts w:cs="Calibri"/>
                <w:sz w:val="20"/>
                <w:szCs w:val="20"/>
                <w:lang w:eastAsia="pl-PL"/>
              </w:rPr>
              <w:t xml:space="preserve"> 2007-2013).</w:t>
            </w:r>
          </w:p>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Ponadto, jako zarządca dróg i inwestor, beneficjent ma formalne i prawne możliwości w formie tzw. specjalnej ustawy drogowej.</w:t>
            </w:r>
            <w:r w:rsidR="00B902B9" w:rsidRPr="001268E7">
              <w:rPr>
                <w:rFonts w:cs="Calibri"/>
                <w:sz w:val="20"/>
                <w:szCs w:val="20"/>
                <w:lang w:eastAsia="pl-PL"/>
              </w:rPr>
              <w:t xml:space="preserve"> </w:t>
            </w:r>
            <w:r w:rsidRPr="001268E7">
              <w:rPr>
                <w:rFonts w:cs="Calibri"/>
                <w:sz w:val="20"/>
                <w:szCs w:val="20"/>
                <w:lang w:eastAsia="pl-PL"/>
              </w:rPr>
              <w:t>Narzędzie to pozwala na szybkie i skuteczne przygotowanie oraz realizację inwestycji na podstawie decyzji o pozwoleniu na realizację inwestycji drogowej.</w:t>
            </w:r>
            <w:r w:rsidR="00B902B9" w:rsidRPr="001268E7">
              <w:rPr>
                <w:rFonts w:cs="Calibri"/>
                <w:sz w:val="20"/>
                <w:szCs w:val="20"/>
                <w:lang w:eastAsia="pl-PL"/>
              </w:rPr>
              <w:t xml:space="preserve"> </w:t>
            </w:r>
            <w:r w:rsidRPr="001268E7">
              <w:rPr>
                <w:rFonts w:cs="Calibri"/>
                <w:sz w:val="20"/>
                <w:szCs w:val="20"/>
                <w:lang w:eastAsia="pl-PL"/>
              </w:rPr>
              <w:t>Decyzja uprawnia inwestora do niezwłocznego rozpoczęcia prac budowlanych (na podstawie tzw. rygoru natychmiastowej wykon</w:t>
            </w:r>
            <w:r w:rsidR="0086507B" w:rsidRPr="001268E7">
              <w:rPr>
                <w:rFonts w:cs="Calibri"/>
                <w:sz w:val="20"/>
                <w:szCs w:val="20"/>
                <w:lang w:eastAsia="pl-PL"/>
              </w:rPr>
              <w:t>alności) oraz przejęcia ziemi na potrzeby</w:t>
            </w:r>
            <w:r w:rsidRPr="001268E7">
              <w:rPr>
                <w:rFonts w:cs="Calibri"/>
                <w:sz w:val="20"/>
                <w:szCs w:val="20"/>
                <w:lang w:eastAsia="pl-PL"/>
              </w:rPr>
              <w:t xml:space="preserve"> budowy/rozbudowy, która staje się z mocy prawa własnością Warmii i Mazur.</w:t>
            </w:r>
          </w:p>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 xml:space="preserve">Administracja dystryktu miejskiego Gusiew ma </w:t>
            </w:r>
            <w:r w:rsidR="00243B32" w:rsidRPr="001268E7">
              <w:rPr>
                <w:rFonts w:cs="Calibri"/>
                <w:sz w:val="20"/>
                <w:szCs w:val="20"/>
                <w:lang w:eastAsia="pl-PL"/>
              </w:rPr>
              <w:t>monopol</w:t>
            </w:r>
            <w:r w:rsidRPr="001268E7">
              <w:rPr>
                <w:rFonts w:cs="Calibri"/>
                <w:sz w:val="20"/>
                <w:szCs w:val="20"/>
                <w:lang w:eastAsia="pl-PL"/>
              </w:rPr>
              <w:t xml:space="preserve"> de jure w odniesieniu do </w:t>
            </w:r>
            <w:r w:rsidR="0086507B" w:rsidRPr="001268E7">
              <w:rPr>
                <w:rFonts w:cs="Calibri"/>
                <w:sz w:val="20"/>
                <w:szCs w:val="20"/>
                <w:lang w:eastAsia="pl-PL"/>
              </w:rPr>
              <w:t>roz</w:t>
            </w:r>
            <w:r w:rsidRPr="001268E7">
              <w:rPr>
                <w:rFonts w:cs="Calibri"/>
                <w:sz w:val="20"/>
                <w:szCs w:val="20"/>
                <w:lang w:eastAsia="pl-PL"/>
              </w:rPr>
              <w:t>budowy i konserwacji ulic w dystrykcie Gusiew.</w:t>
            </w:r>
            <w:r w:rsidR="00B902B9" w:rsidRPr="001268E7">
              <w:rPr>
                <w:rFonts w:cs="Calibri"/>
                <w:sz w:val="20"/>
                <w:szCs w:val="20"/>
                <w:lang w:eastAsia="pl-PL"/>
              </w:rPr>
              <w:t xml:space="preserve"> </w:t>
            </w:r>
            <w:r w:rsidRPr="001268E7">
              <w:rPr>
                <w:rFonts w:cs="Calibri"/>
                <w:sz w:val="20"/>
                <w:szCs w:val="20"/>
                <w:lang w:eastAsia="pl-PL"/>
              </w:rPr>
              <w:t>Organ ten zarządza ulicami i inną infrastrukturą miejską.</w:t>
            </w:r>
            <w:r w:rsidR="00B902B9" w:rsidRPr="001268E7">
              <w:rPr>
                <w:rFonts w:cs="Calibri"/>
                <w:sz w:val="20"/>
                <w:szCs w:val="20"/>
                <w:lang w:eastAsia="pl-PL"/>
              </w:rPr>
              <w:t xml:space="preserve"> </w:t>
            </w:r>
            <w:r w:rsidRPr="001268E7">
              <w:rPr>
                <w:rFonts w:cs="Calibri"/>
                <w:sz w:val="20"/>
                <w:szCs w:val="20"/>
                <w:lang w:eastAsia="pl-PL"/>
              </w:rPr>
              <w:t>Główne działania w ramach Dużego Projektu Infrastrukturalnego dotyczą przebudowy ulic, chodników i infrastruktury w mieście. W związku z powyższym, miasto Gusiew posia</w:t>
            </w:r>
            <w:r w:rsidR="0086507B" w:rsidRPr="001268E7">
              <w:rPr>
                <w:rFonts w:cs="Calibri"/>
                <w:sz w:val="20"/>
                <w:szCs w:val="20"/>
                <w:lang w:eastAsia="pl-PL"/>
              </w:rPr>
              <w:t>da wyłączne prawo do prowadzenia</w:t>
            </w:r>
            <w:r w:rsidRPr="001268E7">
              <w:rPr>
                <w:rFonts w:cs="Calibri"/>
                <w:sz w:val="20"/>
                <w:szCs w:val="20"/>
                <w:lang w:eastAsia="pl-PL"/>
              </w:rPr>
              <w:t xml:space="preserve"> wszelkich czynności na tym terenie.</w:t>
            </w:r>
          </w:p>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lastRenderedPageBreak/>
              <w:t>Administracja miasta Gusiew ma wieloletnie doświadczenie w realizacji projektów w różnych dziedzinach, w ramach Programu Współpracy Transgranicznej Litwa-Polska-Rosja 2007-2013.</w:t>
            </w:r>
          </w:p>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Miast</w:t>
            </w:r>
            <w:r w:rsidR="0086507B" w:rsidRPr="001268E7">
              <w:rPr>
                <w:rFonts w:cs="Calibri"/>
                <w:sz w:val="20"/>
                <w:szCs w:val="20"/>
                <w:lang w:eastAsia="pl-PL"/>
              </w:rPr>
              <w:t>o</w:t>
            </w:r>
            <w:r w:rsidRPr="001268E7">
              <w:rPr>
                <w:rFonts w:cs="Calibri"/>
                <w:sz w:val="20"/>
                <w:szCs w:val="20"/>
                <w:lang w:eastAsia="pl-PL"/>
              </w:rPr>
              <w:t xml:space="preserve"> Gusiew posiada również wiele projektów o różnych wartościach, które mogą być przedłożone i prowadzone w ramach działalności Partnera.</w:t>
            </w:r>
            <w:r w:rsidR="00B902B9" w:rsidRPr="001268E7">
              <w:rPr>
                <w:rFonts w:cs="Calibri"/>
                <w:sz w:val="20"/>
                <w:szCs w:val="20"/>
                <w:lang w:eastAsia="pl-PL"/>
              </w:rPr>
              <w:t xml:space="preserve"> </w:t>
            </w:r>
          </w:p>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Miasto Gusiew jest wiarygodnymi rzetelnym partnerem i posiada doświadczenie w realizacji projektów z wkładem Unii Europejskiej.</w:t>
            </w:r>
            <w:r w:rsidR="00B902B9" w:rsidRPr="001268E7">
              <w:rPr>
                <w:rFonts w:cs="Calibri"/>
                <w:sz w:val="20"/>
                <w:szCs w:val="20"/>
                <w:lang w:eastAsia="pl-PL"/>
              </w:rPr>
              <w:t xml:space="preserve"> </w:t>
            </w:r>
            <w:r w:rsidRPr="001268E7">
              <w:rPr>
                <w:rFonts w:cs="Calibri"/>
                <w:sz w:val="20"/>
                <w:szCs w:val="20"/>
                <w:lang w:eastAsia="pl-PL"/>
              </w:rPr>
              <w:t>Podczas, gdy w ramach Programu Litwa-Polska-Rosja</w:t>
            </w:r>
            <w:r w:rsidR="0086507B" w:rsidRPr="001268E7">
              <w:rPr>
                <w:rFonts w:cs="Calibri"/>
                <w:sz w:val="20"/>
                <w:szCs w:val="20"/>
                <w:lang w:eastAsia="pl-PL"/>
              </w:rPr>
              <w:t xml:space="preserve"> realizowany był inny projekt</w:t>
            </w:r>
            <w:r w:rsidRPr="001268E7">
              <w:rPr>
                <w:rFonts w:cs="Calibri"/>
                <w:sz w:val="20"/>
                <w:szCs w:val="20"/>
                <w:lang w:eastAsia="pl-PL"/>
              </w:rPr>
              <w:t>, pomimo intensywnych poszukiwań rosyjskiego partnera, Gusiew okazał się jedynym miastem</w:t>
            </w:r>
            <w:r w:rsidR="00FC19CB" w:rsidRPr="001268E7">
              <w:rPr>
                <w:rFonts w:cs="Calibri"/>
                <w:sz w:val="20"/>
                <w:szCs w:val="20"/>
                <w:lang w:eastAsia="pl-PL"/>
              </w:rPr>
              <w:t>, które chętnie nawiązało współpracę</w:t>
            </w:r>
            <w:r w:rsidRPr="001268E7">
              <w:rPr>
                <w:rFonts w:cs="Calibri"/>
                <w:sz w:val="20"/>
                <w:szCs w:val="20"/>
                <w:lang w:eastAsia="pl-PL"/>
              </w:rPr>
              <w:t xml:space="preserve"> z Beneficjentem i zagwarantowało realizację swojej części projektu oraz jego promocję na terytorium Federacji Rosyjskiej.</w:t>
            </w:r>
          </w:p>
          <w:p w:rsidR="00B902B9" w:rsidRPr="001268E7" w:rsidRDefault="003C30A6" w:rsidP="003C30A6">
            <w:pPr>
              <w:autoSpaceDE w:val="0"/>
              <w:autoSpaceDN w:val="0"/>
              <w:adjustRightInd w:val="0"/>
              <w:spacing w:after="0" w:line="240" w:lineRule="auto"/>
              <w:jc w:val="both"/>
              <w:rPr>
                <w:rFonts w:cs="Calibri"/>
                <w:sz w:val="20"/>
                <w:szCs w:val="20"/>
                <w:lang w:eastAsia="pl-PL"/>
              </w:rPr>
            </w:pPr>
            <w:r w:rsidRPr="001268E7">
              <w:rPr>
                <w:rFonts w:cs="Calibri"/>
                <w:sz w:val="20"/>
                <w:szCs w:val="20"/>
                <w:lang w:eastAsia="pl-PL"/>
              </w:rPr>
              <w:t>Wspólna realizacja DPI pozwoli na wymianę doświadczeń, co pomoże w ustanowieniu i utrzymaniu bliskiej współpracy transgranicznej pomiędzy Federacją Rosyjską a Polską; ponadto, nawiązane zostaną nowe osobiste kontakty pomiędzy osobami pracującymi nad projektem w regionie kaliningradzkim i w województwie warmińsko-mazurskim.</w:t>
            </w:r>
          </w:p>
        </w:tc>
      </w:tr>
    </w:tbl>
    <w:p w:rsidR="004B654C" w:rsidRPr="001268E7" w:rsidRDefault="001C1F7F" w:rsidP="001C1F7F">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lastRenderedPageBreak/>
        <w:t>Okres trwania</w:t>
      </w:r>
    </w:p>
    <w:p w:rsidR="004B654C" w:rsidRPr="001268E7" w:rsidRDefault="001C1F7F" w:rsidP="001C1F7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 xml:space="preserve">Wszystkie umowy dla DPI wybranych w bezpośredniej procedurze </w:t>
      </w:r>
      <w:r w:rsidR="00D31204" w:rsidRPr="001268E7">
        <w:rPr>
          <w:rFonts w:cs="Calibri"/>
          <w:sz w:val="24"/>
          <w:szCs w:val="24"/>
        </w:rPr>
        <w:t>muszą zostać</w:t>
      </w:r>
      <w:r w:rsidRPr="001268E7">
        <w:rPr>
          <w:rFonts w:cs="Calibri"/>
          <w:sz w:val="24"/>
          <w:szCs w:val="24"/>
        </w:rPr>
        <w:t xml:space="preserve"> podpisane do 30 czerwca 2019 r.</w:t>
      </w:r>
    </w:p>
    <w:p w:rsidR="004B654C" w:rsidRPr="001268E7" w:rsidRDefault="001C1F7F" w:rsidP="001C1F7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Wszystkie działania projektu finansowane</w:t>
      </w:r>
      <w:r w:rsidR="005C0670" w:rsidRPr="001268E7">
        <w:rPr>
          <w:rFonts w:cs="Calibri"/>
          <w:sz w:val="24"/>
          <w:szCs w:val="24"/>
        </w:rPr>
        <w:t xml:space="preserve"> w ramach</w:t>
      </w:r>
      <w:r w:rsidRPr="001268E7">
        <w:rPr>
          <w:rFonts w:cs="Calibri"/>
          <w:sz w:val="24"/>
          <w:szCs w:val="24"/>
        </w:rPr>
        <w:t xml:space="preserve"> Program</w:t>
      </w:r>
      <w:r w:rsidR="005C0670" w:rsidRPr="001268E7">
        <w:rPr>
          <w:rFonts w:cs="Calibri"/>
          <w:sz w:val="24"/>
          <w:szCs w:val="24"/>
        </w:rPr>
        <w:t>u muszą</w:t>
      </w:r>
      <w:r w:rsidRPr="001268E7">
        <w:rPr>
          <w:rFonts w:cs="Calibri"/>
          <w:sz w:val="24"/>
          <w:szCs w:val="24"/>
        </w:rPr>
        <w:t xml:space="preserve"> zakończ</w:t>
      </w:r>
      <w:r w:rsidR="005C0670" w:rsidRPr="001268E7">
        <w:rPr>
          <w:rFonts w:cs="Calibri"/>
          <w:sz w:val="24"/>
          <w:szCs w:val="24"/>
        </w:rPr>
        <w:t>yć</w:t>
      </w:r>
      <w:r w:rsidRPr="001268E7">
        <w:rPr>
          <w:rFonts w:cs="Calibri"/>
          <w:sz w:val="24"/>
          <w:szCs w:val="24"/>
        </w:rPr>
        <w:t xml:space="preserve"> się najpóźniej 31 grudnia 2022.</w:t>
      </w:r>
    </w:p>
    <w:p w:rsidR="004B654C" w:rsidRPr="001268E7" w:rsidRDefault="001C1F7F" w:rsidP="001C1F7F">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Budżet</w:t>
      </w:r>
    </w:p>
    <w:p w:rsidR="004B654C" w:rsidRPr="001268E7" w:rsidRDefault="001C1F7F" w:rsidP="001C1F7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Udział wkładu UE przeznaczony na duże projekty infrastrukturalne nie może przekroczyć 30%.</w:t>
      </w:r>
      <w:r w:rsidR="004B654C" w:rsidRPr="001268E7">
        <w:rPr>
          <w:rFonts w:cs="Calibri"/>
          <w:sz w:val="24"/>
          <w:szCs w:val="24"/>
        </w:rPr>
        <w:t xml:space="preserve"> </w:t>
      </w:r>
      <w:r w:rsidRPr="001268E7">
        <w:rPr>
          <w:rFonts w:cs="Calibri"/>
          <w:sz w:val="24"/>
          <w:szCs w:val="24"/>
        </w:rPr>
        <w:t xml:space="preserve">Alokacja UE w ramach Programu dla DPI nie przekroczy 12 </w:t>
      </w:r>
      <w:r w:rsidR="00473182">
        <w:rPr>
          <w:rFonts w:cs="Calibri"/>
          <w:sz w:val="24"/>
          <w:szCs w:val="24"/>
        </w:rPr>
        <w:t>493 758,00</w:t>
      </w:r>
      <w:r w:rsidRPr="001268E7">
        <w:rPr>
          <w:rFonts w:cs="Calibri"/>
          <w:sz w:val="24"/>
          <w:szCs w:val="24"/>
        </w:rPr>
        <w:t xml:space="preserve"> EUR.</w:t>
      </w:r>
      <w:r w:rsidR="004B654C" w:rsidRPr="001268E7">
        <w:rPr>
          <w:rFonts w:cs="Calibri"/>
          <w:sz w:val="24"/>
          <w:szCs w:val="24"/>
        </w:rPr>
        <w:t xml:space="preserve"> </w:t>
      </w:r>
      <w:r w:rsidRPr="001268E7">
        <w:rPr>
          <w:rFonts w:cs="Calibri"/>
          <w:sz w:val="24"/>
          <w:szCs w:val="24"/>
        </w:rPr>
        <w:t>Dodatkowe środki mogą być przydzielone na DPI po przeprowadzeniu śródokresowego przeglądu, z zastrzeżeniem dostępności dodatkowego finansowania i dostępności funduszy uzupełniających EIS, z uwzględnieniem zasady 30%.</w:t>
      </w:r>
    </w:p>
    <w:p w:rsidR="004B654C" w:rsidRPr="001268E7" w:rsidRDefault="00AF7FF1" w:rsidP="00AF7FF1">
      <w:pPr>
        <w:pStyle w:val="Nagwek2"/>
        <w:rPr>
          <w:rFonts w:cs="Calibri"/>
        </w:rPr>
      </w:pPr>
      <w:bookmarkStart w:id="53" w:name="_Toc530737587"/>
      <w:r w:rsidRPr="001268E7">
        <w:rPr>
          <w:rFonts w:cs="Calibri"/>
        </w:rPr>
        <w:t>4.5 Zasady kwalifikowalności wydatków</w:t>
      </w:r>
      <w:bookmarkEnd w:id="53"/>
      <w:r w:rsidR="004B654C" w:rsidRPr="001268E7">
        <w:rPr>
          <w:rFonts w:cs="Calibri"/>
        </w:rPr>
        <w:t xml:space="preserve"> </w:t>
      </w:r>
    </w:p>
    <w:p w:rsidR="004B654C" w:rsidRPr="001268E7" w:rsidRDefault="00AF7FF1" w:rsidP="00AF7FF1">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Dofinansowanie nie może przekraczać ogólnego pułapu wyrażonego procentowo i jako wartość bezwzględna ustanowiona na podstawie szacunkowych kosztów kwalifikowalnych.</w:t>
      </w:r>
      <w:r w:rsidR="004B654C" w:rsidRPr="001268E7">
        <w:rPr>
          <w:rFonts w:cs="Calibri"/>
          <w:sz w:val="24"/>
          <w:szCs w:val="24"/>
        </w:rPr>
        <w:t xml:space="preserve"> </w:t>
      </w:r>
      <w:r w:rsidRPr="001268E7">
        <w:rPr>
          <w:rFonts w:cs="Calibri"/>
          <w:sz w:val="24"/>
          <w:szCs w:val="24"/>
          <w:lang w:eastAsia="pl-PL"/>
        </w:rPr>
        <w:t>Dofinansowanie nie może przekraczać kosztów kwalifikowalnych.</w:t>
      </w:r>
      <w:r w:rsidR="004B654C" w:rsidRPr="001268E7">
        <w:rPr>
          <w:rFonts w:cs="Calibri"/>
          <w:sz w:val="24"/>
          <w:szCs w:val="24"/>
        </w:rPr>
        <w:t xml:space="preserve"> </w:t>
      </w:r>
    </w:p>
    <w:p w:rsidR="004B654C" w:rsidRPr="001268E7" w:rsidRDefault="00AF7FF1" w:rsidP="00AF7FF1">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Koszty kwalifikowalne</w:t>
      </w:r>
    </w:p>
    <w:p w:rsidR="004B654C" w:rsidRDefault="00AF7FF1" w:rsidP="00AF7FF1">
      <w:pPr>
        <w:spacing w:line="240" w:lineRule="auto"/>
        <w:jc w:val="both"/>
        <w:rPr>
          <w:sz w:val="24"/>
          <w:szCs w:val="24"/>
        </w:rPr>
      </w:pPr>
      <w:r w:rsidRPr="001268E7">
        <w:rPr>
          <w:rFonts w:cs="Calibri"/>
          <w:sz w:val="24"/>
          <w:szCs w:val="24"/>
          <w:lang w:eastAsia="pl-PL"/>
        </w:rPr>
        <w:t>Koszty kwalifikowalne to faktycznie poniesione przez beneficjenta koszty spełniające wszystkie poniższe kryteria:</w:t>
      </w:r>
      <w:r w:rsidR="004B654C" w:rsidRPr="001268E7">
        <w:rPr>
          <w:sz w:val="24"/>
          <w:szCs w:val="24"/>
        </w:rPr>
        <w:t xml:space="preserve"> </w:t>
      </w:r>
    </w:p>
    <w:p w:rsidR="000B49E3" w:rsidRPr="000B49E3" w:rsidRDefault="000B49E3" w:rsidP="00246345">
      <w:pPr>
        <w:pStyle w:val="Akapitzlist1"/>
        <w:numPr>
          <w:ilvl w:val="0"/>
          <w:numId w:val="117"/>
        </w:numPr>
        <w:spacing w:before="100" w:beforeAutospacing="1" w:after="100" w:afterAutospacing="1" w:line="240" w:lineRule="auto"/>
        <w:contextualSpacing w:val="0"/>
        <w:jc w:val="both"/>
        <w:rPr>
          <w:rFonts w:cs="Calibri"/>
          <w:vanish/>
          <w:sz w:val="24"/>
          <w:szCs w:val="24"/>
        </w:rPr>
      </w:pPr>
      <w:r w:rsidRPr="001268E7">
        <w:rPr>
          <w:rFonts w:cs="Calibri"/>
          <w:sz w:val="24"/>
          <w:szCs w:val="24"/>
          <w:lang w:eastAsia="pl-PL"/>
        </w:rPr>
        <w:t>zostały poniesione w okresie wdrażania projektu.</w:t>
      </w:r>
      <w:r w:rsidRPr="001268E7">
        <w:rPr>
          <w:rFonts w:cs="Calibri"/>
          <w:sz w:val="24"/>
          <w:szCs w:val="24"/>
        </w:rPr>
        <w:t xml:space="preserve"> </w:t>
      </w:r>
    </w:p>
    <w:p w:rsidR="000B49E3" w:rsidRPr="000B49E3" w:rsidRDefault="000B49E3" w:rsidP="00246345">
      <w:pPr>
        <w:pStyle w:val="Akapitzlist1"/>
        <w:numPr>
          <w:ilvl w:val="0"/>
          <w:numId w:val="117"/>
        </w:numPr>
        <w:spacing w:before="100" w:beforeAutospacing="1" w:after="100" w:afterAutospacing="1" w:line="240" w:lineRule="auto"/>
        <w:contextualSpacing w:val="0"/>
        <w:jc w:val="both"/>
        <w:rPr>
          <w:rFonts w:cs="Calibri"/>
          <w:vanish/>
          <w:sz w:val="24"/>
          <w:szCs w:val="24"/>
        </w:rPr>
      </w:pPr>
      <w:r w:rsidRPr="001268E7">
        <w:rPr>
          <w:rFonts w:cs="Calibri"/>
          <w:sz w:val="24"/>
          <w:szCs w:val="24"/>
        </w:rPr>
        <w:t>W szczególności:</w:t>
      </w:r>
    </w:p>
    <w:p w:rsidR="000B49E3" w:rsidRPr="001268E7" w:rsidRDefault="000B49E3" w:rsidP="00246345">
      <w:pPr>
        <w:pStyle w:val="Akapitzlist1"/>
        <w:numPr>
          <w:ilvl w:val="0"/>
          <w:numId w:val="117"/>
        </w:numPr>
        <w:spacing w:before="100" w:beforeAutospacing="1" w:after="100" w:afterAutospacing="1" w:line="240" w:lineRule="auto"/>
        <w:contextualSpacing w:val="0"/>
        <w:jc w:val="both"/>
        <w:rPr>
          <w:rFonts w:cs="Calibri"/>
          <w:vanish/>
          <w:sz w:val="24"/>
          <w:szCs w:val="24"/>
        </w:rPr>
      </w:pPr>
      <w:r w:rsidRPr="001268E7">
        <w:rPr>
          <w:rFonts w:cs="Calibri"/>
          <w:sz w:val="24"/>
          <w:szCs w:val="24"/>
        </w:rPr>
        <w:t xml:space="preserve"> </w:t>
      </w:r>
    </w:p>
    <w:p w:rsidR="000B49E3" w:rsidRDefault="000B49E3" w:rsidP="000B49E3">
      <w:pPr>
        <w:spacing w:line="240" w:lineRule="auto"/>
        <w:jc w:val="both"/>
        <w:rPr>
          <w:sz w:val="24"/>
          <w:szCs w:val="24"/>
        </w:rPr>
      </w:pPr>
    </w:p>
    <w:p w:rsidR="000B49E3" w:rsidRPr="000B49E3" w:rsidRDefault="000B49E3" w:rsidP="00246345">
      <w:pPr>
        <w:pStyle w:val="Akapitzlist"/>
        <w:numPr>
          <w:ilvl w:val="1"/>
          <w:numId w:val="117"/>
        </w:numPr>
        <w:spacing w:after="120" w:line="240" w:lineRule="auto"/>
        <w:jc w:val="both"/>
        <w:rPr>
          <w:vanish/>
          <w:sz w:val="24"/>
          <w:szCs w:val="24"/>
        </w:rPr>
      </w:pPr>
      <w:r w:rsidRPr="001268E7">
        <w:rPr>
          <w:rFonts w:cs="Calibri"/>
          <w:sz w:val="24"/>
          <w:szCs w:val="24"/>
          <w:lang w:eastAsia="pl-PL"/>
        </w:rPr>
        <w:t>k</w:t>
      </w:r>
    </w:p>
    <w:p w:rsidR="000B49E3" w:rsidRPr="000B49E3" w:rsidRDefault="000B49E3" w:rsidP="00246345">
      <w:pPr>
        <w:pStyle w:val="Akapitzlist"/>
        <w:numPr>
          <w:ilvl w:val="0"/>
          <w:numId w:val="117"/>
        </w:numPr>
        <w:spacing w:after="120" w:line="240" w:lineRule="auto"/>
        <w:jc w:val="both"/>
        <w:rPr>
          <w:vanish/>
          <w:sz w:val="24"/>
          <w:szCs w:val="24"/>
        </w:rPr>
      </w:pPr>
      <w:r w:rsidRPr="001268E7">
        <w:rPr>
          <w:rFonts w:cs="Calibri"/>
          <w:sz w:val="24"/>
          <w:szCs w:val="24"/>
          <w:lang w:eastAsia="pl-PL"/>
        </w:rPr>
        <w:t>o</w:t>
      </w:r>
    </w:p>
    <w:p w:rsidR="000B49E3" w:rsidRPr="000B49E3" w:rsidRDefault="000B49E3" w:rsidP="00246345">
      <w:pPr>
        <w:pStyle w:val="Akapitzlist"/>
        <w:numPr>
          <w:ilvl w:val="0"/>
          <w:numId w:val="117"/>
        </w:numPr>
        <w:spacing w:after="120" w:line="240" w:lineRule="auto"/>
        <w:jc w:val="both"/>
        <w:rPr>
          <w:vanish/>
          <w:sz w:val="24"/>
          <w:szCs w:val="24"/>
        </w:rPr>
      </w:pPr>
      <w:r w:rsidRPr="001268E7">
        <w:rPr>
          <w:rFonts w:cs="Calibri"/>
          <w:sz w:val="24"/>
          <w:szCs w:val="24"/>
          <w:lang w:eastAsia="pl-PL"/>
        </w:rPr>
        <w:t>szty</w:t>
      </w:r>
    </w:p>
    <w:p w:rsidR="000B49E3" w:rsidRPr="000B49E3" w:rsidRDefault="000B49E3" w:rsidP="00246345">
      <w:pPr>
        <w:pStyle w:val="Akapitzlist"/>
        <w:numPr>
          <w:ilvl w:val="1"/>
          <w:numId w:val="117"/>
        </w:numPr>
        <w:spacing w:line="240" w:lineRule="auto"/>
        <w:jc w:val="both"/>
        <w:rPr>
          <w:sz w:val="24"/>
          <w:szCs w:val="24"/>
        </w:rPr>
      </w:pPr>
      <w:r w:rsidRPr="001268E7">
        <w:rPr>
          <w:rFonts w:cs="Calibri"/>
          <w:sz w:val="24"/>
          <w:szCs w:val="24"/>
          <w:lang w:eastAsia="pl-PL"/>
        </w:rPr>
        <w:t xml:space="preserve"> związane z usługami i robotami odnoszą się do działań zrealizowanych w okresie wdrażania.</w:t>
      </w:r>
      <w:r w:rsidRPr="001268E7">
        <w:rPr>
          <w:sz w:val="24"/>
          <w:szCs w:val="24"/>
        </w:rPr>
        <w:t xml:space="preserve"> </w:t>
      </w:r>
      <w:r w:rsidRPr="001268E7">
        <w:rPr>
          <w:rFonts w:cs="Calibri"/>
          <w:sz w:val="24"/>
          <w:szCs w:val="24"/>
          <w:lang w:eastAsia="pl-PL"/>
        </w:rPr>
        <w:t>Koszty związane z dostawami odnoszą się do dostaw i instalacji obiektów w okresie wdrażania.</w:t>
      </w:r>
      <w:r w:rsidRPr="001268E7">
        <w:rPr>
          <w:sz w:val="24"/>
          <w:szCs w:val="24"/>
        </w:rPr>
        <w:t xml:space="preserve"> </w:t>
      </w:r>
      <w:r w:rsidRPr="001268E7">
        <w:rPr>
          <w:rFonts w:cs="Calibri"/>
          <w:sz w:val="24"/>
          <w:szCs w:val="24"/>
          <w:lang w:eastAsia="pl-PL"/>
        </w:rPr>
        <w:t xml:space="preserve">Podpisanie umowy, złożenie zamówienia lub zaciągnięcie zobowiązania do wydatków w okresie wdrażania na poczet realizacji przyszłych usług, robót lub dostaw po zakończeniu okresu </w:t>
      </w:r>
      <w:r w:rsidRPr="001268E7">
        <w:rPr>
          <w:rFonts w:cs="Calibri"/>
          <w:sz w:val="24"/>
          <w:szCs w:val="24"/>
          <w:lang w:eastAsia="pl-PL"/>
        </w:rPr>
        <w:lastRenderedPageBreak/>
        <w:t>wdrażania nie spełnia tego wymogu; przelewy pieniężne między Beneficjentem Wiodącym a pozostałymi beneficjentami nie mogą być traktowane jako koszty poniesione</w:t>
      </w:r>
    </w:p>
    <w:p w:rsidR="000B49E3" w:rsidRPr="000B49E3" w:rsidRDefault="000B49E3" w:rsidP="00246345">
      <w:pPr>
        <w:pStyle w:val="Akapitzlist"/>
        <w:numPr>
          <w:ilvl w:val="1"/>
          <w:numId w:val="117"/>
        </w:numPr>
        <w:spacing w:line="240" w:lineRule="auto"/>
        <w:jc w:val="both"/>
        <w:rPr>
          <w:sz w:val="24"/>
          <w:szCs w:val="24"/>
        </w:rPr>
      </w:pPr>
      <w:r>
        <w:rPr>
          <w:rFonts w:cs="Calibri"/>
          <w:sz w:val="24"/>
          <w:szCs w:val="24"/>
          <w:lang w:eastAsia="pl-PL"/>
        </w:rPr>
        <w:t>k</w:t>
      </w:r>
      <w:r w:rsidRPr="001268E7">
        <w:rPr>
          <w:rFonts w:cs="Calibri"/>
          <w:sz w:val="24"/>
          <w:szCs w:val="24"/>
          <w:lang w:eastAsia="pl-PL"/>
        </w:rPr>
        <w:t>oszty poniesione powinny zostać zapłacone przed złożeniem raportów końcowych.</w:t>
      </w:r>
      <w:r w:rsidRPr="001268E7">
        <w:rPr>
          <w:sz w:val="24"/>
          <w:szCs w:val="24"/>
        </w:rPr>
        <w:t xml:space="preserve"> </w:t>
      </w:r>
      <w:r w:rsidRPr="001268E7">
        <w:rPr>
          <w:rFonts w:cs="Calibri"/>
          <w:sz w:val="24"/>
          <w:szCs w:val="24"/>
          <w:lang w:eastAsia="pl-PL"/>
        </w:rPr>
        <w:t>Koszty te mogą być zapłacone w późniejszym czasie, pod warunkiem, że zostaną ujęte w raporcie końcowym wraz z planowanym terminem płatności;</w:t>
      </w:r>
    </w:p>
    <w:p w:rsidR="000B49E3" w:rsidRPr="001268E7" w:rsidRDefault="000B49E3" w:rsidP="00246345">
      <w:pPr>
        <w:pStyle w:val="Akapitzlist"/>
        <w:numPr>
          <w:ilvl w:val="1"/>
          <w:numId w:val="117"/>
        </w:numPr>
        <w:spacing w:after="120" w:line="240" w:lineRule="auto"/>
        <w:jc w:val="both"/>
        <w:rPr>
          <w:sz w:val="24"/>
          <w:szCs w:val="24"/>
        </w:rPr>
      </w:pPr>
      <w:r w:rsidRPr="001268E7">
        <w:rPr>
          <w:rFonts w:cs="Calibri"/>
          <w:sz w:val="24"/>
          <w:szCs w:val="24"/>
          <w:lang w:eastAsia="pl-PL"/>
        </w:rPr>
        <w:t>wyjątek stanowią koszty powiązane z raportami końcowymi, w tym weryfikacją wydatków, audytem i ostateczną oceną projektu, które mogą zostać poniesione po okresie wdrażania projektu;</w:t>
      </w:r>
      <w:r w:rsidRPr="001268E7">
        <w:rPr>
          <w:sz w:val="24"/>
          <w:szCs w:val="24"/>
        </w:rPr>
        <w:t xml:space="preserve"> </w:t>
      </w:r>
    </w:p>
    <w:p w:rsidR="00186BC8" w:rsidRPr="001268E7" w:rsidRDefault="000B49E3" w:rsidP="00246345">
      <w:pPr>
        <w:pStyle w:val="Akapitzlist1"/>
        <w:numPr>
          <w:ilvl w:val="0"/>
          <w:numId w:val="86"/>
        </w:numPr>
        <w:spacing w:before="100" w:beforeAutospacing="1" w:after="100" w:afterAutospacing="1" w:line="240" w:lineRule="auto"/>
        <w:contextualSpacing w:val="0"/>
        <w:jc w:val="both"/>
        <w:rPr>
          <w:rFonts w:asciiTheme="minorHAnsi" w:hAnsiTheme="minorHAnsi" w:cs="Calibri"/>
          <w:sz w:val="24"/>
          <w:szCs w:val="24"/>
        </w:rPr>
      </w:pPr>
      <w:r w:rsidRPr="001268E7">
        <w:rPr>
          <w:rFonts w:cs="Calibri"/>
          <w:sz w:val="24"/>
          <w:szCs w:val="24"/>
          <w:lang w:eastAsia="pl-PL"/>
        </w:rPr>
        <w:t>procedury udzielania zamówień</w:t>
      </w:r>
      <w:r>
        <w:rPr>
          <w:rStyle w:val="Odwoanieprzypisudolnego"/>
          <w:rFonts w:cs="Calibri"/>
          <w:sz w:val="24"/>
          <w:szCs w:val="24"/>
          <w:lang w:eastAsia="pl-PL"/>
        </w:rPr>
        <w:footnoteReference w:id="5"/>
      </w:r>
      <w:r w:rsidRPr="001268E7">
        <w:rPr>
          <w:rFonts w:cs="Calibri"/>
          <w:sz w:val="24"/>
          <w:szCs w:val="24"/>
          <w:lang w:eastAsia="pl-PL"/>
        </w:rPr>
        <w:t xml:space="preserve"> mogą być inicjowane i możliwe jest zawieranie umów przez beneficjenta lub beneficjentów przed rozpoczęciem okresu wdrażania projektu, pod warunkiem spełnienia następujących warunków;</w:t>
      </w:r>
      <w:r w:rsidRPr="001268E7">
        <w:rPr>
          <w:sz w:val="24"/>
          <w:szCs w:val="24"/>
        </w:rPr>
        <w:t xml:space="preserve"> </w:t>
      </w:r>
      <w:r w:rsidR="00186BC8" w:rsidRPr="001268E7">
        <w:rPr>
          <w:rFonts w:asciiTheme="minorHAnsi" w:hAnsiTheme="minorHAnsi" w:cs="Calibri"/>
          <w:sz w:val="24"/>
          <w:szCs w:val="24"/>
          <w:lang w:eastAsia="pl-PL"/>
        </w:rPr>
        <w:t>są wskazane w szacunkowym ogólnym budżecie projektu;</w:t>
      </w:r>
      <w:r w:rsidR="00186BC8" w:rsidRPr="001268E7">
        <w:rPr>
          <w:rFonts w:asciiTheme="minorHAnsi" w:hAnsiTheme="minorHAnsi" w:cs="Calibri"/>
          <w:sz w:val="24"/>
          <w:szCs w:val="24"/>
        </w:rPr>
        <w:t xml:space="preserve"> </w:t>
      </w:r>
    </w:p>
    <w:p w:rsidR="00186BC8" w:rsidRPr="001268E7" w:rsidRDefault="00186BC8" w:rsidP="00246345">
      <w:pPr>
        <w:pStyle w:val="Akapitzlist1"/>
        <w:numPr>
          <w:ilvl w:val="0"/>
          <w:numId w:val="86"/>
        </w:numPr>
        <w:spacing w:before="100" w:beforeAutospacing="1" w:after="100" w:afterAutospacing="1" w:line="240" w:lineRule="auto"/>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są niezbędne dla wdrożenia projektu;</w:t>
      </w:r>
      <w:r w:rsidRPr="001268E7">
        <w:rPr>
          <w:rFonts w:asciiTheme="minorHAnsi" w:hAnsiTheme="minorHAnsi" w:cs="Calibri"/>
          <w:sz w:val="24"/>
          <w:szCs w:val="24"/>
        </w:rPr>
        <w:t xml:space="preserve"> </w:t>
      </w:r>
    </w:p>
    <w:p w:rsidR="00186BC8" w:rsidRPr="001268E7" w:rsidRDefault="00186BC8" w:rsidP="00246345">
      <w:pPr>
        <w:pStyle w:val="Akapitzlist1"/>
        <w:numPr>
          <w:ilvl w:val="0"/>
          <w:numId w:val="86"/>
        </w:numPr>
        <w:spacing w:before="100" w:beforeAutospacing="1" w:after="100" w:afterAutospacing="1" w:line="240" w:lineRule="auto"/>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możliwa jest ich identyfikacja i weryfikacja, w szczególności są one ujmowane w zapisach księgowych beneficjenta i ustalane zgodnie ze</w:t>
      </w:r>
      <w:r w:rsidR="00014B46" w:rsidRPr="001268E7">
        <w:rPr>
          <w:rFonts w:asciiTheme="minorHAnsi" w:hAnsiTheme="minorHAnsi" w:cs="Calibri"/>
          <w:sz w:val="24"/>
          <w:szCs w:val="24"/>
          <w:lang w:eastAsia="pl-PL"/>
        </w:rPr>
        <w:t xml:space="preserve"> standardami rachunkowości i</w:t>
      </w:r>
      <w:r w:rsidRPr="001268E7">
        <w:rPr>
          <w:rFonts w:asciiTheme="minorHAnsi" w:hAnsiTheme="minorHAnsi" w:cs="Calibri"/>
          <w:sz w:val="24"/>
          <w:szCs w:val="24"/>
          <w:lang w:eastAsia="pl-PL"/>
        </w:rPr>
        <w:t xml:space="preserve"> zwyczajową praktyk</w:t>
      </w:r>
      <w:r w:rsidR="00014B46" w:rsidRPr="001268E7">
        <w:rPr>
          <w:rFonts w:asciiTheme="minorHAnsi" w:hAnsiTheme="minorHAnsi" w:cs="Calibri"/>
          <w:sz w:val="24"/>
          <w:szCs w:val="24"/>
          <w:lang w:eastAsia="pl-PL"/>
        </w:rPr>
        <w:t xml:space="preserve">ą księgowania kosztów </w:t>
      </w:r>
      <w:r w:rsidRPr="001268E7">
        <w:rPr>
          <w:rFonts w:asciiTheme="minorHAnsi" w:hAnsiTheme="minorHAnsi" w:cs="Calibri"/>
          <w:sz w:val="24"/>
          <w:szCs w:val="24"/>
          <w:lang w:eastAsia="pl-PL"/>
        </w:rPr>
        <w:t>mającymi zastosowanie do beneficjenta;</w:t>
      </w:r>
      <w:r w:rsidRPr="001268E7">
        <w:rPr>
          <w:rFonts w:asciiTheme="minorHAnsi" w:hAnsiTheme="minorHAnsi" w:cs="Calibri"/>
          <w:sz w:val="24"/>
          <w:szCs w:val="24"/>
        </w:rPr>
        <w:t xml:space="preserve"> </w:t>
      </w:r>
    </w:p>
    <w:p w:rsidR="00186BC8" w:rsidRPr="001268E7" w:rsidRDefault="00186BC8" w:rsidP="00246345">
      <w:pPr>
        <w:pStyle w:val="Akapitzlist1"/>
        <w:numPr>
          <w:ilvl w:val="0"/>
          <w:numId w:val="86"/>
        </w:numPr>
        <w:spacing w:before="100" w:beforeAutospacing="1" w:after="100" w:afterAutospacing="1" w:line="240" w:lineRule="auto"/>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są zgodne z wymogami mających zastosowanie przepisów podatkowych i społecznych;</w:t>
      </w:r>
      <w:r w:rsidRPr="001268E7">
        <w:rPr>
          <w:rFonts w:asciiTheme="minorHAnsi" w:hAnsiTheme="minorHAnsi" w:cs="Calibri"/>
          <w:sz w:val="24"/>
          <w:szCs w:val="24"/>
        </w:rPr>
        <w:t xml:space="preserve"> </w:t>
      </w:r>
    </w:p>
    <w:p w:rsidR="00186BC8" w:rsidRPr="001268E7" w:rsidRDefault="00186BC8" w:rsidP="00246345">
      <w:pPr>
        <w:pStyle w:val="Akapitzlist1"/>
        <w:numPr>
          <w:ilvl w:val="0"/>
          <w:numId w:val="86"/>
        </w:numPr>
        <w:spacing w:before="100" w:beforeAutospacing="1" w:after="100" w:afterAutospacing="1" w:line="240" w:lineRule="auto"/>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są racjonalne, uzasadnione i zgodne z zasadą należytego zarządzania finansami, w szczególności pod względem oszczędności i wydajności;</w:t>
      </w:r>
      <w:r w:rsidRPr="001268E7">
        <w:rPr>
          <w:rFonts w:asciiTheme="minorHAnsi" w:hAnsiTheme="minorHAnsi" w:cs="Calibri"/>
          <w:sz w:val="24"/>
          <w:szCs w:val="24"/>
        </w:rPr>
        <w:t xml:space="preserve"> </w:t>
      </w:r>
    </w:p>
    <w:p w:rsidR="00186BC8" w:rsidRDefault="00186BC8" w:rsidP="00246345">
      <w:pPr>
        <w:pStyle w:val="Akapitzlist1"/>
        <w:numPr>
          <w:ilvl w:val="0"/>
          <w:numId w:val="86"/>
        </w:numPr>
        <w:spacing w:before="100" w:beforeAutospacing="1" w:after="100" w:afterAutospacing="1" w:line="240" w:lineRule="auto"/>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są udokumentowane fakturami lub dokumentami o równoważnej wartości dowodowej</w:t>
      </w:r>
      <w:r w:rsidR="000B49E3">
        <w:rPr>
          <w:rStyle w:val="Odwoanieprzypisudolnego"/>
          <w:rFonts w:asciiTheme="minorHAnsi" w:hAnsiTheme="minorHAnsi" w:cs="Calibri"/>
          <w:sz w:val="24"/>
          <w:szCs w:val="24"/>
          <w:lang w:eastAsia="pl-PL"/>
        </w:rPr>
        <w:footnoteReference w:id="6"/>
      </w:r>
      <w:r w:rsidRPr="001268E7">
        <w:rPr>
          <w:rFonts w:asciiTheme="minorHAnsi" w:hAnsiTheme="minorHAnsi" w:cs="Calibri"/>
          <w:sz w:val="24"/>
          <w:szCs w:val="24"/>
          <w:lang w:eastAsia="pl-PL"/>
        </w:rPr>
        <w:t>.</w:t>
      </w:r>
      <w:r w:rsidR="000B49E3">
        <w:rPr>
          <w:rFonts w:asciiTheme="minorHAnsi" w:hAnsiTheme="minorHAnsi" w:cs="Calibri"/>
          <w:sz w:val="24"/>
          <w:szCs w:val="24"/>
          <w:lang w:eastAsia="pl-PL"/>
        </w:rPr>
        <w:t xml:space="preserve"> Wyjątkiem od tej zasady są wydatki rozliczane za pomocą kwot ryczałtowych na koszty przygotowania projekty i kwoty ryczałtowe na koszty personelu, a także ryczałt na koszty administracyjne;</w:t>
      </w:r>
    </w:p>
    <w:p w:rsidR="000B49E3" w:rsidRPr="001268E7" w:rsidRDefault="000B49E3" w:rsidP="00246345">
      <w:pPr>
        <w:pStyle w:val="Akapitzlist1"/>
        <w:numPr>
          <w:ilvl w:val="0"/>
          <w:numId w:val="86"/>
        </w:numPr>
        <w:spacing w:before="100" w:beforeAutospacing="1" w:after="100" w:afterAutospacing="1" w:line="240" w:lineRule="auto"/>
        <w:contextualSpacing w:val="0"/>
        <w:jc w:val="both"/>
        <w:rPr>
          <w:rFonts w:asciiTheme="minorHAnsi" w:hAnsiTheme="minorHAnsi" w:cs="Calibri"/>
          <w:sz w:val="24"/>
          <w:szCs w:val="24"/>
        </w:rPr>
      </w:pPr>
      <w:r>
        <w:rPr>
          <w:rFonts w:asciiTheme="minorHAnsi" w:hAnsiTheme="minorHAnsi" w:cs="Calibri"/>
          <w:sz w:val="24"/>
          <w:szCs w:val="24"/>
        </w:rPr>
        <w:t>nie zostały już pokryte z innych źródeł współfinansowania (brak zasady podwójnego finansowania.</w:t>
      </w:r>
    </w:p>
    <w:p w:rsidR="004B654C" w:rsidRPr="001268E7" w:rsidRDefault="00186BC8" w:rsidP="00186BC8">
      <w:pPr>
        <w:pStyle w:val="Akapitzlist1"/>
        <w:tabs>
          <w:tab w:val="left" w:pos="142"/>
        </w:tabs>
        <w:spacing w:before="100" w:beforeAutospacing="1" w:after="100" w:afterAutospacing="1" w:line="240" w:lineRule="auto"/>
        <w:ind w:left="142"/>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W ramach Programu mogą zostać wyznaczone dodatkowe zasady kwalifikowalności mające zastosowanie do Programu jako całości, pod warunkiem zatwierdzenia ich przez WKM</w:t>
      </w:r>
      <w:r w:rsidRPr="001268E7">
        <w:rPr>
          <w:rFonts w:asciiTheme="minorHAnsi" w:hAnsiTheme="minorHAnsi" w:cs="Times-Roman"/>
          <w:sz w:val="24"/>
          <w:szCs w:val="24"/>
        </w:rPr>
        <w:t>.</w:t>
      </w:r>
    </w:p>
    <w:p w:rsidR="004B654C" w:rsidRDefault="00186BC8" w:rsidP="00186BC8">
      <w:pPr>
        <w:spacing w:after="120" w:line="240" w:lineRule="auto"/>
        <w:rPr>
          <w:rFonts w:asciiTheme="minorHAnsi" w:hAnsiTheme="minorHAnsi"/>
          <w:sz w:val="24"/>
          <w:szCs w:val="24"/>
        </w:rPr>
      </w:pPr>
      <w:r w:rsidRPr="001268E7">
        <w:rPr>
          <w:rFonts w:asciiTheme="minorHAnsi" w:hAnsiTheme="minorHAnsi" w:cs="Calibri"/>
          <w:sz w:val="24"/>
          <w:szCs w:val="24"/>
          <w:lang w:eastAsia="pl-PL"/>
        </w:rPr>
        <w:t xml:space="preserve">Dofinansowanie może zostać </w:t>
      </w:r>
      <w:r w:rsidRPr="001268E7">
        <w:rPr>
          <w:rFonts w:asciiTheme="minorHAnsi" w:hAnsiTheme="minorHAnsi" w:cs="Calibri,Bold"/>
          <w:b/>
          <w:bCs/>
          <w:sz w:val="24"/>
          <w:szCs w:val="24"/>
          <w:lang w:eastAsia="pl-PL"/>
        </w:rPr>
        <w:t xml:space="preserve">przyznane retroaktywnie </w:t>
      </w:r>
      <w:r w:rsidRPr="001268E7">
        <w:rPr>
          <w:rFonts w:asciiTheme="minorHAnsi" w:hAnsiTheme="minorHAnsi" w:cs="Calibri"/>
          <w:sz w:val="24"/>
          <w:szCs w:val="24"/>
          <w:lang w:eastAsia="pl-PL"/>
        </w:rPr>
        <w:t>w następujących przypadkach:</w:t>
      </w:r>
      <w:r w:rsidR="004B654C" w:rsidRPr="001268E7">
        <w:rPr>
          <w:rFonts w:asciiTheme="minorHAnsi" w:hAnsiTheme="minorHAnsi"/>
          <w:sz w:val="24"/>
          <w:szCs w:val="24"/>
        </w:rPr>
        <w:t xml:space="preserve"> </w:t>
      </w:r>
    </w:p>
    <w:p w:rsidR="00E629DD" w:rsidRPr="001268E7" w:rsidRDefault="00E629DD" w:rsidP="00246345">
      <w:pPr>
        <w:pStyle w:val="Akapitzlist1"/>
        <w:numPr>
          <w:ilvl w:val="0"/>
          <w:numId w:val="119"/>
        </w:numPr>
        <w:spacing w:before="100" w:beforeAutospacing="1" w:after="100" w:afterAutospacing="1" w:line="240" w:lineRule="auto"/>
        <w:contextualSpacing w:val="0"/>
        <w:jc w:val="both"/>
        <w:rPr>
          <w:rFonts w:asciiTheme="minorHAnsi" w:hAnsiTheme="minorHAnsi" w:cs="Calibri"/>
          <w:vanish/>
          <w:sz w:val="24"/>
          <w:szCs w:val="24"/>
        </w:rPr>
      </w:pPr>
      <w:r w:rsidRPr="001268E7">
        <w:rPr>
          <w:rFonts w:asciiTheme="minorHAnsi" w:hAnsiTheme="minorHAnsi" w:cs="Calibri"/>
          <w:sz w:val="24"/>
          <w:szCs w:val="24"/>
          <w:lang w:eastAsia="pl-PL"/>
        </w:rPr>
        <w:t>gdy wnioskodawca może wykazać potrzebę rozpoczęcia projektu przed podpisaniem umowy.</w:t>
      </w:r>
      <w:r w:rsidRPr="001268E7">
        <w:rPr>
          <w:rFonts w:asciiTheme="minorHAnsi" w:hAnsiTheme="minorHAnsi" w:cs="Calibri"/>
          <w:sz w:val="24"/>
          <w:szCs w:val="24"/>
        </w:rPr>
        <w:t xml:space="preserve"> </w:t>
      </w:r>
      <w:r w:rsidRPr="001268E7">
        <w:rPr>
          <w:rFonts w:asciiTheme="minorHAnsi" w:hAnsiTheme="minorHAnsi" w:cs="Calibri"/>
          <w:sz w:val="24"/>
          <w:szCs w:val="24"/>
          <w:lang w:eastAsia="pl-PL"/>
        </w:rPr>
        <w:t>W takich przypadkach wydatki kwalifikujące się do finansowania nie mogą być poniesione przed datą złożenia wniosku o dofinansowanie; lub</w:t>
      </w:r>
      <w:r w:rsidRPr="001268E7">
        <w:rPr>
          <w:rFonts w:asciiTheme="minorHAnsi" w:hAnsiTheme="minorHAnsi" w:cs="Calibri"/>
          <w:sz w:val="24"/>
          <w:szCs w:val="24"/>
        </w:rPr>
        <w:t xml:space="preserve"> </w:t>
      </w:r>
    </w:p>
    <w:p w:rsidR="00E629DD" w:rsidRDefault="00E629DD" w:rsidP="00E629DD">
      <w:pPr>
        <w:pStyle w:val="Akapitzlist1"/>
        <w:spacing w:before="100" w:beforeAutospacing="1" w:after="120" w:afterAutospacing="1" w:line="240" w:lineRule="auto"/>
        <w:ind w:left="0"/>
        <w:contextualSpacing w:val="0"/>
        <w:jc w:val="both"/>
        <w:rPr>
          <w:rFonts w:asciiTheme="minorHAnsi" w:hAnsiTheme="minorHAnsi"/>
          <w:sz w:val="24"/>
          <w:szCs w:val="24"/>
        </w:rPr>
      </w:pPr>
    </w:p>
    <w:p w:rsidR="00E629DD" w:rsidRPr="001268E7" w:rsidRDefault="00E629DD" w:rsidP="00246345">
      <w:pPr>
        <w:pStyle w:val="Akapitzlist1"/>
        <w:numPr>
          <w:ilvl w:val="0"/>
          <w:numId w:val="119"/>
        </w:numPr>
        <w:spacing w:before="100" w:beforeAutospacing="1" w:after="100" w:afterAutospacing="1" w:line="240" w:lineRule="auto"/>
        <w:contextualSpacing w:val="0"/>
        <w:jc w:val="both"/>
        <w:rPr>
          <w:rFonts w:asciiTheme="minorHAnsi" w:hAnsiTheme="minorHAnsi" w:cs="Calibri"/>
          <w:vanish/>
          <w:sz w:val="24"/>
          <w:szCs w:val="24"/>
        </w:rPr>
      </w:pPr>
      <w:r w:rsidRPr="001268E7">
        <w:rPr>
          <w:rFonts w:asciiTheme="minorHAnsi" w:hAnsiTheme="minorHAnsi" w:cs="Calibri"/>
          <w:sz w:val="24"/>
          <w:szCs w:val="24"/>
          <w:lang w:eastAsia="pl-PL"/>
        </w:rPr>
        <w:lastRenderedPageBreak/>
        <w:t>w przypadku kosztów związanych z badaniami i dokumentacją dla projektów zawierających element infrastrukturalny.</w:t>
      </w:r>
      <w:r w:rsidRPr="001268E7">
        <w:rPr>
          <w:rFonts w:asciiTheme="minorHAnsi" w:hAnsiTheme="minorHAnsi" w:cs="Calibri"/>
          <w:sz w:val="24"/>
          <w:szCs w:val="24"/>
        </w:rPr>
        <w:t xml:space="preserve"> </w:t>
      </w:r>
      <w:r w:rsidRPr="001268E7">
        <w:rPr>
          <w:rFonts w:asciiTheme="minorHAnsi" w:hAnsiTheme="minorHAnsi" w:cs="Calibri"/>
          <w:sz w:val="24"/>
          <w:szCs w:val="24"/>
          <w:lang w:eastAsia="pl-PL"/>
        </w:rPr>
        <w:t>Dofinansowania nie można udzielić z mocą wsteczną na projekty już zakończone.</w:t>
      </w:r>
      <w:r w:rsidRPr="001268E7">
        <w:rPr>
          <w:rFonts w:asciiTheme="minorHAnsi" w:hAnsiTheme="minorHAnsi" w:cs="Calibri"/>
          <w:sz w:val="24"/>
          <w:szCs w:val="24"/>
        </w:rPr>
        <w:t xml:space="preserve"> </w:t>
      </w:r>
    </w:p>
    <w:p w:rsidR="00E629DD" w:rsidRPr="00E629DD" w:rsidRDefault="00E629DD" w:rsidP="00246345">
      <w:pPr>
        <w:pStyle w:val="Akapitzlist1"/>
        <w:numPr>
          <w:ilvl w:val="0"/>
          <w:numId w:val="119"/>
        </w:numPr>
        <w:spacing w:before="100" w:beforeAutospacing="1" w:after="120" w:afterAutospacing="1" w:line="240" w:lineRule="auto"/>
        <w:contextualSpacing w:val="0"/>
        <w:jc w:val="both"/>
        <w:rPr>
          <w:rFonts w:asciiTheme="minorHAnsi" w:hAnsiTheme="minorHAnsi"/>
          <w:sz w:val="24"/>
          <w:szCs w:val="24"/>
        </w:rPr>
      </w:pPr>
    </w:p>
    <w:p w:rsidR="00E629DD" w:rsidRPr="00E629DD" w:rsidRDefault="00E629DD" w:rsidP="00246345">
      <w:pPr>
        <w:pStyle w:val="Akapitzlist1"/>
        <w:numPr>
          <w:ilvl w:val="0"/>
          <w:numId w:val="118"/>
        </w:numPr>
        <w:spacing w:before="100" w:beforeAutospacing="1" w:after="100" w:afterAutospacing="1" w:line="240" w:lineRule="auto"/>
        <w:contextualSpacing w:val="0"/>
        <w:jc w:val="both"/>
        <w:rPr>
          <w:rFonts w:asciiTheme="minorHAnsi" w:hAnsiTheme="minorHAnsi" w:cs="Calibri"/>
          <w:vanish/>
          <w:sz w:val="24"/>
          <w:szCs w:val="24"/>
        </w:rPr>
      </w:pPr>
    </w:p>
    <w:p w:rsidR="00E629DD" w:rsidRPr="00E629DD" w:rsidRDefault="00E629DD" w:rsidP="00246345">
      <w:pPr>
        <w:pStyle w:val="Akapitzlist1"/>
        <w:numPr>
          <w:ilvl w:val="0"/>
          <w:numId w:val="118"/>
        </w:numPr>
        <w:spacing w:before="100" w:beforeAutospacing="1" w:after="100" w:afterAutospacing="1" w:line="240" w:lineRule="auto"/>
        <w:contextualSpacing w:val="0"/>
        <w:jc w:val="both"/>
        <w:rPr>
          <w:rFonts w:asciiTheme="minorHAnsi" w:hAnsiTheme="minorHAnsi" w:cs="Calibri"/>
          <w:vanish/>
          <w:sz w:val="24"/>
          <w:szCs w:val="24"/>
        </w:rPr>
      </w:pPr>
    </w:p>
    <w:p w:rsidR="00E629DD" w:rsidRPr="00E629DD" w:rsidRDefault="00E629DD" w:rsidP="00246345">
      <w:pPr>
        <w:pStyle w:val="Akapitzlist1"/>
        <w:numPr>
          <w:ilvl w:val="0"/>
          <w:numId w:val="118"/>
        </w:numPr>
        <w:spacing w:before="100" w:beforeAutospacing="1" w:after="100" w:afterAutospacing="1" w:line="240" w:lineRule="auto"/>
        <w:contextualSpacing w:val="0"/>
        <w:jc w:val="both"/>
        <w:rPr>
          <w:rFonts w:asciiTheme="minorHAnsi" w:hAnsiTheme="minorHAnsi" w:cs="Calibri"/>
          <w:vanish/>
          <w:sz w:val="24"/>
          <w:szCs w:val="24"/>
        </w:rPr>
      </w:pPr>
    </w:p>
    <w:p w:rsidR="00E629DD" w:rsidRPr="00E629DD" w:rsidRDefault="00E629DD" w:rsidP="00246345">
      <w:pPr>
        <w:pStyle w:val="Akapitzlist1"/>
        <w:numPr>
          <w:ilvl w:val="0"/>
          <w:numId w:val="118"/>
        </w:numPr>
        <w:spacing w:before="100" w:beforeAutospacing="1" w:after="100" w:afterAutospacing="1" w:line="240" w:lineRule="auto"/>
        <w:contextualSpacing w:val="0"/>
        <w:jc w:val="both"/>
        <w:rPr>
          <w:rFonts w:asciiTheme="minorHAnsi" w:hAnsiTheme="minorHAnsi" w:cs="Calibri"/>
          <w:vanish/>
          <w:sz w:val="24"/>
          <w:szCs w:val="24"/>
        </w:rPr>
      </w:pPr>
    </w:p>
    <w:p w:rsidR="00E629DD" w:rsidRPr="00E629DD" w:rsidRDefault="00E629DD" w:rsidP="00246345">
      <w:pPr>
        <w:pStyle w:val="Akapitzlist1"/>
        <w:numPr>
          <w:ilvl w:val="0"/>
          <w:numId w:val="118"/>
        </w:numPr>
        <w:spacing w:before="100" w:beforeAutospacing="1" w:after="100" w:afterAutospacing="1" w:line="240" w:lineRule="auto"/>
        <w:contextualSpacing w:val="0"/>
        <w:jc w:val="both"/>
        <w:rPr>
          <w:rFonts w:asciiTheme="minorHAnsi" w:hAnsiTheme="minorHAnsi" w:cs="Calibri"/>
          <w:vanish/>
          <w:sz w:val="24"/>
          <w:szCs w:val="24"/>
        </w:rPr>
      </w:pPr>
    </w:p>
    <w:p w:rsidR="00E629DD" w:rsidRPr="00E629DD" w:rsidRDefault="00E629DD" w:rsidP="00246345">
      <w:pPr>
        <w:pStyle w:val="Akapitzlist1"/>
        <w:numPr>
          <w:ilvl w:val="0"/>
          <w:numId w:val="118"/>
        </w:numPr>
        <w:spacing w:before="100" w:beforeAutospacing="1" w:after="100" w:afterAutospacing="1" w:line="240" w:lineRule="auto"/>
        <w:contextualSpacing w:val="0"/>
        <w:jc w:val="both"/>
        <w:rPr>
          <w:rFonts w:asciiTheme="minorHAnsi" w:hAnsiTheme="minorHAnsi" w:cs="Calibri"/>
          <w:vanish/>
          <w:sz w:val="24"/>
          <w:szCs w:val="24"/>
        </w:rPr>
      </w:pPr>
    </w:p>
    <w:p w:rsidR="00E629DD" w:rsidRPr="00E629DD" w:rsidRDefault="00E629DD" w:rsidP="00246345">
      <w:pPr>
        <w:pStyle w:val="Akapitzlist1"/>
        <w:numPr>
          <w:ilvl w:val="0"/>
          <w:numId w:val="118"/>
        </w:numPr>
        <w:spacing w:before="100" w:beforeAutospacing="1" w:after="100" w:afterAutospacing="1" w:line="240" w:lineRule="auto"/>
        <w:contextualSpacing w:val="0"/>
        <w:jc w:val="both"/>
        <w:rPr>
          <w:rFonts w:asciiTheme="minorHAnsi" w:hAnsiTheme="minorHAnsi" w:cs="Calibri"/>
          <w:vanish/>
          <w:sz w:val="24"/>
          <w:szCs w:val="24"/>
        </w:rPr>
      </w:pPr>
    </w:p>
    <w:p w:rsidR="00E629DD" w:rsidRPr="00E629DD" w:rsidRDefault="00E629DD" w:rsidP="00E629DD">
      <w:pPr>
        <w:autoSpaceDE w:val="0"/>
        <w:autoSpaceDN w:val="0"/>
        <w:adjustRightInd w:val="0"/>
        <w:spacing w:before="100" w:beforeAutospacing="1" w:after="100" w:afterAutospacing="1" w:line="240" w:lineRule="auto"/>
        <w:jc w:val="both"/>
        <w:rPr>
          <w:rFonts w:asciiTheme="minorHAnsi" w:hAnsiTheme="minorHAnsi" w:cs="Calibri"/>
          <w:sz w:val="24"/>
          <w:szCs w:val="24"/>
          <w:lang w:eastAsia="pl-PL"/>
        </w:rPr>
      </w:pPr>
      <w:r w:rsidRPr="001268E7">
        <w:rPr>
          <w:rFonts w:asciiTheme="minorHAnsi" w:hAnsiTheme="minorHAnsi" w:cs="Calibri"/>
          <w:sz w:val="24"/>
          <w:szCs w:val="24"/>
          <w:lang w:eastAsia="pl-PL"/>
        </w:rPr>
        <w:t xml:space="preserve">Aby umożliwić przygotowanie </w:t>
      </w:r>
      <w:r w:rsidRPr="001268E7">
        <w:rPr>
          <w:rFonts w:asciiTheme="minorHAnsi" w:hAnsiTheme="minorHAnsi" w:cs="Calibri,Bold"/>
          <w:b/>
          <w:bCs/>
          <w:sz w:val="24"/>
          <w:szCs w:val="24"/>
          <w:lang w:eastAsia="pl-PL"/>
        </w:rPr>
        <w:t>silnych partnerstw</w:t>
      </w:r>
      <w:r w:rsidRPr="001268E7">
        <w:rPr>
          <w:rFonts w:asciiTheme="minorHAnsi" w:hAnsiTheme="minorHAnsi" w:cs="Calibri"/>
          <w:sz w:val="24"/>
          <w:szCs w:val="24"/>
          <w:lang w:eastAsia="pl-PL"/>
        </w:rPr>
        <w:t xml:space="preserve">, koszty ponoszone przed złożeniem wniosku o dofinansowanie na projekty, na które dotacje zostały przyznane, uznaje się za koszty </w:t>
      </w:r>
      <w:r w:rsidRPr="00E629DD">
        <w:rPr>
          <w:rFonts w:asciiTheme="minorHAnsi" w:hAnsiTheme="minorHAnsi" w:cs="Calibri"/>
          <w:sz w:val="24"/>
          <w:szCs w:val="24"/>
          <w:lang w:eastAsia="pl-PL"/>
        </w:rPr>
        <w:t xml:space="preserve">kwalifikowalne, z zastrzeżeniem spełnienia również następujących warunków: </w:t>
      </w:r>
    </w:p>
    <w:p w:rsidR="00002973" w:rsidRDefault="00186BC8" w:rsidP="00246345">
      <w:pPr>
        <w:pStyle w:val="Akapitzlist"/>
        <w:numPr>
          <w:ilvl w:val="0"/>
          <w:numId w:val="87"/>
        </w:num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E629DD">
        <w:rPr>
          <w:sz w:val="24"/>
          <w:szCs w:val="24"/>
          <w:lang w:eastAsia="pl-PL"/>
        </w:rPr>
        <w:t>zostały poniesione po opublikowaniu zaproszenia do składania wniosków;</w:t>
      </w:r>
      <w:r w:rsidRPr="00E629DD">
        <w:rPr>
          <w:sz w:val="24"/>
          <w:szCs w:val="24"/>
        </w:rPr>
        <w:t xml:space="preserve"> </w:t>
      </w:r>
      <w:r w:rsidRPr="00E629DD">
        <w:rPr>
          <w:rFonts w:asciiTheme="minorHAnsi" w:hAnsiTheme="minorHAnsi" w:cs="Calibri"/>
          <w:sz w:val="24"/>
          <w:szCs w:val="24"/>
          <w:lang w:eastAsia="pl-PL"/>
        </w:rPr>
        <w:t>ograniczają się do kosztów podróży i pobytu poniesionych przez personel zatrudniany przez beneficjentów;</w:t>
      </w:r>
    </w:p>
    <w:p w:rsidR="00186BC8" w:rsidRPr="00E629DD" w:rsidRDefault="00186BC8" w:rsidP="00246345">
      <w:pPr>
        <w:pStyle w:val="Akapitzlist"/>
        <w:numPr>
          <w:ilvl w:val="0"/>
          <w:numId w:val="87"/>
        </w:num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E629DD">
        <w:rPr>
          <w:rFonts w:asciiTheme="minorHAnsi" w:hAnsiTheme="minorHAnsi" w:cs="Calibri"/>
          <w:sz w:val="24"/>
          <w:szCs w:val="24"/>
          <w:lang w:eastAsia="pl-PL"/>
        </w:rPr>
        <w:t>nie przewyższają maksymalnej kwoty ustalonej na poziomie Programu.</w:t>
      </w:r>
    </w:p>
    <w:p w:rsidR="004B654C" w:rsidRPr="001268E7" w:rsidRDefault="00186BC8" w:rsidP="00186BC8">
      <w:pPr>
        <w:autoSpaceDE w:val="0"/>
        <w:autoSpaceDN w:val="0"/>
        <w:adjustRightInd w:val="0"/>
        <w:spacing w:before="100" w:beforeAutospacing="1" w:after="100" w:afterAutospacing="1" w:line="240" w:lineRule="auto"/>
        <w:jc w:val="both"/>
        <w:rPr>
          <w:rFonts w:asciiTheme="minorHAnsi" w:hAnsiTheme="minorHAnsi" w:cs="Calibri"/>
          <w:b/>
          <w:i/>
          <w:sz w:val="24"/>
          <w:szCs w:val="24"/>
          <w:u w:val="single"/>
        </w:rPr>
      </w:pPr>
      <w:r w:rsidRPr="001268E7">
        <w:rPr>
          <w:rFonts w:asciiTheme="minorHAnsi" w:hAnsiTheme="minorHAnsi" w:cs="Calibri"/>
          <w:b/>
          <w:i/>
          <w:sz w:val="24"/>
          <w:szCs w:val="24"/>
          <w:u w:val="single"/>
        </w:rPr>
        <w:t>Koszty bezpośrednie</w:t>
      </w:r>
    </w:p>
    <w:p w:rsidR="004B654C" w:rsidRPr="001268E7" w:rsidRDefault="00186BC8" w:rsidP="00186BC8">
      <w:p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t>Następujące koszty bezpośrednie beneficjenta są kosztami kwalifikowalnymi:</w:t>
      </w:r>
      <w:r w:rsidR="004B654C" w:rsidRPr="001268E7">
        <w:rPr>
          <w:rFonts w:asciiTheme="minorHAnsi" w:hAnsiTheme="minorHAnsi" w:cs="Calibri"/>
          <w:sz w:val="24"/>
          <w:szCs w:val="24"/>
        </w:rPr>
        <w:t xml:space="preserve"> </w:t>
      </w:r>
    </w:p>
    <w:p w:rsidR="00186BC8" w:rsidRPr="001268E7" w:rsidRDefault="00186BC8" w:rsidP="00246345">
      <w:pPr>
        <w:pStyle w:val="Akapitzlist1"/>
        <w:numPr>
          <w:ilvl w:val="0"/>
          <w:numId w:val="88"/>
        </w:numPr>
        <w:spacing w:before="100" w:beforeAutospacing="1" w:after="100" w:afterAutospacing="1" w:line="240" w:lineRule="auto"/>
        <w:contextualSpacing w:val="0"/>
        <w:jc w:val="both"/>
        <w:rPr>
          <w:rFonts w:asciiTheme="minorHAnsi" w:hAnsiTheme="minorHAnsi" w:cs="Calibri"/>
          <w:sz w:val="24"/>
          <w:szCs w:val="24"/>
        </w:rPr>
      </w:pPr>
      <w:r w:rsidRPr="001268E7">
        <w:rPr>
          <w:rFonts w:asciiTheme="minorHAnsi" w:hAnsiTheme="minorHAnsi" w:cs="Calibri"/>
          <w:sz w:val="24"/>
          <w:szCs w:val="24"/>
          <w:lang w:eastAsia="pl-PL"/>
        </w:rPr>
        <w:t>koszty personelu przydzielonego do projektu, o ile spełnione są łącznie następujące warunki:</w:t>
      </w:r>
      <w:r w:rsidRPr="001268E7">
        <w:rPr>
          <w:rFonts w:asciiTheme="minorHAnsi" w:hAnsiTheme="minorHAnsi" w:cs="Calibri"/>
          <w:sz w:val="24"/>
          <w:szCs w:val="24"/>
        </w:rPr>
        <w:t xml:space="preserve"> </w:t>
      </w:r>
    </w:p>
    <w:p w:rsidR="00186BC8" w:rsidRPr="001268E7" w:rsidRDefault="00186BC8" w:rsidP="00246345">
      <w:pPr>
        <w:numPr>
          <w:ilvl w:val="1"/>
          <w:numId w:val="89"/>
        </w:numPr>
        <w:spacing w:after="120" w:line="240" w:lineRule="auto"/>
        <w:jc w:val="both"/>
        <w:rPr>
          <w:rFonts w:asciiTheme="minorHAnsi" w:hAnsiTheme="minorHAnsi"/>
          <w:sz w:val="24"/>
          <w:szCs w:val="24"/>
        </w:rPr>
      </w:pPr>
      <w:r w:rsidRPr="001268E7">
        <w:rPr>
          <w:rFonts w:asciiTheme="minorHAnsi" w:hAnsiTheme="minorHAnsi" w:cs="Calibri"/>
          <w:sz w:val="24"/>
          <w:szCs w:val="24"/>
          <w:lang w:eastAsia="pl-PL"/>
        </w:rPr>
        <w:t>odnoszą się do kosztów działań, których beneficjent nie podejmowałby, gdyby projekt nie był realizowany;</w:t>
      </w:r>
    </w:p>
    <w:p w:rsidR="00186BC8" w:rsidRPr="001268E7" w:rsidRDefault="00186BC8" w:rsidP="00246345">
      <w:pPr>
        <w:numPr>
          <w:ilvl w:val="1"/>
          <w:numId w:val="89"/>
        </w:numPr>
        <w:spacing w:after="120" w:line="240" w:lineRule="auto"/>
        <w:jc w:val="both"/>
        <w:rPr>
          <w:sz w:val="24"/>
          <w:szCs w:val="24"/>
        </w:rPr>
      </w:pPr>
      <w:r w:rsidRPr="001268E7">
        <w:rPr>
          <w:rFonts w:cs="Calibri"/>
          <w:sz w:val="24"/>
          <w:szCs w:val="24"/>
          <w:lang w:eastAsia="pl-PL"/>
        </w:rPr>
        <w:t>nie mogą przekraczać kosztów normalnie ponoszonych przez beneficjenta, chyba że udowodnione zostanie, że były niezbędne do realizacji projektu;</w:t>
      </w:r>
    </w:p>
    <w:p w:rsidR="00186BC8" w:rsidRPr="001268E7" w:rsidRDefault="00186BC8" w:rsidP="00246345">
      <w:pPr>
        <w:numPr>
          <w:ilvl w:val="1"/>
          <w:numId w:val="89"/>
        </w:numPr>
        <w:spacing w:after="120" w:line="240" w:lineRule="auto"/>
        <w:jc w:val="both"/>
        <w:rPr>
          <w:sz w:val="24"/>
          <w:szCs w:val="24"/>
        </w:rPr>
      </w:pPr>
      <w:r w:rsidRPr="001268E7">
        <w:rPr>
          <w:rFonts w:cs="Calibri"/>
          <w:sz w:val="24"/>
          <w:szCs w:val="24"/>
          <w:lang w:eastAsia="pl-PL"/>
        </w:rPr>
        <w:t>odnoszą się do rzeczywistych wynagrodzeń brutto z uwzględnieniem składek na ubezpieczenie społeczne i innych kosztów związanych z wynagrodzeniem;</w:t>
      </w:r>
      <w:r w:rsidRPr="001268E7">
        <w:rPr>
          <w:sz w:val="24"/>
          <w:szCs w:val="24"/>
        </w:rPr>
        <w:t xml:space="preserve"> </w:t>
      </w:r>
    </w:p>
    <w:p w:rsidR="00186BC8" w:rsidRPr="001268E7" w:rsidRDefault="00186BC8" w:rsidP="00246345">
      <w:pPr>
        <w:pStyle w:val="Akapitzlist1"/>
        <w:numPr>
          <w:ilvl w:val="0"/>
          <w:numId w:val="9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koszty podróży i pobytu personelu i innych osób uczestniczących </w:t>
      </w:r>
      <w:r w:rsidR="00014B46" w:rsidRPr="001268E7">
        <w:rPr>
          <w:rFonts w:cs="Calibri"/>
          <w:sz w:val="24"/>
          <w:szCs w:val="24"/>
          <w:lang w:eastAsia="pl-PL"/>
        </w:rPr>
        <w:t xml:space="preserve">w </w:t>
      </w:r>
      <w:r w:rsidRPr="001268E7">
        <w:rPr>
          <w:rFonts w:cs="Calibri"/>
          <w:sz w:val="24"/>
          <w:szCs w:val="24"/>
          <w:lang w:eastAsia="pl-PL"/>
        </w:rPr>
        <w:t>projekcie, o ile nie przekraczają kosztów zwyczajowo ponoszonych przez beneficjenta zgodnie z jego regulaminami i zasadami ani stawek publikowanych przez Komisję w okresie misji, jeśli zwracane są na podstawie płatności ryczałtowych, kosztów jednostkowych lub stawek zryczałtowanych;</w:t>
      </w:r>
      <w:r w:rsidRPr="001268E7">
        <w:rPr>
          <w:rFonts w:cs="Calibri"/>
          <w:sz w:val="24"/>
          <w:szCs w:val="24"/>
        </w:rPr>
        <w:t xml:space="preserve"> </w:t>
      </w:r>
    </w:p>
    <w:p w:rsidR="00186BC8" w:rsidRPr="001268E7" w:rsidRDefault="00186BC8" w:rsidP="00246345">
      <w:pPr>
        <w:pStyle w:val="Akapitzlist1"/>
        <w:numPr>
          <w:ilvl w:val="0"/>
          <w:numId w:val="9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koszty zakupu lub najmu sprzętu i wyposażenia (nowego lub używanego) specjalnie na potrzeby projektu, o ile odpowiadają kosztom rynkowym;</w:t>
      </w:r>
      <w:r w:rsidRPr="001268E7">
        <w:rPr>
          <w:rFonts w:cs="Calibri"/>
          <w:sz w:val="24"/>
          <w:szCs w:val="24"/>
        </w:rPr>
        <w:t xml:space="preserve"> </w:t>
      </w:r>
    </w:p>
    <w:p w:rsidR="00186BC8" w:rsidRPr="001268E7" w:rsidRDefault="00186BC8" w:rsidP="00246345">
      <w:pPr>
        <w:pStyle w:val="Akapitzlist1"/>
        <w:numPr>
          <w:ilvl w:val="0"/>
          <w:numId w:val="9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koszty usług konsumpcyjnych poniesione specjalnie na potrzeby projektu;</w:t>
      </w:r>
      <w:r w:rsidRPr="001268E7">
        <w:rPr>
          <w:rFonts w:cs="Calibri"/>
          <w:sz w:val="24"/>
          <w:szCs w:val="24"/>
        </w:rPr>
        <w:t xml:space="preserve"> </w:t>
      </w:r>
    </w:p>
    <w:p w:rsidR="00186BC8" w:rsidRPr="001268E7" w:rsidRDefault="00186BC8" w:rsidP="00246345">
      <w:pPr>
        <w:pStyle w:val="Akapitzlist1"/>
        <w:numPr>
          <w:ilvl w:val="0"/>
          <w:numId w:val="9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koszty związane z zamówieniami udzielanymi przez beneficjentów na potrzeby projektu;</w:t>
      </w:r>
      <w:r w:rsidRPr="001268E7">
        <w:rPr>
          <w:rFonts w:cs="Calibri"/>
          <w:sz w:val="24"/>
          <w:szCs w:val="24"/>
        </w:rPr>
        <w:t xml:space="preserve"> </w:t>
      </w:r>
    </w:p>
    <w:p w:rsidR="00186BC8" w:rsidRPr="001268E7" w:rsidRDefault="00186BC8" w:rsidP="00246345">
      <w:pPr>
        <w:pStyle w:val="Akapitzlist1"/>
        <w:numPr>
          <w:ilvl w:val="0"/>
          <w:numId w:val="90"/>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koszty związane bezpośrednio z wymogami wynikającymi z niniejszego Rozporządzenia i z projektu (na przykład działania info</w:t>
      </w:r>
      <w:r w:rsidR="00014B46" w:rsidRPr="001268E7">
        <w:rPr>
          <w:rFonts w:cs="Calibri"/>
          <w:sz w:val="24"/>
          <w:szCs w:val="24"/>
          <w:lang w:eastAsia="pl-PL"/>
        </w:rPr>
        <w:t>rmacyjne i dzi</w:t>
      </w:r>
      <w:r w:rsidR="003C2717" w:rsidRPr="001268E7">
        <w:rPr>
          <w:rFonts w:cs="Calibri"/>
          <w:sz w:val="24"/>
          <w:szCs w:val="24"/>
          <w:lang w:eastAsia="pl-PL"/>
        </w:rPr>
        <w:t>ałania dotyczące widoczności</w:t>
      </w:r>
      <w:r w:rsidR="00014B46" w:rsidRPr="001268E7">
        <w:rPr>
          <w:rFonts w:cs="Calibri"/>
          <w:sz w:val="24"/>
          <w:szCs w:val="24"/>
          <w:lang w:eastAsia="pl-PL"/>
        </w:rPr>
        <w:t>, oceny</w:t>
      </w:r>
      <w:r w:rsidRPr="001268E7">
        <w:rPr>
          <w:rFonts w:cs="Calibri"/>
          <w:sz w:val="24"/>
          <w:szCs w:val="24"/>
          <w:lang w:eastAsia="pl-PL"/>
        </w:rPr>
        <w:t>, audyty zewnętrzne, tłumaczenia), w tym koszty usług finansowych (na przykład koszty przelewów bankowych i gwarancji finansowych).</w:t>
      </w:r>
    </w:p>
    <w:p w:rsidR="004B654C" w:rsidRPr="001268E7" w:rsidRDefault="00186BC8" w:rsidP="00186BC8">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Na potrzeby realizacji projektu utworzone zostaną oddzielne księgi rachunkowe (koszty, wydatki, przychody).</w:t>
      </w:r>
    </w:p>
    <w:p w:rsidR="004B654C" w:rsidRPr="001268E7" w:rsidRDefault="00186BC8" w:rsidP="00186BC8">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lastRenderedPageBreak/>
        <w:t>W ramach Programu mogą zostać wyznaczone dodatkowe zasady kwalifikowalności mające zastosowanie do Programu jako całości, pod warunkiem zatwierdzenia ich przez WKM</w:t>
      </w:r>
      <w:r w:rsidRPr="001268E7">
        <w:rPr>
          <w:rFonts w:cs="Calibri"/>
          <w:sz w:val="24"/>
          <w:szCs w:val="24"/>
        </w:rPr>
        <w:t>.</w:t>
      </w:r>
    </w:p>
    <w:p w:rsidR="004B654C" w:rsidRPr="001268E7" w:rsidRDefault="00186BC8" w:rsidP="00186BC8">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Koszty pośrednie</w:t>
      </w:r>
    </w:p>
    <w:p w:rsidR="00186BC8" w:rsidRPr="001268E7" w:rsidRDefault="00186BC8" w:rsidP="00246345">
      <w:pPr>
        <w:pStyle w:val="Akapitzlist1"/>
        <w:numPr>
          <w:ilvl w:val="0"/>
          <w:numId w:val="91"/>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Koszty pośrednie mogą być obliczane według stawki zryczałtowanej w wysokości do 7% kwalifikowanych kosztów bezpośrednich, po uprzednim odliczeniu kosztów związanych z nabyciem infrastruktury, pod warunkiem, że stawka została obliczona na podstawie rzetelnej, sprawiedliwej i w</w:t>
      </w:r>
      <w:r w:rsidR="00014B46" w:rsidRPr="001268E7">
        <w:rPr>
          <w:rFonts w:cs="Calibri"/>
          <w:sz w:val="24"/>
          <w:szCs w:val="24"/>
          <w:lang w:eastAsia="pl-PL"/>
        </w:rPr>
        <w:t>eryfikowalnej metody kalkulacji.</w:t>
      </w:r>
      <w:r w:rsidRPr="001268E7">
        <w:rPr>
          <w:rFonts w:cs="Calibri"/>
          <w:sz w:val="24"/>
          <w:szCs w:val="24"/>
        </w:rPr>
        <w:t xml:space="preserve"> </w:t>
      </w:r>
    </w:p>
    <w:p w:rsidR="00186BC8" w:rsidRPr="001268E7" w:rsidRDefault="00186BC8" w:rsidP="00246345">
      <w:pPr>
        <w:pStyle w:val="Akapitzlist1"/>
        <w:numPr>
          <w:ilvl w:val="0"/>
          <w:numId w:val="91"/>
        </w:numPr>
        <w:spacing w:before="100" w:beforeAutospacing="1" w:after="100" w:afterAutospacing="1" w:line="240" w:lineRule="auto"/>
        <w:contextualSpacing w:val="0"/>
        <w:jc w:val="both"/>
        <w:rPr>
          <w:rFonts w:cs="Calibri"/>
          <w:vanish/>
          <w:sz w:val="24"/>
          <w:szCs w:val="24"/>
        </w:rPr>
      </w:pPr>
      <w:r w:rsidRPr="001268E7">
        <w:rPr>
          <w:rFonts w:cs="Calibri"/>
          <w:sz w:val="24"/>
          <w:szCs w:val="24"/>
          <w:lang w:eastAsia="pl-PL"/>
        </w:rPr>
        <w:t>Za koszty pośrednie projektu uznaje się koszty kwalifikowalne, które nie mogą być zidentyfikowane jako konkretne koszty związane bezpośrednio z realizacją projektu i nie mogą zostać jako takie bezpośrednio zaksięgowane zgodnie z warunkami kwalifikowalności określonymi powyżej.</w:t>
      </w:r>
      <w:r w:rsidRPr="001268E7">
        <w:rPr>
          <w:rFonts w:cs="Calibri"/>
          <w:sz w:val="24"/>
          <w:szCs w:val="24"/>
        </w:rPr>
        <w:t xml:space="preserve"> </w:t>
      </w:r>
      <w:r w:rsidRPr="001268E7">
        <w:rPr>
          <w:rFonts w:cs="Calibri"/>
          <w:sz w:val="24"/>
          <w:szCs w:val="24"/>
          <w:lang w:eastAsia="pl-PL"/>
        </w:rPr>
        <w:t>Nie mogą one obejmować kosztów niekwalifikowalnych, o których mowa poniżej, ani kosztów już zadeklarowanych w innej pozycji kosztów lub pozycji budżetowej projektu.</w:t>
      </w:r>
    </w:p>
    <w:p w:rsidR="00052EFA" w:rsidRDefault="00052EFA" w:rsidP="00186BC8">
      <w:pPr>
        <w:autoSpaceDE w:val="0"/>
        <w:autoSpaceDN w:val="0"/>
        <w:adjustRightInd w:val="0"/>
        <w:spacing w:before="100" w:beforeAutospacing="1" w:after="100" w:afterAutospacing="1" w:line="240" w:lineRule="auto"/>
        <w:jc w:val="both"/>
        <w:rPr>
          <w:rFonts w:asciiTheme="minorHAnsi" w:hAnsiTheme="minorHAnsi" w:cs="Calibri,Bold"/>
          <w:b/>
          <w:bCs/>
          <w:i/>
          <w:sz w:val="24"/>
          <w:szCs w:val="24"/>
          <w:u w:val="single"/>
          <w:lang w:eastAsia="pl-PL"/>
        </w:rPr>
      </w:pPr>
    </w:p>
    <w:p w:rsidR="004B654C" w:rsidRPr="001268E7" w:rsidRDefault="00186BC8" w:rsidP="00186BC8">
      <w:pPr>
        <w:autoSpaceDE w:val="0"/>
        <w:autoSpaceDN w:val="0"/>
        <w:adjustRightInd w:val="0"/>
        <w:spacing w:before="100" w:beforeAutospacing="1" w:after="100" w:afterAutospacing="1" w:line="240" w:lineRule="auto"/>
        <w:jc w:val="both"/>
        <w:rPr>
          <w:rFonts w:asciiTheme="minorHAnsi" w:hAnsiTheme="minorHAnsi" w:cs="Calibri"/>
          <w:b/>
          <w:i/>
          <w:sz w:val="24"/>
          <w:szCs w:val="24"/>
          <w:u w:val="single"/>
        </w:rPr>
      </w:pPr>
      <w:r w:rsidRPr="001268E7">
        <w:rPr>
          <w:rFonts w:asciiTheme="minorHAnsi" w:hAnsiTheme="minorHAnsi" w:cs="Calibri,Bold"/>
          <w:b/>
          <w:bCs/>
          <w:i/>
          <w:sz w:val="24"/>
          <w:szCs w:val="24"/>
          <w:u w:val="single"/>
          <w:lang w:eastAsia="pl-PL"/>
        </w:rPr>
        <w:t>Koszty niekwalifikowalne</w:t>
      </w:r>
      <w:r w:rsidR="004B654C" w:rsidRPr="001268E7">
        <w:rPr>
          <w:rFonts w:asciiTheme="minorHAnsi" w:hAnsiTheme="minorHAnsi" w:cs="Calibri"/>
          <w:b/>
          <w:i/>
          <w:sz w:val="24"/>
          <w:szCs w:val="24"/>
          <w:u w:val="single"/>
        </w:rPr>
        <w:t xml:space="preserve"> </w:t>
      </w:r>
    </w:p>
    <w:p w:rsidR="004B654C" w:rsidRPr="001268E7" w:rsidRDefault="00186BC8" w:rsidP="00186BC8">
      <w:p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Za koszty niekwalifikowalne w związku w wdrażaniem projektu uznaje się następujące koszty:</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zadłużenie i opłaty związane z obsługą zadłużenia (odsetki);</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rezerwy na straty lub zobowiązania;</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koszty zadeklarowane przez beneficjenta i już sfinansowane z budżetu UE;</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zakup gruntów lub budynków na kwotę przekraczającą 10% kwalifikowalnych wydatków danego projektu;</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straty z tytułu różnic kursowych;</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cła, podatki i opłaty, w tym VAT, z wyjątkiem przypadków, gdy nie ma możliwości ich odzyskania na podstawie obowiązujących krajowych przepisów podatkowych, chyba że określone zostanie inaczej w odpowiednich postanowieniach uzgodnionych z państwami partnerskimi współpracy transgranicznej;</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pożyczki na rzecz osób trzecich;</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grzywny, kary finansowe i wydatki związane ze sporami sądowymi;</w:t>
      </w:r>
    </w:p>
    <w:p w:rsidR="00186BC8" w:rsidRPr="001268E7" w:rsidRDefault="00186BC8" w:rsidP="00C62170">
      <w:pPr>
        <w:numPr>
          <w:ilvl w:val="0"/>
          <w:numId w:val="11"/>
        </w:numPr>
        <w:autoSpaceDE w:val="0"/>
        <w:autoSpaceDN w:val="0"/>
        <w:adjustRightInd w:val="0"/>
        <w:spacing w:before="100" w:beforeAutospacing="1" w:after="100" w:afterAutospacing="1" w:line="240" w:lineRule="auto"/>
        <w:jc w:val="both"/>
        <w:rPr>
          <w:rFonts w:asciiTheme="minorHAnsi" w:hAnsiTheme="minorHAnsi"/>
          <w:bCs/>
          <w:sz w:val="24"/>
          <w:szCs w:val="24"/>
        </w:rPr>
      </w:pPr>
      <w:r w:rsidRPr="001268E7">
        <w:rPr>
          <w:rFonts w:asciiTheme="minorHAnsi" w:hAnsiTheme="minorHAnsi" w:cs="Calibri"/>
          <w:sz w:val="24"/>
          <w:szCs w:val="24"/>
          <w:lang w:eastAsia="pl-PL"/>
        </w:rPr>
        <w:t>wkłady rzeczowe.</w:t>
      </w:r>
    </w:p>
    <w:p w:rsidR="004B654C" w:rsidRPr="001268E7" w:rsidRDefault="00186BC8" w:rsidP="00186BC8">
      <w:pPr>
        <w:autoSpaceDE w:val="0"/>
        <w:autoSpaceDN w:val="0"/>
        <w:adjustRightInd w:val="0"/>
        <w:spacing w:before="120" w:after="120" w:line="240" w:lineRule="auto"/>
        <w:jc w:val="both"/>
        <w:rPr>
          <w:rFonts w:asciiTheme="minorHAnsi" w:hAnsiTheme="minorHAnsi"/>
          <w:sz w:val="24"/>
          <w:szCs w:val="24"/>
        </w:rPr>
      </w:pPr>
      <w:r w:rsidRPr="001268E7">
        <w:rPr>
          <w:rFonts w:asciiTheme="minorHAnsi" w:hAnsiTheme="minorHAnsi"/>
          <w:sz w:val="24"/>
          <w:szCs w:val="24"/>
        </w:rPr>
        <w:t xml:space="preserve">WKM może dodatkowo zdecydować o </w:t>
      </w:r>
      <w:r w:rsidR="003C1497" w:rsidRPr="001268E7">
        <w:rPr>
          <w:rFonts w:asciiTheme="minorHAnsi" w:hAnsiTheme="minorHAnsi"/>
          <w:sz w:val="24"/>
          <w:szCs w:val="24"/>
        </w:rPr>
        <w:t xml:space="preserve">braku </w:t>
      </w:r>
      <w:r w:rsidRPr="001268E7">
        <w:rPr>
          <w:rFonts w:asciiTheme="minorHAnsi" w:hAnsiTheme="minorHAnsi"/>
          <w:sz w:val="24"/>
          <w:szCs w:val="24"/>
        </w:rPr>
        <w:t>kwalifikowalności określonych rodzajów kosztów.</w:t>
      </w:r>
    </w:p>
    <w:p w:rsidR="004B654C" w:rsidRPr="001268E7" w:rsidRDefault="00186BC8" w:rsidP="004B654C">
      <w:pPr>
        <w:autoSpaceDE w:val="0"/>
        <w:autoSpaceDN w:val="0"/>
        <w:adjustRightInd w:val="0"/>
        <w:spacing w:before="120" w:after="120" w:line="240" w:lineRule="auto"/>
        <w:jc w:val="both"/>
        <w:rPr>
          <w:rFonts w:cs="Times-Roman"/>
          <w:sz w:val="24"/>
        </w:rPr>
      </w:pPr>
      <w:r w:rsidRPr="001268E7">
        <w:rPr>
          <w:rFonts w:asciiTheme="minorHAnsi" w:hAnsiTheme="minorHAnsi"/>
          <w:bCs/>
          <w:sz w:val="24"/>
          <w:szCs w:val="24"/>
        </w:rPr>
        <w:t xml:space="preserve">Bardziej szczegółowe zasady </w:t>
      </w:r>
      <w:r w:rsidR="003C1497" w:rsidRPr="001268E7">
        <w:rPr>
          <w:rFonts w:asciiTheme="minorHAnsi" w:hAnsiTheme="minorHAnsi"/>
          <w:bCs/>
          <w:sz w:val="24"/>
          <w:szCs w:val="24"/>
        </w:rPr>
        <w:t xml:space="preserve">dotyczące </w:t>
      </w:r>
      <w:r w:rsidRPr="001268E7">
        <w:rPr>
          <w:rFonts w:asciiTheme="minorHAnsi" w:hAnsiTheme="minorHAnsi"/>
          <w:bCs/>
          <w:sz w:val="24"/>
          <w:szCs w:val="24"/>
        </w:rPr>
        <w:t xml:space="preserve">kwalifikowalności, w tym </w:t>
      </w:r>
      <w:r w:rsidR="003C1497" w:rsidRPr="001268E7">
        <w:rPr>
          <w:rFonts w:asciiTheme="minorHAnsi" w:hAnsiTheme="minorHAnsi"/>
          <w:bCs/>
          <w:sz w:val="24"/>
          <w:szCs w:val="24"/>
        </w:rPr>
        <w:t>zasady dotyczące dofinansowania</w:t>
      </w:r>
      <w:r w:rsidRPr="001268E7">
        <w:rPr>
          <w:rFonts w:asciiTheme="minorHAnsi" w:hAnsiTheme="minorHAnsi"/>
          <w:bCs/>
          <w:sz w:val="24"/>
          <w:szCs w:val="24"/>
        </w:rPr>
        <w:t xml:space="preserve"> przyznane</w:t>
      </w:r>
      <w:r w:rsidR="003C1497" w:rsidRPr="001268E7">
        <w:rPr>
          <w:rFonts w:asciiTheme="minorHAnsi" w:hAnsiTheme="minorHAnsi"/>
          <w:bCs/>
          <w:sz w:val="24"/>
          <w:szCs w:val="24"/>
        </w:rPr>
        <w:t>go retroaktywnie, dodatkowych kategorii</w:t>
      </w:r>
      <w:r w:rsidRPr="001268E7">
        <w:rPr>
          <w:rFonts w:asciiTheme="minorHAnsi" w:hAnsiTheme="minorHAnsi"/>
          <w:bCs/>
          <w:sz w:val="24"/>
          <w:szCs w:val="24"/>
        </w:rPr>
        <w:t xml:space="preserve"> kosztów niekwalifikow</w:t>
      </w:r>
      <w:r w:rsidR="003C1497" w:rsidRPr="001268E7">
        <w:rPr>
          <w:rFonts w:asciiTheme="minorHAnsi" w:hAnsiTheme="minorHAnsi"/>
          <w:bCs/>
          <w:sz w:val="24"/>
          <w:szCs w:val="24"/>
        </w:rPr>
        <w:t>alnych, jak również zastosowania</w:t>
      </w:r>
      <w:r w:rsidRPr="001268E7">
        <w:rPr>
          <w:bCs/>
          <w:sz w:val="24"/>
        </w:rPr>
        <w:t xml:space="preserve"> ryczałtu, kosztów jednostkowych, stawki zryczałtowan</w:t>
      </w:r>
      <w:r w:rsidR="003C1497" w:rsidRPr="001268E7">
        <w:rPr>
          <w:bCs/>
          <w:sz w:val="24"/>
        </w:rPr>
        <w:t>ej i wykorzystania</w:t>
      </w:r>
      <w:r w:rsidRPr="001268E7">
        <w:rPr>
          <w:bCs/>
          <w:sz w:val="24"/>
        </w:rPr>
        <w:t xml:space="preserve"> kosztów pośrednic</w:t>
      </w:r>
      <w:r w:rsidR="003C1497" w:rsidRPr="001268E7">
        <w:rPr>
          <w:bCs/>
          <w:sz w:val="24"/>
        </w:rPr>
        <w:t>h w ramach wspieranych projektów finansowanych w ramach</w:t>
      </w:r>
      <w:r w:rsidRPr="001268E7">
        <w:rPr>
          <w:bCs/>
          <w:sz w:val="24"/>
        </w:rPr>
        <w:t xml:space="preserve"> Program</w:t>
      </w:r>
      <w:r w:rsidR="003C1497" w:rsidRPr="001268E7">
        <w:rPr>
          <w:bCs/>
          <w:sz w:val="24"/>
        </w:rPr>
        <w:t>u</w:t>
      </w:r>
      <w:r w:rsidRPr="001268E7">
        <w:rPr>
          <w:bCs/>
          <w:sz w:val="24"/>
        </w:rPr>
        <w:t xml:space="preserve"> mogą być określone w Podręczniku Programu dla odpowiednich zaproszeń do składania ofert.</w:t>
      </w:r>
    </w:p>
    <w:p w:rsidR="004B654C" w:rsidRPr="001268E7" w:rsidRDefault="00186BC8" w:rsidP="00186BC8">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asciiTheme="minorHAnsi" w:hAnsiTheme="minorHAnsi" w:cs="Calibri,Bold"/>
          <w:b/>
          <w:bCs/>
          <w:i/>
          <w:sz w:val="24"/>
          <w:szCs w:val="24"/>
          <w:u w:val="single"/>
          <w:lang w:eastAsia="pl-PL"/>
        </w:rPr>
        <w:t>Zasada non-profit</w:t>
      </w:r>
    </w:p>
    <w:p w:rsidR="004B654C" w:rsidRPr="001268E7" w:rsidRDefault="00186BC8" w:rsidP="00186BC8">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Osiągnięcie zysku w ramach projektu nie może być ani celem ani skutkiem dofinansowania.</w:t>
      </w:r>
      <w:r w:rsidR="004B654C" w:rsidRPr="001268E7">
        <w:rPr>
          <w:rFonts w:cs="Calibri"/>
          <w:sz w:val="24"/>
          <w:szCs w:val="24"/>
        </w:rPr>
        <w:t xml:space="preserve"> </w:t>
      </w:r>
    </w:p>
    <w:p w:rsidR="004B654C" w:rsidRPr="001268E7" w:rsidRDefault="00186BC8" w:rsidP="00186BC8">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lastRenderedPageBreak/>
        <w:t>W przypadku osiągnięcia zysku, IZ przysługiwało będzie prawo do odzyskania wyrażonej w procentach części zysku odpowiadającej wartości wkładu UE do kosztów kwalifikowalnych faktycznie poniesionych przez beneficjenta na realizację projektu.</w:t>
      </w:r>
    </w:p>
    <w:p w:rsidR="004B654C" w:rsidRPr="001268E7" w:rsidRDefault="00585D1A" w:rsidP="00186BC8">
      <w:pPr>
        <w:pStyle w:val="Nagwek2"/>
      </w:pPr>
      <w:bookmarkStart w:id="54" w:name="_Toc530737588"/>
      <w:bookmarkStart w:id="55" w:name="_Toc420415008"/>
      <w:r w:rsidRPr="001268E7">
        <w:t>4.6 Procedury z</w:t>
      </w:r>
      <w:r w:rsidR="00186BC8" w:rsidRPr="001268E7">
        <w:t>arządzania i kontroli finansowej</w:t>
      </w:r>
      <w:bookmarkEnd w:id="54"/>
    </w:p>
    <w:p w:rsidR="004B654C" w:rsidRPr="001268E7" w:rsidRDefault="00186BC8" w:rsidP="00186BC8">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Przepływy pieniężne</w:t>
      </w:r>
    </w:p>
    <w:p w:rsidR="004B654C" w:rsidRPr="001268E7" w:rsidRDefault="00186BC8" w:rsidP="00186BC8">
      <w:pPr>
        <w:autoSpaceDE w:val="0"/>
        <w:autoSpaceDN w:val="0"/>
        <w:adjustRightInd w:val="0"/>
        <w:spacing w:before="120" w:after="120" w:line="240" w:lineRule="auto"/>
        <w:jc w:val="both"/>
        <w:rPr>
          <w:kern w:val="28"/>
          <w:sz w:val="24"/>
          <w:szCs w:val="24"/>
        </w:rPr>
      </w:pPr>
      <w:r w:rsidRPr="001268E7">
        <w:rPr>
          <w:rFonts w:cs="Calibri"/>
          <w:sz w:val="24"/>
          <w:szCs w:val="24"/>
          <w:lang w:eastAsia="pl-PL"/>
        </w:rPr>
        <w:t>Płatności KE na rzecz Programu dokonywane są zgodnie z postanowieniami art. 59 i 60</w:t>
      </w:r>
      <w:r w:rsidR="004B654C" w:rsidRPr="001268E7">
        <w:rPr>
          <w:kern w:val="28"/>
          <w:sz w:val="24"/>
          <w:szCs w:val="24"/>
        </w:rPr>
        <w:t xml:space="preserve"> </w:t>
      </w:r>
      <w:r w:rsidRPr="001268E7">
        <w:rPr>
          <w:kern w:val="28"/>
          <w:sz w:val="24"/>
          <w:szCs w:val="24"/>
        </w:rPr>
        <w:t>Rozporządzenia (UE) nr 897/2014.</w:t>
      </w:r>
      <w:r w:rsidR="004B654C" w:rsidRPr="001268E7">
        <w:rPr>
          <w:kern w:val="28"/>
          <w:sz w:val="24"/>
          <w:szCs w:val="24"/>
        </w:rPr>
        <w:t xml:space="preserve"> </w:t>
      </w:r>
    </w:p>
    <w:p w:rsidR="004B654C" w:rsidRPr="001268E7" w:rsidRDefault="00186BC8" w:rsidP="00186BC8">
      <w:pPr>
        <w:autoSpaceDE w:val="0"/>
        <w:autoSpaceDN w:val="0"/>
        <w:adjustRightInd w:val="0"/>
        <w:spacing w:before="120" w:after="120" w:line="240" w:lineRule="auto"/>
        <w:jc w:val="both"/>
        <w:rPr>
          <w:kern w:val="28"/>
          <w:sz w:val="24"/>
          <w:szCs w:val="24"/>
        </w:rPr>
      </w:pPr>
      <w:r w:rsidRPr="001268E7">
        <w:rPr>
          <w:kern w:val="28"/>
          <w:sz w:val="24"/>
          <w:szCs w:val="24"/>
        </w:rPr>
        <w:t>Federacja Rosyjska przekazuje s</w:t>
      </w:r>
      <w:r w:rsidR="003C1497" w:rsidRPr="001268E7">
        <w:rPr>
          <w:kern w:val="28"/>
          <w:sz w:val="24"/>
          <w:szCs w:val="24"/>
        </w:rPr>
        <w:t xml:space="preserve">woje współfinansowanie </w:t>
      </w:r>
      <w:r w:rsidRPr="001268E7">
        <w:rPr>
          <w:kern w:val="28"/>
          <w:sz w:val="24"/>
          <w:szCs w:val="24"/>
        </w:rPr>
        <w:t>Programu agentowi finansowemu.</w:t>
      </w:r>
      <w:r w:rsidR="004B654C" w:rsidRPr="001268E7">
        <w:rPr>
          <w:kern w:val="28"/>
          <w:sz w:val="24"/>
          <w:szCs w:val="24"/>
        </w:rPr>
        <w:t xml:space="preserve"> </w:t>
      </w:r>
      <w:r w:rsidRPr="001268E7">
        <w:rPr>
          <w:kern w:val="28"/>
          <w:sz w:val="24"/>
          <w:szCs w:val="24"/>
        </w:rPr>
        <w:t>Na wnioski IZ, IK Federacji Rosyjskiej wystawi</w:t>
      </w:r>
      <w:r w:rsidR="005D1056" w:rsidRPr="001268E7">
        <w:rPr>
          <w:kern w:val="28"/>
          <w:sz w:val="24"/>
          <w:szCs w:val="24"/>
        </w:rPr>
        <w:t>a</w:t>
      </w:r>
      <w:r w:rsidRPr="001268E7">
        <w:rPr>
          <w:kern w:val="28"/>
          <w:sz w:val="24"/>
          <w:szCs w:val="24"/>
        </w:rPr>
        <w:t xml:space="preserve"> agentowi finansowemu zlecenie dotyczące przekazania pieniędzy na specjalne konto IZ.</w:t>
      </w:r>
      <w:r w:rsidR="004B654C" w:rsidRPr="001268E7">
        <w:rPr>
          <w:kern w:val="28"/>
          <w:sz w:val="24"/>
          <w:szCs w:val="24"/>
        </w:rPr>
        <w:t xml:space="preserve"> </w:t>
      </w:r>
      <w:r w:rsidRPr="001268E7">
        <w:rPr>
          <w:kern w:val="28"/>
          <w:sz w:val="24"/>
          <w:szCs w:val="24"/>
        </w:rPr>
        <w:t>Zarówno współfinansowanie Federacji Rosyjskiej, jak i Unii Europejskiej jest przeznaczone na sfinansowanie projektów na terytorium Federacji R</w:t>
      </w:r>
      <w:r w:rsidR="005D1056" w:rsidRPr="001268E7">
        <w:rPr>
          <w:kern w:val="28"/>
          <w:sz w:val="24"/>
          <w:szCs w:val="24"/>
        </w:rPr>
        <w:t>osyjskiej, zgodnie z warunkami Umowy F</w:t>
      </w:r>
      <w:r w:rsidRPr="001268E7">
        <w:rPr>
          <w:kern w:val="28"/>
          <w:sz w:val="24"/>
          <w:szCs w:val="24"/>
        </w:rPr>
        <w:t>inansującej.</w:t>
      </w:r>
      <w:r w:rsidR="004B654C" w:rsidRPr="001268E7">
        <w:rPr>
          <w:kern w:val="28"/>
          <w:sz w:val="24"/>
          <w:szCs w:val="24"/>
        </w:rPr>
        <w:t xml:space="preserve"> </w:t>
      </w:r>
      <w:r w:rsidRPr="001268E7">
        <w:rPr>
          <w:kern w:val="28"/>
          <w:sz w:val="24"/>
          <w:szCs w:val="24"/>
        </w:rPr>
        <w:t>Współfinansowanie Unii Eu</w:t>
      </w:r>
      <w:r w:rsidR="00D30524" w:rsidRPr="001268E7">
        <w:rPr>
          <w:kern w:val="28"/>
          <w:sz w:val="24"/>
          <w:szCs w:val="24"/>
        </w:rPr>
        <w:t>ropejskiej zostanie wykorzystane</w:t>
      </w:r>
      <w:r w:rsidRPr="001268E7">
        <w:rPr>
          <w:kern w:val="28"/>
          <w:sz w:val="24"/>
          <w:szCs w:val="24"/>
        </w:rPr>
        <w:t xml:space="preserve"> na sfinansowanie działań w ramach projektów na terytorium Rzeczpospolitej Polskiej.</w:t>
      </w:r>
      <w:r w:rsidR="00650AC0" w:rsidRPr="001268E7">
        <w:rPr>
          <w:kern w:val="28"/>
          <w:sz w:val="24"/>
          <w:szCs w:val="24"/>
        </w:rPr>
        <w:t xml:space="preserve"> </w:t>
      </w:r>
      <w:r w:rsidR="00052EFA">
        <w:rPr>
          <w:kern w:val="28"/>
          <w:sz w:val="24"/>
          <w:szCs w:val="24"/>
        </w:rPr>
        <w:t>Każdego roku Instytucja Zarządzająca przedkłada rosyjskiej IK wniosek o płatność w oparciu o tabelę</w:t>
      </w:r>
      <w:r w:rsidR="001046AF">
        <w:rPr>
          <w:kern w:val="28"/>
          <w:sz w:val="24"/>
          <w:szCs w:val="24"/>
        </w:rPr>
        <w:t xml:space="preserve"> </w:t>
      </w:r>
      <w:r w:rsidR="001046AF" w:rsidRPr="001046AF">
        <w:rPr>
          <w:i/>
          <w:kern w:val="28"/>
          <w:sz w:val="24"/>
          <w:szCs w:val="24"/>
        </w:rPr>
        <w:t>Roczne zobowiązania Federacji Rosyjskiej do programu.</w:t>
      </w:r>
    </w:p>
    <w:p w:rsidR="004B654C" w:rsidRPr="001268E7" w:rsidRDefault="00186BC8" w:rsidP="00186BC8">
      <w:pPr>
        <w:pStyle w:val="Default"/>
        <w:keepLines/>
        <w:widowControl w:val="0"/>
        <w:spacing w:before="120" w:after="120"/>
        <w:jc w:val="both"/>
        <w:rPr>
          <w:rFonts w:cs="Times New Roman"/>
          <w:color w:val="auto"/>
          <w:kern w:val="28"/>
        </w:rPr>
      </w:pPr>
      <w:r w:rsidRPr="001268E7">
        <w:rPr>
          <w:lang w:eastAsia="pl-PL"/>
        </w:rPr>
        <w:t>I</w:t>
      </w:r>
      <w:r w:rsidR="003C2717" w:rsidRPr="001268E7">
        <w:rPr>
          <w:lang w:eastAsia="pl-PL"/>
        </w:rPr>
        <w:t>Z realizuje płatności na rzecz Beneficjenta W</w:t>
      </w:r>
      <w:r w:rsidRPr="001268E7">
        <w:rPr>
          <w:lang w:eastAsia="pl-PL"/>
        </w:rPr>
        <w:t>iodącego na podstawie podpisanej umowy.</w:t>
      </w:r>
      <w:r w:rsidR="004B654C" w:rsidRPr="001268E7">
        <w:rPr>
          <w:rFonts w:cs="Times New Roman"/>
          <w:color w:val="auto"/>
          <w:kern w:val="28"/>
        </w:rPr>
        <w:t xml:space="preserve"> </w:t>
      </w:r>
      <w:r w:rsidRPr="001268E7">
        <w:rPr>
          <w:rFonts w:cs="Times New Roman"/>
          <w:color w:val="auto"/>
          <w:kern w:val="28"/>
        </w:rPr>
        <w:t xml:space="preserve">Beneficjenci </w:t>
      </w:r>
      <w:r w:rsidR="005D1056" w:rsidRPr="001268E7">
        <w:rPr>
          <w:lang w:eastAsia="pl-PL"/>
        </w:rPr>
        <w:t xml:space="preserve">projektu </w:t>
      </w:r>
      <w:r w:rsidRPr="001268E7">
        <w:rPr>
          <w:lang w:eastAsia="pl-PL"/>
        </w:rPr>
        <w:t>zobowiązani będą zapewnić współfinansowanie w wysokości co najmniej 10% całkowitych kwalifikowalnych kosztów projektu.</w:t>
      </w:r>
    </w:p>
    <w:p w:rsidR="004B654C" w:rsidRPr="001268E7" w:rsidRDefault="005D1056" w:rsidP="00186BC8">
      <w:pPr>
        <w:autoSpaceDE w:val="0"/>
        <w:autoSpaceDN w:val="0"/>
        <w:adjustRightInd w:val="0"/>
        <w:spacing w:before="120" w:after="120" w:line="240" w:lineRule="auto"/>
        <w:jc w:val="both"/>
        <w:rPr>
          <w:rFonts w:cs="Times-Roman"/>
          <w:sz w:val="24"/>
          <w:szCs w:val="24"/>
        </w:rPr>
      </w:pPr>
      <w:r w:rsidRPr="001268E7">
        <w:rPr>
          <w:rFonts w:cs="Calibri"/>
          <w:sz w:val="24"/>
          <w:szCs w:val="24"/>
          <w:lang w:eastAsia="pl-PL"/>
        </w:rPr>
        <w:t>Beneficjenci W</w:t>
      </w:r>
      <w:r w:rsidR="00186BC8" w:rsidRPr="001268E7">
        <w:rPr>
          <w:rFonts w:cs="Calibri"/>
          <w:sz w:val="24"/>
          <w:szCs w:val="24"/>
          <w:lang w:eastAsia="pl-PL"/>
        </w:rPr>
        <w:t>iodący przygotowują raporty z postępu składające się z części finansowej i operacyjnej oraz wnioski o płatność w odniesieniu do całego projektu.</w:t>
      </w:r>
      <w:r w:rsidR="004B654C" w:rsidRPr="001268E7">
        <w:rPr>
          <w:rFonts w:cs="Times-Roman"/>
          <w:sz w:val="24"/>
          <w:szCs w:val="24"/>
        </w:rPr>
        <w:t xml:space="preserve"> </w:t>
      </w:r>
      <w:r w:rsidR="00186BC8" w:rsidRPr="001268E7">
        <w:rPr>
          <w:rFonts w:cs="Calibri"/>
          <w:sz w:val="24"/>
          <w:szCs w:val="24"/>
          <w:lang w:eastAsia="pl-PL"/>
        </w:rPr>
        <w:t>Sprawozdania finansowe z</w:t>
      </w:r>
      <w:r w:rsidRPr="001268E7">
        <w:rPr>
          <w:rFonts w:cs="Calibri"/>
          <w:sz w:val="24"/>
          <w:szCs w:val="24"/>
          <w:lang w:eastAsia="pl-PL"/>
        </w:rPr>
        <w:t>awierają poświadczone wykazy</w:t>
      </w:r>
      <w:r w:rsidR="00186BC8" w:rsidRPr="001268E7">
        <w:rPr>
          <w:rFonts w:cs="Calibri"/>
          <w:sz w:val="24"/>
          <w:szCs w:val="24"/>
          <w:lang w:eastAsia="pl-PL"/>
        </w:rPr>
        <w:t xml:space="preserve"> wydatków wszystkich partnerów.</w:t>
      </w:r>
      <w:r w:rsidR="004B654C" w:rsidRPr="001268E7">
        <w:rPr>
          <w:rFonts w:cs="Times-Roman"/>
          <w:sz w:val="24"/>
          <w:szCs w:val="24"/>
        </w:rPr>
        <w:t xml:space="preserve"> </w:t>
      </w:r>
      <w:r w:rsidR="00186BC8" w:rsidRPr="001268E7">
        <w:rPr>
          <w:rFonts w:cs="Calibri"/>
          <w:sz w:val="24"/>
          <w:szCs w:val="24"/>
          <w:lang w:eastAsia="pl-PL"/>
        </w:rPr>
        <w:t>Beneficjenci</w:t>
      </w:r>
      <w:r w:rsidRPr="001268E7">
        <w:rPr>
          <w:rFonts w:cs="Calibri"/>
          <w:sz w:val="24"/>
          <w:szCs w:val="24"/>
          <w:lang w:eastAsia="pl-PL"/>
        </w:rPr>
        <w:t xml:space="preserve"> W</w:t>
      </w:r>
      <w:r w:rsidR="00186BC8" w:rsidRPr="001268E7">
        <w:rPr>
          <w:rFonts w:cs="Calibri"/>
          <w:sz w:val="24"/>
          <w:szCs w:val="24"/>
          <w:lang w:eastAsia="pl-PL"/>
        </w:rPr>
        <w:t>iodący mogą wnioskować o dodatkowe płatności zaliczkowe oraz o dokonanie ostatecznej płatności na warunkach wskazanych w umowie.</w:t>
      </w:r>
      <w:r w:rsidR="004B654C" w:rsidRPr="001268E7">
        <w:rPr>
          <w:rFonts w:cs="Times-Roman"/>
          <w:sz w:val="24"/>
          <w:szCs w:val="24"/>
        </w:rPr>
        <w:t xml:space="preserve"> </w:t>
      </w:r>
      <w:r w:rsidR="00186BC8" w:rsidRPr="001268E7">
        <w:rPr>
          <w:rFonts w:cs="Calibri"/>
          <w:sz w:val="24"/>
          <w:szCs w:val="24"/>
          <w:lang w:eastAsia="pl-PL"/>
        </w:rPr>
        <w:t>Raporty z postępu oraz wnioski o płatność przekazywane są do WST.</w:t>
      </w:r>
      <w:r w:rsidR="004B654C" w:rsidRPr="001268E7">
        <w:rPr>
          <w:rFonts w:cs="Times-Roman"/>
          <w:sz w:val="24"/>
          <w:szCs w:val="24"/>
        </w:rPr>
        <w:t xml:space="preserve"> </w:t>
      </w:r>
      <w:r w:rsidR="00186BC8" w:rsidRPr="001268E7">
        <w:rPr>
          <w:rFonts w:cs="Times-Roman"/>
          <w:sz w:val="24"/>
          <w:szCs w:val="24"/>
        </w:rPr>
        <w:t xml:space="preserve">Postanowienia </w:t>
      </w:r>
      <w:r w:rsidR="00186BC8" w:rsidRPr="001268E7">
        <w:rPr>
          <w:rFonts w:cs="Calibri"/>
          <w:sz w:val="24"/>
          <w:szCs w:val="24"/>
          <w:lang w:eastAsia="pl-PL"/>
        </w:rPr>
        <w:t>dotyczące szczegółowego procesu weryfikacji zawarte zostaną w treści Wytycznych weryfikacji wydatków, opracowanych przez IZ/WST w ścisłej współpracy z KPK.</w:t>
      </w:r>
      <w:r w:rsidR="00650AC0" w:rsidRPr="001268E7">
        <w:rPr>
          <w:rFonts w:cs="Times-Roman"/>
          <w:sz w:val="24"/>
          <w:szCs w:val="24"/>
        </w:rPr>
        <w:t xml:space="preserve"> </w:t>
      </w:r>
      <w:r w:rsidR="00186BC8" w:rsidRPr="001268E7">
        <w:rPr>
          <w:rFonts w:cs="Times-Roman"/>
          <w:sz w:val="24"/>
          <w:szCs w:val="24"/>
        </w:rPr>
        <w:t>Wytyczne powinny zostać przyjęte przez WKM.</w:t>
      </w:r>
    </w:p>
    <w:p w:rsidR="004B654C" w:rsidRPr="001268E7" w:rsidRDefault="005D1056" w:rsidP="00186BC8">
      <w:pPr>
        <w:autoSpaceDE w:val="0"/>
        <w:autoSpaceDN w:val="0"/>
        <w:adjustRightInd w:val="0"/>
        <w:spacing w:before="120" w:after="120" w:line="240" w:lineRule="auto"/>
        <w:jc w:val="both"/>
        <w:rPr>
          <w:rFonts w:cs="Times-Roman"/>
          <w:sz w:val="24"/>
          <w:szCs w:val="24"/>
        </w:rPr>
      </w:pPr>
      <w:r w:rsidRPr="001268E7">
        <w:rPr>
          <w:rFonts w:cs="Calibri"/>
          <w:sz w:val="24"/>
          <w:szCs w:val="24"/>
          <w:lang w:eastAsia="pl-PL"/>
        </w:rPr>
        <w:t>IZ dokonuje płatności na rzecz Beneficjenta W</w:t>
      </w:r>
      <w:r w:rsidR="00186BC8" w:rsidRPr="001268E7">
        <w:rPr>
          <w:rFonts w:cs="Calibri"/>
          <w:sz w:val="24"/>
          <w:szCs w:val="24"/>
          <w:lang w:eastAsia="pl-PL"/>
        </w:rPr>
        <w:t>iodącego w euro, zgodnie z postanowieniami umowy o dofinansowanie.</w:t>
      </w:r>
      <w:r w:rsidR="004B654C" w:rsidRPr="001268E7">
        <w:rPr>
          <w:rFonts w:cs="Times-Roman"/>
          <w:sz w:val="24"/>
          <w:szCs w:val="24"/>
        </w:rPr>
        <w:t xml:space="preserve"> </w:t>
      </w:r>
      <w:r w:rsidR="00186BC8" w:rsidRPr="001268E7">
        <w:rPr>
          <w:rFonts w:cs="Calibri"/>
          <w:sz w:val="24"/>
          <w:szCs w:val="24"/>
          <w:lang w:eastAsia="pl-PL"/>
        </w:rPr>
        <w:t>Wydatki poniesione w walucie innej niż euro powinny być przeliczane na euro z wykorzystaniem stosowanego przez Komisję miesięcznego kursu księgowego wymiany z miesiąca, w którym wydatki te zostały poniesione.</w:t>
      </w:r>
    </w:p>
    <w:p w:rsidR="00002973" w:rsidRDefault="00002973" w:rsidP="00186BC8">
      <w:pPr>
        <w:autoSpaceDE w:val="0"/>
        <w:autoSpaceDN w:val="0"/>
        <w:adjustRightInd w:val="0"/>
        <w:spacing w:before="100" w:beforeAutospacing="1" w:after="100" w:afterAutospacing="1" w:line="240" w:lineRule="auto"/>
        <w:jc w:val="both"/>
        <w:rPr>
          <w:rFonts w:cs="Calibri"/>
          <w:b/>
          <w:i/>
          <w:sz w:val="24"/>
          <w:szCs w:val="24"/>
          <w:u w:val="single"/>
        </w:rPr>
      </w:pPr>
    </w:p>
    <w:p w:rsidR="00002973" w:rsidRDefault="00002973" w:rsidP="00186BC8">
      <w:pPr>
        <w:autoSpaceDE w:val="0"/>
        <w:autoSpaceDN w:val="0"/>
        <w:adjustRightInd w:val="0"/>
        <w:spacing w:before="100" w:beforeAutospacing="1" w:after="100" w:afterAutospacing="1" w:line="240" w:lineRule="auto"/>
        <w:jc w:val="both"/>
        <w:rPr>
          <w:rFonts w:cs="Calibri"/>
          <w:b/>
          <w:i/>
          <w:sz w:val="24"/>
          <w:szCs w:val="24"/>
          <w:u w:val="single"/>
        </w:rPr>
      </w:pPr>
    </w:p>
    <w:p w:rsidR="00002973" w:rsidRDefault="00002973" w:rsidP="00186BC8">
      <w:pPr>
        <w:autoSpaceDE w:val="0"/>
        <w:autoSpaceDN w:val="0"/>
        <w:adjustRightInd w:val="0"/>
        <w:spacing w:before="100" w:beforeAutospacing="1" w:after="100" w:afterAutospacing="1" w:line="240" w:lineRule="auto"/>
        <w:jc w:val="both"/>
        <w:rPr>
          <w:rFonts w:cs="Calibri"/>
          <w:b/>
          <w:i/>
          <w:sz w:val="24"/>
          <w:szCs w:val="24"/>
          <w:u w:val="single"/>
        </w:rPr>
      </w:pPr>
    </w:p>
    <w:p w:rsidR="00002973" w:rsidRDefault="00002973" w:rsidP="00186BC8">
      <w:pPr>
        <w:autoSpaceDE w:val="0"/>
        <w:autoSpaceDN w:val="0"/>
        <w:adjustRightInd w:val="0"/>
        <w:spacing w:before="100" w:beforeAutospacing="1" w:after="100" w:afterAutospacing="1" w:line="240" w:lineRule="auto"/>
        <w:jc w:val="both"/>
        <w:rPr>
          <w:rFonts w:cs="Calibri"/>
          <w:b/>
          <w:i/>
          <w:sz w:val="24"/>
          <w:szCs w:val="24"/>
          <w:u w:val="single"/>
        </w:rPr>
      </w:pPr>
    </w:p>
    <w:p w:rsidR="00CC49DE" w:rsidRDefault="00CC49DE" w:rsidP="00186BC8">
      <w:pPr>
        <w:autoSpaceDE w:val="0"/>
        <w:autoSpaceDN w:val="0"/>
        <w:adjustRightInd w:val="0"/>
        <w:spacing w:before="100" w:beforeAutospacing="1" w:after="100" w:afterAutospacing="1" w:line="240" w:lineRule="auto"/>
        <w:jc w:val="both"/>
        <w:rPr>
          <w:rFonts w:cs="Calibri"/>
          <w:b/>
          <w:i/>
          <w:sz w:val="24"/>
          <w:szCs w:val="24"/>
          <w:u w:val="single"/>
        </w:rPr>
      </w:pPr>
    </w:p>
    <w:p w:rsidR="00CC49DE" w:rsidRDefault="00CC49DE" w:rsidP="00186BC8">
      <w:pPr>
        <w:autoSpaceDE w:val="0"/>
        <w:autoSpaceDN w:val="0"/>
        <w:adjustRightInd w:val="0"/>
        <w:spacing w:before="100" w:beforeAutospacing="1" w:after="100" w:afterAutospacing="1" w:line="240" w:lineRule="auto"/>
        <w:jc w:val="both"/>
        <w:rPr>
          <w:rFonts w:cs="Calibri"/>
          <w:b/>
          <w:i/>
          <w:sz w:val="24"/>
          <w:szCs w:val="24"/>
          <w:u w:val="single"/>
        </w:rPr>
      </w:pPr>
    </w:p>
    <w:p w:rsidR="004B654C" w:rsidRPr="001268E7" w:rsidRDefault="00186BC8" w:rsidP="00186BC8">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lastRenderedPageBreak/>
        <w:t>Kontrole i audyty</w:t>
      </w:r>
    </w:p>
    <w:p w:rsidR="004B654C" w:rsidRPr="001268E7" w:rsidRDefault="00186BC8" w:rsidP="00186BC8">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W trakcie realizacji Programu przeprowadzane będą następujące czynności w obszarze kontroli i audytu:</w:t>
      </w:r>
    </w:p>
    <w:tbl>
      <w:tblPr>
        <w:tblW w:w="90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9"/>
        <w:gridCol w:w="4606"/>
      </w:tblGrid>
      <w:tr w:rsidR="004B654C" w:rsidRPr="001268E7" w:rsidTr="00186BC8">
        <w:tc>
          <w:tcPr>
            <w:tcW w:w="4469" w:type="dxa"/>
            <w:shd w:val="clear" w:color="auto" w:fill="BFBFBF" w:themeFill="background1" w:themeFillShade="BF"/>
          </w:tcPr>
          <w:p w:rsidR="004B654C" w:rsidRPr="001268E7" w:rsidRDefault="00186BC8" w:rsidP="007A38B0">
            <w:pPr>
              <w:autoSpaceDE w:val="0"/>
              <w:autoSpaceDN w:val="0"/>
              <w:adjustRightInd w:val="0"/>
              <w:spacing w:before="100" w:beforeAutospacing="1" w:after="100" w:afterAutospacing="1" w:line="240" w:lineRule="auto"/>
              <w:jc w:val="center"/>
              <w:rPr>
                <w:rFonts w:cs="Calibri"/>
                <w:b/>
                <w:sz w:val="24"/>
                <w:szCs w:val="24"/>
              </w:rPr>
            </w:pPr>
            <w:r w:rsidRPr="001268E7">
              <w:rPr>
                <w:rFonts w:cs="Times-Roman"/>
                <w:b/>
                <w:sz w:val="24"/>
                <w:szCs w:val="24"/>
              </w:rPr>
              <w:t>RODZAJ KONTROLI / AUDYTU:</w:t>
            </w:r>
          </w:p>
        </w:tc>
        <w:tc>
          <w:tcPr>
            <w:tcW w:w="4606" w:type="dxa"/>
            <w:shd w:val="clear" w:color="auto" w:fill="BFBFBF" w:themeFill="background1" w:themeFillShade="BF"/>
          </w:tcPr>
          <w:p w:rsidR="004B654C" w:rsidRPr="001268E7" w:rsidRDefault="00186BC8" w:rsidP="007A38B0">
            <w:pPr>
              <w:autoSpaceDE w:val="0"/>
              <w:autoSpaceDN w:val="0"/>
              <w:adjustRightInd w:val="0"/>
              <w:spacing w:before="100" w:beforeAutospacing="1" w:after="100" w:afterAutospacing="1" w:line="240" w:lineRule="auto"/>
              <w:jc w:val="center"/>
              <w:rPr>
                <w:rFonts w:cs="Calibri"/>
                <w:b/>
                <w:sz w:val="24"/>
                <w:szCs w:val="24"/>
              </w:rPr>
            </w:pPr>
            <w:r w:rsidRPr="001268E7">
              <w:rPr>
                <w:rFonts w:cs="Times-Roman"/>
                <w:b/>
                <w:sz w:val="24"/>
                <w:szCs w:val="24"/>
              </w:rPr>
              <w:t>ORGANY PRZEPROWADZAJĄCE KONTROLĘ / AUDYT:</w:t>
            </w:r>
          </w:p>
        </w:tc>
      </w:tr>
      <w:tr w:rsidR="004B654C" w:rsidRPr="001268E7" w:rsidTr="00186BC8">
        <w:tc>
          <w:tcPr>
            <w:tcW w:w="4469"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lang w:eastAsia="pl-PL"/>
              </w:rPr>
              <w:t>Weryfikacja wydatków projektu</w:t>
            </w:r>
          </w:p>
        </w:tc>
        <w:tc>
          <w:tcPr>
            <w:tcW w:w="4606"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rPr>
              <w:t xml:space="preserve">Niezależni audytorzy działający w zgodzie z treścią wymogów dotyczących weryfikacji wydatków </w:t>
            </w:r>
            <w:r w:rsidRPr="001268E7">
              <w:rPr>
                <w:rFonts w:cs="Calibri"/>
                <w:sz w:val="20"/>
                <w:szCs w:val="20"/>
                <w:lang w:eastAsia="pl-PL"/>
              </w:rPr>
              <w:t>w ramach umowy o dofinansowanie oraz z</w:t>
            </w:r>
            <w:r w:rsidR="005D1056" w:rsidRPr="001268E7">
              <w:rPr>
                <w:rFonts w:cs="Calibri"/>
                <w:sz w:val="20"/>
                <w:szCs w:val="20"/>
                <w:lang w:eastAsia="pl-PL"/>
              </w:rPr>
              <w:t>godnie z</w:t>
            </w:r>
            <w:r w:rsidRPr="001268E7">
              <w:rPr>
                <w:rFonts w:cs="Calibri"/>
                <w:sz w:val="20"/>
                <w:szCs w:val="20"/>
                <w:lang w:eastAsia="pl-PL"/>
              </w:rPr>
              <w:t xml:space="preserve"> procedurami Programu dotyczącymi kontroli.</w:t>
            </w:r>
          </w:p>
        </w:tc>
      </w:tr>
      <w:tr w:rsidR="004B654C" w:rsidRPr="001268E7" w:rsidTr="00186BC8">
        <w:tc>
          <w:tcPr>
            <w:tcW w:w="4469"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lang w:eastAsia="pl-PL"/>
              </w:rPr>
              <w:t>Administracyjna weryfikacja wniosków o płatność beneficjentów łąc</w:t>
            </w:r>
            <w:r w:rsidR="005D1056" w:rsidRPr="001268E7">
              <w:rPr>
                <w:rFonts w:cs="Calibri"/>
                <w:sz w:val="20"/>
                <w:szCs w:val="20"/>
                <w:lang w:eastAsia="pl-PL"/>
              </w:rPr>
              <w:t>znie z poświadczonymi wykazami</w:t>
            </w:r>
            <w:r w:rsidRPr="001268E7">
              <w:rPr>
                <w:rFonts w:cs="Calibri"/>
                <w:sz w:val="20"/>
                <w:szCs w:val="20"/>
                <w:lang w:eastAsia="pl-PL"/>
              </w:rPr>
              <w:t xml:space="preserve"> wydatków </w:t>
            </w:r>
            <w:r w:rsidR="009D703A" w:rsidRPr="001268E7">
              <w:rPr>
                <w:rFonts w:cs="Calibri"/>
                <w:sz w:val="20"/>
                <w:szCs w:val="20"/>
                <w:lang w:eastAsia="pl-PL"/>
              </w:rPr>
              <w:t>i raportami z postępów w realizacji projektów</w:t>
            </w:r>
            <w:r w:rsidRPr="001268E7">
              <w:rPr>
                <w:rFonts w:cs="Calibri"/>
                <w:sz w:val="20"/>
                <w:szCs w:val="20"/>
                <w:lang w:eastAsia="pl-PL"/>
              </w:rPr>
              <w:t>.</w:t>
            </w:r>
            <w:r w:rsidR="004B654C" w:rsidRPr="001268E7">
              <w:rPr>
                <w:rFonts w:cs="Calibri"/>
                <w:sz w:val="20"/>
                <w:szCs w:val="20"/>
              </w:rPr>
              <w:t xml:space="preserve"> </w:t>
            </w:r>
            <w:r w:rsidRPr="001268E7">
              <w:rPr>
                <w:rFonts w:cs="Calibri"/>
                <w:sz w:val="20"/>
                <w:szCs w:val="20"/>
                <w:lang w:eastAsia="pl-PL"/>
              </w:rPr>
              <w:t>Weryfikacja ta może obejmować także kontrole na miejscu realizacji projektu.</w:t>
            </w:r>
            <w:r w:rsidR="004B654C" w:rsidRPr="001268E7">
              <w:rPr>
                <w:rFonts w:cs="Calibri"/>
                <w:sz w:val="20"/>
                <w:szCs w:val="20"/>
              </w:rPr>
              <w:t xml:space="preserve"> </w:t>
            </w:r>
            <w:r w:rsidRPr="001268E7">
              <w:rPr>
                <w:rFonts w:cs="Calibri"/>
                <w:sz w:val="20"/>
                <w:szCs w:val="20"/>
                <w:lang w:eastAsia="pl-PL"/>
              </w:rPr>
              <w:t>Częstotliwość i zakres kontroli przeprowadzanych na miejscu są proporcjonalne do kwoty dofinansowania dla projektu oraz do poziomu ryzyka stwierdzonego w toku takich kontroli i audytów przeprowadzanych przez IA w odniesieniu do całego systemu zarządzania i kontroli.</w:t>
            </w:r>
            <w:r w:rsidR="004B654C" w:rsidRPr="001268E7">
              <w:rPr>
                <w:rFonts w:cs="Calibri"/>
                <w:sz w:val="20"/>
                <w:szCs w:val="20"/>
              </w:rPr>
              <w:t xml:space="preserve"> </w:t>
            </w:r>
            <w:r w:rsidRPr="001268E7">
              <w:rPr>
                <w:rFonts w:cs="Calibri"/>
                <w:sz w:val="20"/>
                <w:szCs w:val="20"/>
              </w:rPr>
              <w:t xml:space="preserve">Kontrole </w:t>
            </w:r>
            <w:r w:rsidRPr="001268E7">
              <w:rPr>
                <w:rFonts w:cs="Calibri"/>
                <w:sz w:val="20"/>
                <w:szCs w:val="20"/>
                <w:lang w:eastAsia="pl-PL"/>
              </w:rPr>
              <w:t>projektów na miejscu mogą być przeprowadzane na bazie próby.</w:t>
            </w:r>
          </w:p>
        </w:tc>
        <w:tc>
          <w:tcPr>
            <w:tcW w:w="4606"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rPr>
              <w:t>IP/IZ.</w:t>
            </w:r>
            <w:r w:rsidR="004B654C" w:rsidRPr="001268E7">
              <w:rPr>
                <w:rFonts w:cs="Calibri"/>
                <w:sz w:val="20"/>
                <w:szCs w:val="20"/>
              </w:rPr>
              <w:t xml:space="preserve"> </w:t>
            </w:r>
            <w:r w:rsidRPr="001268E7">
              <w:rPr>
                <w:rFonts w:cs="Calibri"/>
                <w:sz w:val="20"/>
                <w:szCs w:val="20"/>
                <w:lang w:eastAsia="pl-PL"/>
              </w:rPr>
              <w:t>W celu przeprowadzania czynności</w:t>
            </w:r>
            <w:r w:rsidRPr="001268E7">
              <w:rPr>
                <w:rFonts w:cs="Calibri"/>
                <w:sz w:val="20"/>
                <w:szCs w:val="20"/>
              </w:rPr>
              <w:t xml:space="preserve"> </w:t>
            </w:r>
            <w:r w:rsidRPr="001268E7">
              <w:rPr>
                <w:rFonts w:cs="Calibri"/>
                <w:sz w:val="20"/>
                <w:szCs w:val="20"/>
                <w:lang w:eastAsia="pl-PL"/>
              </w:rPr>
              <w:t xml:space="preserve">kontrolnych na całym obszarze wsparcia Programu, KPK mogą udzielać wsparcia </w:t>
            </w:r>
            <w:r w:rsidR="009D703A" w:rsidRPr="001268E7">
              <w:rPr>
                <w:rFonts w:cs="Calibri"/>
                <w:sz w:val="20"/>
                <w:szCs w:val="20"/>
                <w:lang w:eastAsia="pl-PL"/>
              </w:rPr>
              <w:t>IZ</w:t>
            </w:r>
            <w:r w:rsidRPr="001268E7">
              <w:rPr>
                <w:rFonts w:cs="Calibri"/>
                <w:sz w:val="20"/>
                <w:szCs w:val="20"/>
                <w:lang w:eastAsia="pl-PL"/>
              </w:rPr>
              <w:t>.</w:t>
            </w:r>
          </w:p>
        </w:tc>
      </w:tr>
      <w:tr w:rsidR="004B654C" w:rsidRPr="001268E7" w:rsidTr="00186BC8">
        <w:tc>
          <w:tcPr>
            <w:tcW w:w="4469"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lang w:eastAsia="pl-PL"/>
              </w:rPr>
              <w:t>Audyt projektów - przeprowadzanie audytu próby projektów finansowanych w ramach Programu.</w:t>
            </w:r>
          </w:p>
        </w:tc>
        <w:tc>
          <w:tcPr>
            <w:tcW w:w="4606"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rPr>
              <w:t>IA i przedstawiciele GA</w:t>
            </w:r>
          </w:p>
        </w:tc>
      </w:tr>
      <w:tr w:rsidR="004B654C" w:rsidRPr="001268E7" w:rsidTr="00186BC8">
        <w:tc>
          <w:tcPr>
            <w:tcW w:w="4469"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lang w:eastAsia="pl-PL"/>
              </w:rPr>
              <w:t>Audyt systemu zarządzania i kontroli oraz rocznych sprawozdań finansowych Programu - poświadczenie zestawienia przychodów i wydatków przedstawionego przez IZ w rocznym sprawozdaniu finansowym, w szczególności zaś po</w:t>
            </w:r>
            <w:r w:rsidR="009D703A" w:rsidRPr="001268E7">
              <w:rPr>
                <w:rFonts w:cs="Calibri"/>
                <w:sz w:val="20"/>
                <w:szCs w:val="20"/>
                <w:lang w:eastAsia="pl-PL"/>
              </w:rPr>
              <w:t>twierdzenie tego</w:t>
            </w:r>
            <w:r w:rsidRPr="001268E7">
              <w:rPr>
                <w:rFonts w:cs="Calibri"/>
                <w:sz w:val="20"/>
                <w:szCs w:val="20"/>
                <w:lang w:eastAsia="pl-PL"/>
              </w:rPr>
              <w:t xml:space="preserve"> czy zadeklarowane wydatki w ramach PT zostały faktycznie poniesione i czy są one wydatkami rzetelnie ujętymi i kwalifikowalnymi.</w:t>
            </w:r>
          </w:p>
        </w:tc>
        <w:tc>
          <w:tcPr>
            <w:tcW w:w="4606" w:type="dxa"/>
            <w:shd w:val="clear" w:color="auto" w:fill="auto"/>
          </w:tcPr>
          <w:p w:rsidR="004B654C" w:rsidRPr="001268E7" w:rsidRDefault="00186BC8" w:rsidP="00186BC8">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lang w:eastAsia="pl-PL"/>
              </w:rPr>
              <w:t>IA, przedstawiciele GA lub zewnętrzna firma audytowa wybrana przez IA</w:t>
            </w:r>
          </w:p>
          <w:p w:rsidR="004B654C" w:rsidRPr="001268E7" w:rsidRDefault="004B654C" w:rsidP="00B87561">
            <w:pPr>
              <w:autoSpaceDE w:val="0"/>
              <w:autoSpaceDN w:val="0"/>
              <w:adjustRightInd w:val="0"/>
              <w:spacing w:before="100" w:beforeAutospacing="1" w:after="100" w:afterAutospacing="1" w:line="240" w:lineRule="auto"/>
              <w:jc w:val="both"/>
              <w:rPr>
                <w:rFonts w:cs="Calibri"/>
                <w:sz w:val="20"/>
                <w:szCs w:val="20"/>
              </w:rPr>
            </w:pPr>
          </w:p>
        </w:tc>
      </w:tr>
      <w:tr w:rsidR="004B654C" w:rsidRPr="001268E7" w:rsidTr="00186BC8">
        <w:tc>
          <w:tcPr>
            <w:tcW w:w="4469"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rPr>
              <w:t xml:space="preserve">Kontrole UE </w:t>
            </w:r>
            <w:r w:rsidRPr="001268E7">
              <w:rPr>
                <w:rFonts w:cs="Calibri"/>
                <w:sz w:val="20"/>
                <w:szCs w:val="20"/>
                <w:lang w:eastAsia="pl-PL"/>
              </w:rPr>
              <w:t>– weryfikacja wykorzystania funduszy unijnych przez IZ, beneficjentów, wykonawców, podwykonawców i strony trzecie otrzymujące wsparcie finansowe poprzez badanie dokumentów i/lub przeprowadzenie kontroli na miejscu.</w:t>
            </w:r>
          </w:p>
        </w:tc>
        <w:tc>
          <w:tcPr>
            <w:tcW w:w="4606"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lang w:eastAsia="pl-PL"/>
              </w:rPr>
              <w:t>Komisja Europejska, Europejski Urząd ds. Zwalczania Nadużyć Finansowych, Europejski Trybunał Obrachunkowy i każdy audytor zewnętrzny umocowany przez te instytucje i podmioty</w:t>
            </w:r>
          </w:p>
        </w:tc>
      </w:tr>
      <w:tr w:rsidR="004B654C" w:rsidRPr="001268E7" w:rsidTr="00186BC8">
        <w:tc>
          <w:tcPr>
            <w:tcW w:w="4469"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rPr>
              <w:t xml:space="preserve">Kontrole Federacji Rosyjskiej - weryfikacja </w:t>
            </w:r>
            <w:r w:rsidRPr="001268E7">
              <w:rPr>
                <w:rFonts w:cs="Calibri"/>
                <w:sz w:val="20"/>
                <w:szCs w:val="20"/>
                <w:lang w:eastAsia="pl-PL"/>
              </w:rPr>
              <w:t>wykorzystania funduszy Federacji Rosyjskiej przez beneficjentów, wykonawców, podwykonawców i strony trzecie otrzymujące wsparcie finansowe poprzez badanie dokumentów i/lub przeprowadzenie kontroli na miejscu na terytorium Federacji Rosyjskiej.</w:t>
            </w:r>
          </w:p>
        </w:tc>
        <w:tc>
          <w:tcPr>
            <w:tcW w:w="4606" w:type="dxa"/>
            <w:shd w:val="clear" w:color="auto" w:fill="auto"/>
          </w:tcPr>
          <w:p w:rsidR="004B654C" w:rsidRPr="001268E7" w:rsidRDefault="00186BC8" w:rsidP="007A38B0">
            <w:pPr>
              <w:autoSpaceDE w:val="0"/>
              <w:autoSpaceDN w:val="0"/>
              <w:adjustRightInd w:val="0"/>
              <w:spacing w:before="100" w:beforeAutospacing="1" w:after="100" w:afterAutospacing="1" w:line="240" w:lineRule="auto"/>
              <w:jc w:val="both"/>
              <w:rPr>
                <w:rFonts w:cs="Calibri"/>
                <w:sz w:val="20"/>
                <w:szCs w:val="20"/>
              </w:rPr>
            </w:pPr>
            <w:r w:rsidRPr="001268E7">
              <w:rPr>
                <w:rFonts w:cs="Calibri"/>
                <w:sz w:val="20"/>
                <w:szCs w:val="20"/>
              </w:rPr>
              <w:t>Ministerstwo Finansów Federacji Rosyjskiej (jako rosyjski członek GA) z pomocą firmy zewnętrznej wybranej w ramach procedur zamówienia publicznego.</w:t>
            </w:r>
          </w:p>
        </w:tc>
      </w:tr>
    </w:tbl>
    <w:p w:rsidR="00381C48" w:rsidRPr="00CF3877" w:rsidRDefault="001D23F6" w:rsidP="00F911B6">
      <w:pPr>
        <w:spacing w:after="0" w:line="240" w:lineRule="auto"/>
        <w:contextualSpacing/>
        <w:jc w:val="both"/>
        <w:rPr>
          <w:b/>
          <w:bCs/>
          <w:i/>
          <w:sz w:val="20"/>
        </w:rPr>
      </w:pPr>
      <w:r w:rsidRPr="00CF3877">
        <w:rPr>
          <w:b/>
          <w:bCs/>
          <w:i/>
          <w:sz w:val="20"/>
        </w:rPr>
        <w:t>Tabela 8. Kontrole i audyt w Programie</w:t>
      </w:r>
    </w:p>
    <w:p w:rsidR="00F911B6" w:rsidRPr="00CF3877" w:rsidRDefault="00F911B6" w:rsidP="00F911B6">
      <w:pPr>
        <w:spacing w:after="0" w:line="240" w:lineRule="auto"/>
        <w:contextualSpacing/>
        <w:jc w:val="both"/>
        <w:rPr>
          <w:b/>
          <w:bCs/>
          <w:smallCaps/>
          <w:sz w:val="20"/>
        </w:rPr>
      </w:pPr>
    </w:p>
    <w:p w:rsidR="004B654C" w:rsidRPr="001046AF" w:rsidRDefault="00186BC8" w:rsidP="00071BF3">
      <w:pPr>
        <w:autoSpaceDE w:val="0"/>
        <w:autoSpaceDN w:val="0"/>
        <w:adjustRightInd w:val="0"/>
        <w:spacing w:before="100" w:beforeAutospacing="1" w:after="100" w:afterAutospacing="1" w:line="240" w:lineRule="auto"/>
        <w:jc w:val="both"/>
        <w:rPr>
          <w:rStyle w:val="Wyrnieniedelikatne"/>
        </w:rPr>
      </w:pPr>
      <w:r w:rsidRPr="001046AF">
        <w:rPr>
          <w:rStyle w:val="Wyrnieniedelikatne"/>
        </w:rPr>
        <w:t>Weryfikacja wydatków projektowych</w:t>
      </w:r>
    </w:p>
    <w:p w:rsidR="004B654C" w:rsidRPr="001268E7" w:rsidRDefault="00186BC8" w:rsidP="00186BC8">
      <w:pPr>
        <w:autoSpaceDE w:val="0"/>
        <w:autoSpaceDN w:val="0"/>
        <w:adjustRightInd w:val="0"/>
        <w:spacing w:before="120" w:after="120" w:line="240" w:lineRule="auto"/>
        <w:jc w:val="both"/>
        <w:rPr>
          <w:rFonts w:cs="Times-Roman"/>
          <w:sz w:val="24"/>
          <w:szCs w:val="24"/>
        </w:rPr>
      </w:pPr>
      <w:r w:rsidRPr="001268E7">
        <w:rPr>
          <w:rFonts w:cs="Calibri"/>
          <w:sz w:val="24"/>
          <w:szCs w:val="24"/>
          <w:lang w:eastAsia="pl-PL"/>
        </w:rPr>
        <w:t>Weryfikacja wydatków realizowana będzie zgodnie z wymaganiami umowy o dofinansowanie i obejmowała będzie wszystkie projekty, niezależnie od kwoty udzielonego dofinansowania.</w:t>
      </w:r>
      <w:r w:rsidR="004B654C" w:rsidRPr="001268E7">
        <w:rPr>
          <w:rFonts w:cs="Times-Roman"/>
          <w:sz w:val="24"/>
          <w:szCs w:val="24"/>
        </w:rPr>
        <w:t xml:space="preserve"> </w:t>
      </w:r>
      <w:r w:rsidRPr="001268E7">
        <w:rPr>
          <w:rFonts w:cs="Calibri"/>
          <w:sz w:val="24"/>
          <w:szCs w:val="24"/>
          <w:lang w:eastAsia="pl-PL"/>
        </w:rPr>
        <w:t xml:space="preserve">W każdym przypadku weryfikacji dokonywali będą niezależni audytorzy </w:t>
      </w:r>
      <w:r w:rsidRPr="001268E7">
        <w:rPr>
          <w:rFonts w:cs="Calibri"/>
          <w:sz w:val="24"/>
          <w:szCs w:val="24"/>
          <w:lang w:eastAsia="pl-PL"/>
        </w:rPr>
        <w:lastRenderedPageBreak/>
        <w:t xml:space="preserve">działający w zgodzie z treścią wymogów dotyczących weryfikacji wydatków w ramach umowy o dofinansowanie oraz </w:t>
      </w:r>
      <w:r w:rsidR="009D703A" w:rsidRPr="001268E7">
        <w:rPr>
          <w:rFonts w:cs="Calibri"/>
          <w:sz w:val="24"/>
          <w:szCs w:val="24"/>
          <w:lang w:eastAsia="pl-PL"/>
        </w:rPr>
        <w:t xml:space="preserve">zgodnie </w:t>
      </w:r>
      <w:r w:rsidRPr="001268E7">
        <w:rPr>
          <w:rFonts w:cs="Calibri"/>
          <w:sz w:val="24"/>
          <w:szCs w:val="24"/>
          <w:lang w:eastAsia="pl-PL"/>
        </w:rPr>
        <w:t>z procedurami Programu dotyczącymi kontroli</w:t>
      </w:r>
      <w:r w:rsidRPr="001268E7">
        <w:rPr>
          <w:rFonts w:cs="Times-Roman"/>
          <w:sz w:val="24"/>
          <w:szCs w:val="24"/>
        </w:rPr>
        <w:t>.</w:t>
      </w:r>
      <w:r w:rsidR="004B654C" w:rsidRPr="001268E7">
        <w:rPr>
          <w:rFonts w:cs="Times-Roman"/>
          <w:sz w:val="24"/>
          <w:szCs w:val="24"/>
        </w:rPr>
        <w:t xml:space="preserve"> </w:t>
      </w:r>
      <w:r w:rsidRPr="001268E7">
        <w:rPr>
          <w:rFonts w:cs="Times-Roman"/>
          <w:sz w:val="24"/>
          <w:szCs w:val="24"/>
        </w:rPr>
        <w:t>Audytor powinien sprawdzić czy koszty zadeklarowane przez beneficjenta i przychody z projektu są prawdziwe, właściwie zaksięgowane i kwalifikowalne w świetle umowy.</w:t>
      </w:r>
      <w:r w:rsidR="004B654C" w:rsidRPr="001268E7">
        <w:rPr>
          <w:rFonts w:cs="Times-Roman"/>
          <w:sz w:val="24"/>
          <w:szCs w:val="24"/>
        </w:rPr>
        <w:t xml:space="preserve"> </w:t>
      </w:r>
    </w:p>
    <w:p w:rsidR="004B654C" w:rsidRPr="001268E7" w:rsidRDefault="00186BC8" w:rsidP="00186BC8">
      <w:pPr>
        <w:autoSpaceDE w:val="0"/>
        <w:autoSpaceDN w:val="0"/>
        <w:adjustRightInd w:val="0"/>
        <w:spacing w:before="120" w:after="120" w:line="240" w:lineRule="auto"/>
        <w:jc w:val="both"/>
        <w:rPr>
          <w:rFonts w:asciiTheme="minorHAnsi" w:hAnsiTheme="minorHAnsi" w:cs="Times-Roman"/>
          <w:sz w:val="24"/>
          <w:szCs w:val="24"/>
        </w:rPr>
      </w:pPr>
      <w:r w:rsidRPr="001268E7">
        <w:rPr>
          <w:rFonts w:asciiTheme="minorHAnsi" w:hAnsiTheme="minorHAnsi" w:cs="Times-Roman"/>
          <w:sz w:val="24"/>
          <w:szCs w:val="24"/>
        </w:rPr>
        <w:t>Postanowienia dotyczące szczegółowego procesu weryfikacji zawarte zostaną w treści Wytycznych weryfikacji wydatków, opracowanych przez IZ/WST w ścisłej współpracy z KPK i zatwierdzonych przez WKM.</w:t>
      </w:r>
      <w:r w:rsidR="004B654C" w:rsidRPr="001268E7">
        <w:rPr>
          <w:rFonts w:asciiTheme="minorHAnsi" w:hAnsiTheme="minorHAnsi" w:cs="Times-Roman"/>
          <w:sz w:val="24"/>
          <w:szCs w:val="24"/>
        </w:rPr>
        <w:t xml:space="preserve"> </w:t>
      </w:r>
      <w:r w:rsidRPr="001268E7">
        <w:rPr>
          <w:rFonts w:asciiTheme="minorHAnsi" w:hAnsiTheme="minorHAnsi" w:cs="Calibri"/>
          <w:sz w:val="24"/>
          <w:szCs w:val="24"/>
          <w:lang w:eastAsia="pl-PL"/>
        </w:rPr>
        <w:t>Wytyczne obejmowały będą wszystkie etapy procedury weryfikacji i zawierały będą wszystkie wiążące formularze raportów/listy kontrolne, z których należy korzystać w trakcie realizacji procedury weryfikacji przez niezależnych audytorów.</w:t>
      </w:r>
      <w:r w:rsidR="004B654C" w:rsidRPr="001268E7">
        <w:rPr>
          <w:rFonts w:asciiTheme="minorHAnsi" w:hAnsiTheme="minorHAnsi" w:cs="Times-Roman"/>
          <w:sz w:val="24"/>
          <w:szCs w:val="24"/>
        </w:rPr>
        <w:t xml:space="preserve"> </w:t>
      </w:r>
      <w:r w:rsidRPr="001268E7">
        <w:rPr>
          <w:rFonts w:asciiTheme="minorHAnsi" w:hAnsiTheme="minorHAnsi" w:cs="Calibri"/>
          <w:sz w:val="24"/>
          <w:szCs w:val="24"/>
          <w:lang w:eastAsia="pl-PL"/>
        </w:rPr>
        <w:t>Wyniki procesu weryfikacji znajdą odzwierciedlenie w cząst</w:t>
      </w:r>
      <w:r w:rsidR="009D703A" w:rsidRPr="001268E7">
        <w:rPr>
          <w:rFonts w:asciiTheme="minorHAnsi" w:hAnsiTheme="minorHAnsi" w:cs="Calibri"/>
          <w:sz w:val="24"/>
          <w:szCs w:val="24"/>
          <w:lang w:eastAsia="pl-PL"/>
        </w:rPr>
        <w:t>kowych poświadczonych wykazach</w:t>
      </w:r>
      <w:r w:rsidRPr="001268E7">
        <w:rPr>
          <w:rFonts w:asciiTheme="minorHAnsi" w:hAnsiTheme="minorHAnsi" w:cs="Calibri"/>
          <w:sz w:val="24"/>
          <w:szCs w:val="24"/>
          <w:lang w:eastAsia="pl-PL"/>
        </w:rPr>
        <w:t xml:space="preserve"> wydatków przygotowywanych i podpisywanych przez niezależnych audytorów dla każdego z beneficjentów projektu.</w:t>
      </w:r>
      <w:r w:rsidR="004B654C" w:rsidRPr="001268E7">
        <w:rPr>
          <w:rFonts w:asciiTheme="minorHAnsi" w:hAnsiTheme="minorHAnsi" w:cs="Times-Roman"/>
          <w:sz w:val="24"/>
          <w:szCs w:val="24"/>
        </w:rPr>
        <w:t xml:space="preserve"> </w:t>
      </w:r>
      <w:r w:rsidR="009D703A" w:rsidRPr="001268E7">
        <w:rPr>
          <w:rFonts w:asciiTheme="minorHAnsi" w:hAnsiTheme="minorHAnsi" w:cs="Calibri"/>
          <w:sz w:val="24"/>
          <w:szCs w:val="24"/>
          <w:lang w:eastAsia="pl-PL"/>
        </w:rPr>
        <w:t>Tego rodzaju wykazy</w:t>
      </w:r>
      <w:r w:rsidRPr="001268E7">
        <w:rPr>
          <w:rFonts w:asciiTheme="minorHAnsi" w:hAnsiTheme="minorHAnsi" w:cs="Calibri"/>
          <w:sz w:val="24"/>
          <w:szCs w:val="24"/>
          <w:lang w:eastAsia="pl-PL"/>
        </w:rPr>
        <w:t xml:space="preserve"> będą wymagane</w:t>
      </w:r>
      <w:r w:rsidR="001F4C65" w:rsidRPr="001268E7">
        <w:rPr>
          <w:rFonts w:asciiTheme="minorHAnsi" w:hAnsiTheme="minorHAnsi" w:cs="Calibri"/>
          <w:sz w:val="24"/>
          <w:szCs w:val="24"/>
          <w:lang w:eastAsia="pl-PL"/>
        </w:rPr>
        <w:t xml:space="preserve"> w momencie wnioskowania przez Beneficjentów W</w:t>
      </w:r>
      <w:r w:rsidRPr="001268E7">
        <w:rPr>
          <w:rFonts w:asciiTheme="minorHAnsi" w:hAnsiTheme="minorHAnsi" w:cs="Calibri"/>
          <w:sz w:val="24"/>
          <w:szCs w:val="24"/>
          <w:lang w:eastAsia="pl-PL"/>
        </w:rPr>
        <w:t>iodących o dokonanie wypłaty zaliczki bądź płatności końcowej.</w:t>
      </w:r>
      <w:r w:rsidR="004B654C" w:rsidRPr="001268E7">
        <w:rPr>
          <w:rFonts w:asciiTheme="minorHAnsi" w:hAnsiTheme="minorHAnsi" w:cs="Times-Roman"/>
          <w:sz w:val="24"/>
          <w:szCs w:val="24"/>
        </w:rPr>
        <w:t xml:space="preserve"> </w:t>
      </w:r>
    </w:p>
    <w:p w:rsidR="004B654C" w:rsidRPr="001268E7" w:rsidRDefault="00186BC8" w:rsidP="00186BC8">
      <w:pPr>
        <w:autoSpaceDE w:val="0"/>
        <w:autoSpaceDN w:val="0"/>
        <w:adjustRightInd w:val="0"/>
        <w:spacing w:before="120" w:after="120" w:line="240" w:lineRule="auto"/>
        <w:jc w:val="both"/>
        <w:rPr>
          <w:rFonts w:asciiTheme="minorHAnsi" w:hAnsiTheme="minorHAnsi" w:cs="Times-Roman"/>
          <w:sz w:val="24"/>
          <w:szCs w:val="24"/>
        </w:rPr>
      </w:pPr>
      <w:r w:rsidRPr="001268E7">
        <w:rPr>
          <w:rFonts w:asciiTheme="minorHAnsi" w:hAnsiTheme="minorHAnsi" w:cs="Times-Roman"/>
          <w:sz w:val="24"/>
          <w:szCs w:val="24"/>
        </w:rPr>
        <w:t>Weryfikacja, która ma być przeprowadzona na terytorium Federacji Rosyjskiej, musi być</w:t>
      </w:r>
      <w:r w:rsidR="009D703A" w:rsidRPr="001268E7">
        <w:rPr>
          <w:rFonts w:asciiTheme="minorHAnsi" w:hAnsiTheme="minorHAnsi" w:cs="Times-Roman"/>
          <w:sz w:val="24"/>
          <w:szCs w:val="24"/>
        </w:rPr>
        <w:t xml:space="preserve"> dokonana zgodnie z Umową F</w:t>
      </w:r>
      <w:r w:rsidRPr="001268E7">
        <w:rPr>
          <w:rFonts w:asciiTheme="minorHAnsi" w:hAnsiTheme="minorHAnsi" w:cs="Times-Roman"/>
          <w:sz w:val="24"/>
          <w:szCs w:val="24"/>
        </w:rPr>
        <w:t>inansową.</w:t>
      </w:r>
    </w:p>
    <w:p w:rsidR="004B654C" w:rsidRPr="001046AF" w:rsidRDefault="00186BC8" w:rsidP="00071BF3">
      <w:pPr>
        <w:autoSpaceDE w:val="0"/>
        <w:autoSpaceDN w:val="0"/>
        <w:adjustRightInd w:val="0"/>
        <w:spacing w:before="100" w:beforeAutospacing="1" w:after="100" w:afterAutospacing="1" w:line="240" w:lineRule="auto"/>
        <w:jc w:val="both"/>
        <w:rPr>
          <w:rStyle w:val="Wyrnieniedelikatne"/>
        </w:rPr>
      </w:pPr>
      <w:r w:rsidRPr="001046AF">
        <w:rPr>
          <w:rStyle w:val="Wyrnieniedelikatne"/>
        </w:rPr>
        <w:t>Weryfikacja administracyjna wniosków</w:t>
      </w:r>
      <w:r w:rsidR="000B77F9" w:rsidRPr="001046AF">
        <w:rPr>
          <w:rStyle w:val="Wyrnieniedelikatne"/>
        </w:rPr>
        <w:t xml:space="preserve"> o płatność ze strony</w:t>
      </w:r>
      <w:r w:rsidRPr="001046AF">
        <w:rPr>
          <w:rStyle w:val="Wyrnieniedelikatne"/>
        </w:rPr>
        <w:t xml:space="preserve"> beneficjentów</w:t>
      </w:r>
    </w:p>
    <w:p w:rsidR="004B654C" w:rsidRPr="001268E7" w:rsidRDefault="00186BC8" w:rsidP="00186BC8">
      <w:pPr>
        <w:autoSpaceDE w:val="0"/>
        <w:autoSpaceDN w:val="0"/>
        <w:adjustRightInd w:val="0"/>
        <w:spacing w:before="120" w:after="120" w:line="240" w:lineRule="auto"/>
        <w:jc w:val="both"/>
        <w:rPr>
          <w:rFonts w:asciiTheme="minorHAnsi" w:hAnsiTheme="minorHAnsi" w:cs="Times-Roman"/>
          <w:sz w:val="24"/>
          <w:szCs w:val="24"/>
        </w:rPr>
      </w:pPr>
      <w:r w:rsidRPr="001268E7">
        <w:rPr>
          <w:rFonts w:asciiTheme="minorHAnsi" w:hAnsiTheme="minorHAnsi" w:cs="Calibri"/>
          <w:sz w:val="24"/>
          <w:szCs w:val="24"/>
          <w:lang w:eastAsia="pl-PL"/>
        </w:rPr>
        <w:t>IZ i WST odpowiedzialne będą za weryfikację administracyjną wniosków</w:t>
      </w:r>
      <w:r w:rsidR="000B77F9" w:rsidRPr="001268E7">
        <w:rPr>
          <w:rFonts w:asciiTheme="minorHAnsi" w:hAnsiTheme="minorHAnsi" w:cs="Calibri"/>
          <w:sz w:val="24"/>
          <w:szCs w:val="24"/>
          <w:lang w:eastAsia="pl-PL"/>
        </w:rPr>
        <w:t xml:space="preserve"> o płatność ze strony</w:t>
      </w:r>
      <w:r w:rsidRPr="001268E7">
        <w:rPr>
          <w:rFonts w:asciiTheme="minorHAnsi" w:hAnsiTheme="minorHAnsi" w:cs="Calibri"/>
          <w:sz w:val="24"/>
          <w:szCs w:val="24"/>
          <w:lang w:eastAsia="pl-PL"/>
        </w:rPr>
        <w:t xml:space="preserve"> beneficjentów, które dostarczane będą </w:t>
      </w:r>
      <w:r w:rsidR="000B77F9" w:rsidRPr="001268E7">
        <w:rPr>
          <w:rFonts w:asciiTheme="minorHAnsi" w:hAnsiTheme="minorHAnsi" w:cs="Calibri"/>
          <w:sz w:val="24"/>
          <w:szCs w:val="24"/>
          <w:lang w:eastAsia="pl-PL"/>
        </w:rPr>
        <w:t>wraz z wykazami</w:t>
      </w:r>
      <w:r w:rsidRPr="001268E7">
        <w:rPr>
          <w:rFonts w:asciiTheme="minorHAnsi" w:hAnsiTheme="minorHAnsi" w:cs="Calibri"/>
          <w:sz w:val="24"/>
          <w:szCs w:val="24"/>
          <w:lang w:eastAsia="pl-PL"/>
        </w:rPr>
        <w:t xml:space="preserve"> wydatków </w:t>
      </w:r>
      <w:r w:rsidR="000B77F9" w:rsidRPr="001268E7">
        <w:rPr>
          <w:rFonts w:asciiTheme="minorHAnsi" w:hAnsiTheme="minorHAnsi" w:cs="Calibri"/>
          <w:sz w:val="24"/>
          <w:szCs w:val="24"/>
          <w:lang w:eastAsia="pl-PL"/>
        </w:rPr>
        <w:t xml:space="preserve">poświadczonymi </w:t>
      </w:r>
      <w:r w:rsidRPr="001268E7">
        <w:rPr>
          <w:rFonts w:asciiTheme="minorHAnsi" w:hAnsiTheme="minorHAnsi" w:cs="Calibri"/>
          <w:sz w:val="24"/>
          <w:szCs w:val="24"/>
          <w:lang w:eastAsia="pl-PL"/>
        </w:rPr>
        <w:t>przez nie</w:t>
      </w:r>
      <w:r w:rsidR="000B77F9" w:rsidRPr="001268E7">
        <w:rPr>
          <w:rFonts w:asciiTheme="minorHAnsi" w:hAnsiTheme="minorHAnsi" w:cs="Calibri"/>
          <w:sz w:val="24"/>
          <w:szCs w:val="24"/>
          <w:lang w:eastAsia="pl-PL"/>
        </w:rPr>
        <w:t>zależnych audytorów (dotyczącymi</w:t>
      </w:r>
      <w:r w:rsidRPr="001268E7">
        <w:rPr>
          <w:rFonts w:asciiTheme="minorHAnsi" w:hAnsiTheme="minorHAnsi" w:cs="Calibri"/>
          <w:sz w:val="24"/>
          <w:szCs w:val="24"/>
          <w:lang w:eastAsia="pl-PL"/>
        </w:rPr>
        <w:t xml:space="preserve"> wydatków wskazanych w raporcie) oraz z raportami z postępu w realizacji projektów.</w:t>
      </w:r>
      <w:r w:rsidR="004B654C" w:rsidRPr="001268E7">
        <w:rPr>
          <w:rFonts w:asciiTheme="minorHAnsi" w:hAnsiTheme="minorHAnsi" w:cs="Times-Roman"/>
          <w:sz w:val="24"/>
          <w:szCs w:val="24"/>
        </w:rPr>
        <w:t xml:space="preserve"> </w:t>
      </w:r>
      <w:r w:rsidRPr="001268E7">
        <w:rPr>
          <w:rFonts w:asciiTheme="minorHAnsi" w:hAnsiTheme="minorHAnsi" w:cs="Calibri"/>
          <w:sz w:val="24"/>
          <w:szCs w:val="24"/>
          <w:lang w:eastAsia="pl-PL"/>
        </w:rPr>
        <w:t>Zakres weryfikacji administracyjnej określony zostanie w treści Wytycznych weryfikacji wydatków.</w:t>
      </w:r>
      <w:r w:rsidR="004B654C" w:rsidRPr="001268E7">
        <w:rPr>
          <w:rFonts w:asciiTheme="minorHAnsi" w:hAnsiTheme="minorHAnsi" w:cs="Times-Roman"/>
          <w:sz w:val="24"/>
          <w:szCs w:val="24"/>
        </w:rPr>
        <w:t xml:space="preserve"> </w:t>
      </w:r>
    </w:p>
    <w:p w:rsidR="004B654C" w:rsidRPr="001268E7" w:rsidRDefault="00186BC8" w:rsidP="00186BC8">
      <w:pPr>
        <w:autoSpaceDE w:val="0"/>
        <w:autoSpaceDN w:val="0"/>
        <w:adjustRightInd w:val="0"/>
        <w:spacing w:before="120" w:after="120" w:line="240" w:lineRule="auto"/>
        <w:jc w:val="both"/>
        <w:rPr>
          <w:rFonts w:asciiTheme="minorHAnsi" w:hAnsiTheme="minorHAnsi" w:cs="Times-Roman"/>
          <w:sz w:val="24"/>
          <w:szCs w:val="24"/>
        </w:rPr>
      </w:pPr>
      <w:r w:rsidRPr="001268E7">
        <w:rPr>
          <w:rFonts w:asciiTheme="minorHAnsi" w:hAnsiTheme="minorHAnsi" w:cs="Calibri"/>
          <w:sz w:val="24"/>
          <w:szCs w:val="24"/>
          <w:lang w:eastAsia="pl-PL"/>
        </w:rPr>
        <w:t>Opierając się na treści raportów technicznych i finansowych z realizacji projektów oraz</w:t>
      </w:r>
      <w:r w:rsidR="000B77F9" w:rsidRPr="001268E7">
        <w:rPr>
          <w:rFonts w:asciiTheme="minorHAnsi" w:hAnsiTheme="minorHAnsi" w:cs="Calibri"/>
          <w:sz w:val="24"/>
          <w:szCs w:val="24"/>
          <w:lang w:eastAsia="pl-PL"/>
        </w:rPr>
        <w:t xml:space="preserve"> wskazanych powyżej poświadczonych wykazach</w:t>
      </w:r>
      <w:r w:rsidRPr="001268E7">
        <w:rPr>
          <w:rFonts w:asciiTheme="minorHAnsi" w:hAnsiTheme="minorHAnsi" w:cs="Calibri"/>
          <w:sz w:val="24"/>
          <w:szCs w:val="24"/>
          <w:lang w:eastAsia="pl-PL"/>
        </w:rPr>
        <w:t>, menedżerowie p</w:t>
      </w:r>
      <w:r w:rsidR="000B77F9" w:rsidRPr="001268E7">
        <w:rPr>
          <w:rFonts w:asciiTheme="minorHAnsi" w:hAnsiTheme="minorHAnsi" w:cs="Calibri"/>
          <w:sz w:val="24"/>
          <w:szCs w:val="24"/>
          <w:lang w:eastAsia="pl-PL"/>
        </w:rPr>
        <w:t xml:space="preserve">rojektów w WST będą sprawdzali </w:t>
      </w:r>
      <w:r w:rsidRPr="001268E7">
        <w:rPr>
          <w:rFonts w:asciiTheme="minorHAnsi" w:hAnsiTheme="minorHAnsi" w:cs="Calibri"/>
          <w:sz w:val="24"/>
          <w:szCs w:val="24"/>
          <w:lang w:eastAsia="pl-PL"/>
        </w:rPr>
        <w:t>czy wszystkie czynności kontrolne zostały przeprowadzone w sposób prawidłowy, po tym sprawdzeniu przystępować będą do procedowania z wnioskami o płatność.</w:t>
      </w:r>
      <w:r w:rsidR="004B654C" w:rsidRPr="001268E7">
        <w:rPr>
          <w:rFonts w:asciiTheme="minorHAnsi" w:hAnsiTheme="minorHAnsi" w:cs="Times-Roman"/>
          <w:sz w:val="24"/>
          <w:szCs w:val="24"/>
        </w:rPr>
        <w:t xml:space="preserve"> </w:t>
      </w:r>
    </w:p>
    <w:p w:rsidR="004B654C" w:rsidRPr="001046AF" w:rsidRDefault="00186BC8" w:rsidP="00071BF3">
      <w:pPr>
        <w:autoSpaceDE w:val="0"/>
        <w:autoSpaceDN w:val="0"/>
        <w:adjustRightInd w:val="0"/>
        <w:spacing w:before="100" w:beforeAutospacing="1" w:after="100" w:afterAutospacing="1" w:line="240" w:lineRule="auto"/>
        <w:jc w:val="both"/>
        <w:rPr>
          <w:rStyle w:val="Wyrnieniedelikatne"/>
        </w:rPr>
      </w:pPr>
      <w:r w:rsidRPr="001046AF">
        <w:rPr>
          <w:rStyle w:val="Wyrnieniedelikatne"/>
        </w:rPr>
        <w:t>Audyt projektów</w:t>
      </w:r>
      <w:r w:rsidR="004B654C" w:rsidRPr="001046AF">
        <w:rPr>
          <w:rStyle w:val="Wyrnieniedelikatne"/>
        </w:rPr>
        <w:t xml:space="preserve"> </w:t>
      </w:r>
    </w:p>
    <w:p w:rsidR="004B654C" w:rsidRPr="001268E7" w:rsidRDefault="006D35F5" w:rsidP="006D35F5">
      <w:pPr>
        <w:autoSpaceDE w:val="0"/>
        <w:autoSpaceDN w:val="0"/>
        <w:adjustRightInd w:val="0"/>
        <w:spacing w:before="120" w:after="120" w:line="240" w:lineRule="auto"/>
        <w:jc w:val="both"/>
        <w:rPr>
          <w:rFonts w:cs="Times-Roman"/>
          <w:sz w:val="24"/>
          <w:szCs w:val="24"/>
        </w:rPr>
      </w:pPr>
      <w:r w:rsidRPr="001268E7">
        <w:rPr>
          <w:rFonts w:cs="Calibri"/>
          <w:sz w:val="24"/>
          <w:szCs w:val="24"/>
          <w:lang w:eastAsia="pl-PL"/>
        </w:rPr>
        <w:t>IA ze wsparciem ze strony GA zapewni prowadzenie audytów na próbie projektów finansowanych w ramach Programu.</w:t>
      </w:r>
      <w:r w:rsidR="004B654C" w:rsidRPr="001268E7">
        <w:rPr>
          <w:rFonts w:cs="Times-Roman"/>
          <w:sz w:val="24"/>
          <w:szCs w:val="24"/>
        </w:rPr>
        <w:t xml:space="preserve"> </w:t>
      </w:r>
      <w:r w:rsidRPr="001268E7">
        <w:rPr>
          <w:rFonts w:cs="Calibri"/>
          <w:sz w:val="24"/>
          <w:szCs w:val="24"/>
          <w:lang w:eastAsia="pl-PL"/>
        </w:rPr>
        <w:t>W ciągu dziewięciu miesięcy od podpisania umowy finansowej zgodnie z art</w:t>
      </w:r>
      <w:r w:rsidR="000B77F9" w:rsidRPr="001268E7">
        <w:rPr>
          <w:rFonts w:cs="Calibri"/>
          <w:sz w:val="24"/>
          <w:szCs w:val="24"/>
          <w:lang w:eastAsia="pl-PL"/>
        </w:rPr>
        <w:t>. 8(2) Rozporządzenia (UE</w:t>
      </w:r>
      <w:r w:rsidRPr="001268E7">
        <w:rPr>
          <w:rFonts w:cs="Calibri"/>
          <w:sz w:val="24"/>
          <w:szCs w:val="24"/>
          <w:lang w:eastAsia="pl-PL"/>
        </w:rPr>
        <w:t>) nr 897/2014, IA przedłoży Komisji Europejskiej i rosyjskiej Instytucji Krajowej strategię audytu na potrzeby przeprowadzania audytów.</w:t>
      </w:r>
      <w:r w:rsidR="004B654C" w:rsidRPr="001268E7">
        <w:rPr>
          <w:rFonts w:cs="Times-Roman"/>
          <w:sz w:val="24"/>
          <w:szCs w:val="24"/>
        </w:rPr>
        <w:t xml:space="preserve"> </w:t>
      </w:r>
      <w:r w:rsidRPr="001268E7">
        <w:rPr>
          <w:rFonts w:cs="Times-Roman"/>
          <w:sz w:val="24"/>
          <w:szCs w:val="24"/>
        </w:rPr>
        <w:t>Strategia audytu określa metodę kontroli rocznych sprawozdań finansowych i projektów, metodę doboru próby do audytów projektów oraz plan audytów na bieżący rok obrotowy i dwa następne lata obrotowe.</w:t>
      </w:r>
      <w:r w:rsidR="004B654C" w:rsidRPr="001268E7">
        <w:rPr>
          <w:rFonts w:cs="Times-Roman"/>
          <w:sz w:val="24"/>
          <w:szCs w:val="24"/>
        </w:rPr>
        <w:t xml:space="preserve"> </w:t>
      </w:r>
      <w:r w:rsidRPr="001268E7">
        <w:rPr>
          <w:rFonts w:cs="Calibri"/>
          <w:sz w:val="24"/>
          <w:szCs w:val="24"/>
          <w:lang w:eastAsia="pl-PL"/>
        </w:rPr>
        <w:t xml:space="preserve">Strategia audytu jest aktualizowana corocznie, uaktualnioną strategię audytu przedkłada się Komisji </w:t>
      </w:r>
      <w:r w:rsidR="002E5A6A">
        <w:rPr>
          <w:rFonts w:cs="Calibri"/>
          <w:sz w:val="24"/>
          <w:szCs w:val="24"/>
          <w:lang w:eastAsia="pl-PL"/>
        </w:rPr>
        <w:t xml:space="preserve">oraz IK </w:t>
      </w:r>
      <w:r w:rsidRPr="001268E7">
        <w:rPr>
          <w:rFonts w:cs="Calibri"/>
          <w:sz w:val="24"/>
          <w:szCs w:val="24"/>
          <w:lang w:eastAsia="pl-PL"/>
        </w:rPr>
        <w:t>wraz z rocznym sprawozdaniem Programu.</w:t>
      </w:r>
      <w:r w:rsidR="004B654C" w:rsidRPr="001268E7">
        <w:rPr>
          <w:rFonts w:cs="Times-Roman"/>
          <w:sz w:val="24"/>
          <w:szCs w:val="24"/>
        </w:rPr>
        <w:t xml:space="preserve"> </w:t>
      </w:r>
      <w:r w:rsidRPr="001268E7">
        <w:rPr>
          <w:rFonts w:cs="Calibri"/>
          <w:sz w:val="24"/>
          <w:szCs w:val="24"/>
          <w:lang w:eastAsia="pl-PL"/>
        </w:rPr>
        <w:t xml:space="preserve">Audyt projektów przeprowadzany będzie przez IA/GA lub </w:t>
      </w:r>
      <w:r w:rsidR="000B77F9" w:rsidRPr="001268E7">
        <w:rPr>
          <w:rFonts w:cs="Calibri"/>
          <w:sz w:val="24"/>
          <w:szCs w:val="24"/>
          <w:lang w:eastAsia="pl-PL"/>
        </w:rPr>
        <w:t>przez zewnętrzne firmy audytowe</w:t>
      </w:r>
      <w:r w:rsidRPr="001268E7">
        <w:rPr>
          <w:rFonts w:cs="Calibri"/>
          <w:sz w:val="24"/>
          <w:szCs w:val="24"/>
          <w:lang w:eastAsia="pl-PL"/>
        </w:rPr>
        <w:t xml:space="preserve"> wybrane przez IA/GA.</w:t>
      </w:r>
      <w:r w:rsidR="004B654C" w:rsidRPr="001268E7">
        <w:rPr>
          <w:rFonts w:cs="Times-Roman"/>
          <w:sz w:val="24"/>
          <w:szCs w:val="24"/>
        </w:rPr>
        <w:t xml:space="preserve"> </w:t>
      </w:r>
    </w:p>
    <w:p w:rsidR="004B654C" w:rsidRPr="001046AF" w:rsidRDefault="006D35F5" w:rsidP="00071BF3">
      <w:pPr>
        <w:autoSpaceDE w:val="0"/>
        <w:autoSpaceDN w:val="0"/>
        <w:adjustRightInd w:val="0"/>
        <w:spacing w:before="100" w:beforeAutospacing="1" w:after="100" w:afterAutospacing="1" w:line="240" w:lineRule="auto"/>
        <w:jc w:val="both"/>
        <w:rPr>
          <w:rStyle w:val="Wyrnieniedelikatne"/>
        </w:rPr>
      </w:pPr>
      <w:r w:rsidRPr="001046AF">
        <w:rPr>
          <w:rStyle w:val="Wyrnieniedelikatne"/>
        </w:rPr>
        <w:t>Audyt</w:t>
      </w:r>
      <w:r w:rsidR="000B77F9" w:rsidRPr="001046AF">
        <w:rPr>
          <w:rStyle w:val="Wyrnieniedelikatne"/>
        </w:rPr>
        <w:t>y</w:t>
      </w:r>
      <w:r w:rsidRPr="001046AF">
        <w:rPr>
          <w:rStyle w:val="Wyrnieniedelikatne"/>
        </w:rPr>
        <w:t xml:space="preserve"> systemu zarządzania i kontroli oraz rocznych sprawozdań finansowych Programu</w:t>
      </w:r>
    </w:p>
    <w:p w:rsidR="004B654C" w:rsidRPr="001268E7" w:rsidRDefault="006D35F5" w:rsidP="006D35F5">
      <w:pPr>
        <w:autoSpaceDE w:val="0"/>
        <w:autoSpaceDN w:val="0"/>
        <w:adjustRightInd w:val="0"/>
        <w:spacing w:before="120" w:after="120" w:line="240" w:lineRule="auto"/>
        <w:jc w:val="both"/>
        <w:rPr>
          <w:rFonts w:cs="Times-Roman"/>
          <w:sz w:val="24"/>
          <w:szCs w:val="24"/>
        </w:rPr>
      </w:pPr>
      <w:r w:rsidRPr="001268E7">
        <w:rPr>
          <w:rFonts w:cs="Calibri"/>
          <w:sz w:val="24"/>
          <w:szCs w:val="24"/>
          <w:lang w:eastAsia="pl-PL"/>
        </w:rPr>
        <w:t xml:space="preserve">Każdego roku IA przeprowadzać będzie weryfikację ex-post wydatków i przychodów zadeklarowanych przez IZ w rocznym sprawozdaniu finansowym, zgodnie ze standardami i </w:t>
      </w:r>
      <w:r w:rsidRPr="001268E7">
        <w:rPr>
          <w:rFonts w:cs="Calibri"/>
          <w:sz w:val="24"/>
          <w:szCs w:val="24"/>
          <w:lang w:eastAsia="pl-PL"/>
        </w:rPr>
        <w:lastRenderedPageBreak/>
        <w:t>etyką Międzynarodowej Federacji Księgowych (IFAC).</w:t>
      </w:r>
      <w:r w:rsidR="004B654C" w:rsidRPr="001268E7">
        <w:rPr>
          <w:rFonts w:cs="Times-Roman"/>
          <w:sz w:val="24"/>
          <w:szCs w:val="24"/>
        </w:rPr>
        <w:t xml:space="preserve"> </w:t>
      </w:r>
      <w:r w:rsidRPr="001268E7">
        <w:rPr>
          <w:rFonts w:cs="Calibri"/>
          <w:sz w:val="24"/>
          <w:szCs w:val="24"/>
          <w:lang w:eastAsia="pl-PL"/>
        </w:rPr>
        <w:t>Raport z audytu ma na celu poświa</w:t>
      </w:r>
      <w:r w:rsidR="000B77F9" w:rsidRPr="001268E7">
        <w:rPr>
          <w:rFonts w:cs="Calibri"/>
          <w:sz w:val="24"/>
          <w:szCs w:val="24"/>
          <w:lang w:eastAsia="pl-PL"/>
        </w:rPr>
        <w:t xml:space="preserve">dczenie wykazu </w:t>
      </w:r>
      <w:r w:rsidRPr="001268E7">
        <w:rPr>
          <w:rFonts w:cs="Calibri"/>
          <w:sz w:val="24"/>
          <w:szCs w:val="24"/>
          <w:lang w:eastAsia="pl-PL"/>
        </w:rPr>
        <w:t>wydat</w:t>
      </w:r>
      <w:r w:rsidR="000B77F9" w:rsidRPr="001268E7">
        <w:rPr>
          <w:rFonts w:cs="Calibri"/>
          <w:sz w:val="24"/>
          <w:szCs w:val="24"/>
          <w:lang w:eastAsia="pl-PL"/>
        </w:rPr>
        <w:t>ków i przychodów przedstawionych</w:t>
      </w:r>
      <w:r w:rsidRPr="001268E7">
        <w:rPr>
          <w:rFonts w:cs="Calibri"/>
          <w:sz w:val="24"/>
          <w:szCs w:val="24"/>
          <w:lang w:eastAsia="pl-PL"/>
        </w:rPr>
        <w:t xml:space="preserve"> przez IZ w rocznym sprawozdaniu finansowym, w szczególności zaś potwierdzenie tego, czy zadeklarowane wydatki zostały faktycznie poniesione i czy są one wydatkami rzetelnie ujętymi i kwalifikowalnymi.</w:t>
      </w:r>
      <w:r w:rsidR="004B654C" w:rsidRPr="001268E7">
        <w:rPr>
          <w:rFonts w:cs="Times-Roman"/>
          <w:sz w:val="24"/>
          <w:szCs w:val="24"/>
        </w:rPr>
        <w:t xml:space="preserve"> </w:t>
      </w:r>
    </w:p>
    <w:p w:rsidR="004B654C" w:rsidRPr="001046AF" w:rsidRDefault="006D35F5" w:rsidP="00071BF3">
      <w:pPr>
        <w:autoSpaceDE w:val="0"/>
        <w:autoSpaceDN w:val="0"/>
        <w:adjustRightInd w:val="0"/>
        <w:spacing w:before="100" w:beforeAutospacing="1" w:after="100" w:afterAutospacing="1" w:line="240" w:lineRule="auto"/>
        <w:jc w:val="both"/>
        <w:rPr>
          <w:rStyle w:val="Wyrnieniedelikatne"/>
        </w:rPr>
      </w:pPr>
      <w:r w:rsidRPr="001046AF">
        <w:rPr>
          <w:rStyle w:val="Wyrnieniedelikatne"/>
        </w:rPr>
        <w:t>Kontrole Unii Europejskiej i FR</w:t>
      </w:r>
    </w:p>
    <w:p w:rsidR="004B654C" w:rsidRPr="001268E7" w:rsidRDefault="006D35F5" w:rsidP="0011293B">
      <w:pPr>
        <w:autoSpaceDE w:val="0"/>
        <w:autoSpaceDN w:val="0"/>
        <w:adjustRightInd w:val="0"/>
        <w:spacing w:before="120" w:after="120" w:line="240" w:lineRule="auto"/>
        <w:jc w:val="both"/>
        <w:rPr>
          <w:rFonts w:cs="Times-Roman"/>
          <w:sz w:val="24"/>
          <w:szCs w:val="24"/>
        </w:rPr>
      </w:pPr>
      <w:r w:rsidRPr="001268E7">
        <w:rPr>
          <w:rFonts w:cs="Calibri"/>
          <w:sz w:val="24"/>
          <w:szCs w:val="24"/>
          <w:lang w:eastAsia="pl-PL"/>
        </w:rPr>
        <w:t>Komisja, Europejski Urząd ds. Zwalczania Nadużyć Finansowych (OLAF), Europejski Trybunał Obrachunkowy i każdy audytor zewnętrzny umocowany przez te instytucje i podmioty mogą weryfikować wykorzystanie funduszy unijnych przez IZ, beneficjentów, wykonawców, podwykonawców i strony trzecie otrzymujące wsparcie finansowe poprzez weryfikację dokumentów i/lub przeprowadzanie kontroli na miejscu.</w:t>
      </w:r>
      <w:r w:rsidR="004B654C" w:rsidRPr="001268E7">
        <w:rPr>
          <w:rFonts w:cs="Times-Roman"/>
          <w:sz w:val="24"/>
          <w:szCs w:val="24"/>
        </w:rPr>
        <w:t xml:space="preserve"> </w:t>
      </w:r>
      <w:r w:rsidRPr="001268E7">
        <w:rPr>
          <w:rFonts w:cs="Calibri"/>
          <w:sz w:val="24"/>
          <w:szCs w:val="24"/>
          <w:lang w:eastAsia="pl-PL"/>
        </w:rPr>
        <w:t>Każda umowa o dofinansowanie powinna jednoznacznie stanowić, że instytucje i podmioty mogą wykonywać swoje uprawnienia kontrolne w odniesieniu do lokali, dokumentów i informacji niezależnie od nośnika, na którym są przechowywane.</w:t>
      </w:r>
      <w:r w:rsidR="004B654C" w:rsidRPr="001268E7">
        <w:rPr>
          <w:rFonts w:cs="Times-Roman"/>
          <w:sz w:val="24"/>
          <w:szCs w:val="24"/>
        </w:rPr>
        <w:t xml:space="preserve"> </w:t>
      </w:r>
      <w:r w:rsidRPr="001268E7">
        <w:rPr>
          <w:rFonts w:cs="Times-Roman"/>
          <w:sz w:val="24"/>
          <w:szCs w:val="24"/>
        </w:rPr>
        <w:t>Metody kontroli na terytorium Federacji Rosyjskiej mają być określone w Umowie Finansowej.</w:t>
      </w:r>
      <w:r w:rsidR="004B654C" w:rsidRPr="001268E7">
        <w:rPr>
          <w:rFonts w:cs="Times-Roman"/>
          <w:sz w:val="24"/>
          <w:szCs w:val="24"/>
        </w:rPr>
        <w:t xml:space="preserve"> </w:t>
      </w:r>
      <w:r w:rsidRPr="001268E7">
        <w:rPr>
          <w:rFonts w:cs="Times-Roman"/>
          <w:sz w:val="24"/>
          <w:szCs w:val="24"/>
        </w:rPr>
        <w:t xml:space="preserve">Organy Federacji Rosyjskiej są uprawnione do kontrolowania wydatków środków FR, w tym współfinansowania programu i wkładu na rzecz </w:t>
      </w:r>
      <w:r w:rsidR="003F50BC" w:rsidRPr="001268E7">
        <w:rPr>
          <w:rFonts w:cs="Times-Roman"/>
          <w:sz w:val="24"/>
          <w:szCs w:val="24"/>
        </w:rPr>
        <w:t>PT</w:t>
      </w:r>
      <w:r w:rsidR="0011293B" w:rsidRPr="001268E7">
        <w:rPr>
          <w:rFonts w:cs="Times-Roman"/>
          <w:sz w:val="24"/>
          <w:szCs w:val="24"/>
        </w:rPr>
        <w:t xml:space="preserve"> </w:t>
      </w:r>
      <w:r w:rsidRPr="001268E7">
        <w:rPr>
          <w:rFonts w:cs="Times-Roman"/>
          <w:sz w:val="24"/>
          <w:szCs w:val="24"/>
        </w:rPr>
        <w:t>na terytorium Federacji Rosyjskiej.</w:t>
      </w:r>
    </w:p>
    <w:p w:rsidR="004B654C" w:rsidRPr="001268E7" w:rsidRDefault="004B654C" w:rsidP="004B654C">
      <w:pPr>
        <w:rPr>
          <w:sz w:val="24"/>
          <w:szCs w:val="24"/>
        </w:rPr>
      </w:pPr>
    </w:p>
    <w:p w:rsidR="004B654C" w:rsidRPr="001046AF" w:rsidRDefault="0011293B" w:rsidP="001046AF">
      <w:pPr>
        <w:pStyle w:val="Nagwek2"/>
      </w:pPr>
      <w:bookmarkStart w:id="56" w:name="_Toc530737589"/>
      <w:bookmarkEnd w:id="55"/>
      <w:r w:rsidRPr="001046AF">
        <w:t>4.7 Zasady dotyczące zamówień publicznych ogłaszanych przez beneficjentów oraz inne zasad</w:t>
      </w:r>
      <w:r w:rsidR="00E103C7" w:rsidRPr="001046AF">
        <w:t>y, których należy przestrzegać</w:t>
      </w:r>
      <w:bookmarkEnd w:id="56"/>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 xml:space="preserve">Procedury przetargowe na poziomie poszczególnych projektów uzależnione są od narodowości </w:t>
      </w:r>
      <w:r w:rsidR="00E103C7" w:rsidRPr="001268E7">
        <w:rPr>
          <w:rFonts w:cs="Calibri"/>
          <w:sz w:val="24"/>
          <w:szCs w:val="24"/>
          <w:lang w:eastAsia="pl-PL"/>
        </w:rPr>
        <w:t xml:space="preserve">i </w:t>
      </w:r>
      <w:r w:rsidRPr="001268E7">
        <w:rPr>
          <w:rFonts w:cs="Calibri"/>
          <w:sz w:val="24"/>
          <w:szCs w:val="24"/>
          <w:lang w:eastAsia="pl-PL"/>
        </w:rPr>
        <w:t>statusu prawnego beneficjenta ogłaszającego przetarg.</w:t>
      </w:r>
      <w:r w:rsidR="004B654C" w:rsidRPr="001268E7">
        <w:rPr>
          <w:rFonts w:cs="Calibri"/>
          <w:sz w:val="24"/>
          <w:szCs w:val="24"/>
        </w:rPr>
        <w:t xml:space="preserve"> </w:t>
      </w:r>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 xml:space="preserve">Beneficjenci mający siedzibę na terenie </w:t>
      </w:r>
      <w:r w:rsidRPr="001268E7">
        <w:rPr>
          <w:rFonts w:cs="Calibri"/>
          <w:b/>
          <w:sz w:val="24"/>
          <w:szCs w:val="24"/>
          <w:lang w:eastAsia="pl-PL"/>
        </w:rPr>
        <w:t>Polski</w:t>
      </w:r>
      <w:r w:rsidR="00E103C7" w:rsidRPr="001268E7">
        <w:rPr>
          <w:rFonts w:cs="Calibri"/>
          <w:sz w:val="24"/>
          <w:szCs w:val="24"/>
          <w:lang w:eastAsia="pl-PL"/>
        </w:rPr>
        <w:t xml:space="preserve"> zobowiązani są</w:t>
      </w:r>
      <w:r w:rsidRPr="001268E7">
        <w:rPr>
          <w:rFonts w:cs="Calibri"/>
          <w:sz w:val="24"/>
          <w:szCs w:val="24"/>
          <w:lang w:eastAsia="pl-PL"/>
        </w:rPr>
        <w:t xml:space="preserve"> postępować zgodnie z przepisami polskiego prawa zamówień publicznych spójnego z ustawodawstwem unijnym dotyczącym procedur zamówień publicznych.</w:t>
      </w:r>
      <w:r w:rsidR="004B654C" w:rsidRPr="001268E7">
        <w:rPr>
          <w:rFonts w:cs="Calibri"/>
          <w:sz w:val="24"/>
          <w:szCs w:val="24"/>
        </w:rPr>
        <w:t xml:space="preserve"> </w:t>
      </w:r>
    </w:p>
    <w:p w:rsidR="004B654C" w:rsidRPr="001268E7" w:rsidRDefault="0011293B" w:rsidP="0011293B">
      <w:pPr>
        <w:spacing w:before="100" w:beforeAutospacing="1" w:after="100" w:afterAutospacing="1" w:line="240" w:lineRule="auto"/>
        <w:jc w:val="both"/>
        <w:rPr>
          <w:sz w:val="24"/>
          <w:szCs w:val="24"/>
        </w:rPr>
      </w:pPr>
      <w:r w:rsidRPr="001268E7">
        <w:rPr>
          <w:rFonts w:cs="Calibri"/>
          <w:sz w:val="24"/>
          <w:szCs w:val="24"/>
        </w:rPr>
        <w:t xml:space="preserve">Beneficjenci z </w:t>
      </w:r>
      <w:r w:rsidRPr="001268E7">
        <w:rPr>
          <w:rFonts w:cs="Calibri"/>
          <w:b/>
          <w:sz w:val="24"/>
          <w:szCs w:val="24"/>
        </w:rPr>
        <w:t>Federacji Rosyjskiej</w:t>
      </w:r>
      <w:r w:rsidRPr="001268E7">
        <w:rPr>
          <w:rFonts w:cs="Calibri"/>
          <w:sz w:val="24"/>
          <w:szCs w:val="24"/>
        </w:rPr>
        <w:t xml:space="preserve"> muszą postępować zgodnie z zasadami określonymi w Umowie Finansowej.</w:t>
      </w:r>
    </w:p>
    <w:p w:rsidR="004B654C" w:rsidRPr="00666F85" w:rsidRDefault="0011293B" w:rsidP="008E629E">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Kwalifikowalność umów</w:t>
      </w:r>
    </w:p>
    <w:p w:rsidR="004B654C" w:rsidRDefault="0011293B" w:rsidP="0011293B">
      <w:p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t>We wszystkich przypadkach zastosowanie mają zasady dotyczące reguł narodowości i pochodzenia</w:t>
      </w:r>
      <w:r w:rsidR="004B654C" w:rsidRPr="001268E7">
        <w:rPr>
          <w:rFonts w:cs="Calibri"/>
          <w:sz w:val="24"/>
          <w:szCs w:val="24"/>
        </w:rPr>
        <w:t xml:space="preserve"> </w:t>
      </w:r>
      <w:r w:rsidRPr="001268E7">
        <w:rPr>
          <w:rFonts w:cs="Calibri"/>
          <w:sz w:val="24"/>
          <w:szCs w:val="24"/>
          <w:lang w:eastAsia="pl-PL"/>
        </w:rPr>
        <w:t>określone w art. 8 i 9 rozporządzenia (UE) nr 236/2014 Parlamentu Europejskiego i Rady z dnia 11 marca 2014 r., ustanawiającego wspólne zasady i procedury wdrażania unijnych instrumentów na rzecz fi</w:t>
      </w:r>
      <w:r w:rsidR="00E103C7" w:rsidRPr="001268E7">
        <w:rPr>
          <w:rFonts w:cs="Calibri"/>
          <w:sz w:val="24"/>
          <w:szCs w:val="24"/>
          <w:lang w:eastAsia="pl-PL"/>
        </w:rPr>
        <w:t>nansowania działań zewnętrznych i umowy finansowej.</w:t>
      </w:r>
    </w:p>
    <w:p w:rsidR="00130B1C" w:rsidRPr="00F4406E" w:rsidRDefault="00130B1C" w:rsidP="0011293B">
      <w:pPr>
        <w:autoSpaceDE w:val="0"/>
        <w:autoSpaceDN w:val="0"/>
        <w:adjustRightInd w:val="0"/>
        <w:spacing w:before="100" w:beforeAutospacing="1" w:after="100" w:afterAutospacing="1" w:line="240" w:lineRule="auto"/>
        <w:jc w:val="both"/>
        <w:rPr>
          <w:rFonts w:asciiTheme="minorHAnsi" w:hAnsiTheme="minorHAnsi" w:cstheme="minorHAnsi"/>
          <w:sz w:val="24"/>
          <w:szCs w:val="24"/>
        </w:rPr>
      </w:pPr>
      <w:r w:rsidRPr="00F4406E">
        <w:rPr>
          <w:rFonts w:asciiTheme="minorHAnsi" w:hAnsiTheme="minorHAnsi" w:cstheme="minorHAnsi"/>
          <w:sz w:val="24"/>
          <w:szCs w:val="24"/>
        </w:rPr>
        <w:t>Odpowiednie zapisy Porozumienia Finansowego mają zastosowanie do rosyjskich beneficjentów.</w:t>
      </w:r>
    </w:p>
    <w:p w:rsidR="00002973" w:rsidRDefault="00002973" w:rsidP="008E629E">
      <w:pPr>
        <w:autoSpaceDE w:val="0"/>
        <w:autoSpaceDN w:val="0"/>
        <w:adjustRightInd w:val="0"/>
        <w:spacing w:before="100" w:beforeAutospacing="1" w:after="100" w:afterAutospacing="1" w:line="240" w:lineRule="auto"/>
        <w:jc w:val="both"/>
        <w:rPr>
          <w:rFonts w:asciiTheme="minorHAnsi" w:hAnsiTheme="minorHAnsi"/>
          <w:b/>
          <w:i/>
          <w:sz w:val="24"/>
          <w:u w:val="single"/>
        </w:rPr>
      </w:pPr>
    </w:p>
    <w:p w:rsidR="004B654C" w:rsidRPr="00666F85" w:rsidRDefault="0011293B" w:rsidP="008E629E">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lastRenderedPageBreak/>
        <w:t>Przyczyny wykluczenia z udziału w procedurach przetargowych</w:t>
      </w:r>
      <w:r w:rsidR="004B654C" w:rsidRPr="00666F85">
        <w:rPr>
          <w:rFonts w:asciiTheme="minorHAnsi" w:hAnsiTheme="minorHAnsi"/>
          <w:b/>
          <w:i/>
          <w:sz w:val="24"/>
          <w:u w:val="single"/>
        </w:rPr>
        <w:t xml:space="preserve"> </w:t>
      </w:r>
    </w:p>
    <w:p w:rsidR="004B654C" w:rsidRDefault="0011293B" w:rsidP="0011293B">
      <w:pPr>
        <w:autoSpaceDE w:val="0"/>
        <w:autoSpaceDN w:val="0"/>
        <w:adjustRightInd w:val="0"/>
        <w:spacing w:before="120" w:after="120" w:line="240" w:lineRule="auto"/>
        <w:jc w:val="both"/>
        <w:rPr>
          <w:rFonts w:cs="Times-Roman"/>
          <w:sz w:val="24"/>
          <w:szCs w:val="24"/>
        </w:rPr>
      </w:pPr>
      <w:r w:rsidRPr="001268E7">
        <w:rPr>
          <w:rFonts w:cs="Calibri"/>
          <w:sz w:val="24"/>
          <w:szCs w:val="24"/>
          <w:lang w:eastAsia="pl-PL"/>
        </w:rPr>
        <w:t>Kandydaci lub oferenci są wykluczani z udziału w postępowaniu o udzielenie zamówienia, jeśli znajdują się w jednej z sytuacji opisanych w art. 106(1) i art. 107 rozporządzenia (UE, Euratom)</w:t>
      </w:r>
      <w:r w:rsidR="00650AC0" w:rsidRPr="001268E7">
        <w:rPr>
          <w:rFonts w:cs="Times-Roman"/>
          <w:sz w:val="24"/>
          <w:szCs w:val="24"/>
        </w:rPr>
        <w:t xml:space="preserve"> </w:t>
      </w:r>
      <w:r w:rsidRPr="001268E7">
        <w:rPr>
          <w:rFonts w:cs="Calibri"/>
          <w:sz w:val="24"/>
          <w:szCs w:val="24"/>
          <w:lang w:eastAsia="pl-PL"/>
        </w:rPr>
        <w:t>nr 966/2012.</w:t>
      </w:r>
      <w:r w:rsidR="004B654C" w:rsidRPr="001268E7">
        <w:rPr>
          <w:rFonts w:cs="Times-Roman"/>
          <w:sz w:val="24"/>
          <w:szCs w:val="24"/>
        </w:rPr>
        <w:t xml:space="preserve"> </w:t>
      </w:r>
    </w:p>
    <w:p w:rsidR="00391E88" w:rsidRPr="001268E7" w:rsidRDefault="00391E88" w:rsidP="0011293B">
      <w:pPr>
        <w:autoSpaceDE w:val="0"/>
        <w:autoSpaceDN w:val="0"/>
        <w:adjustRightInd w:val="0"/>
        <w:spacing w:before="120" w:after="120" w:line="240" w:lineRule="auto"/>
        <w:jc w:val="both"/>
        <w:rPr>
          <w:rFonts w:cs="Times-Roman"/>
          <w:sz w:val="24"/>
          <w:szCs w:val="24"/>
        </w:rPr>
      </w:pPr>
      <w:r w:rsidRPr="00F4406E">
        <w:rPr>
          <w:rFonts w:asciiTheme="minorHAnsi" w:hAnsiTheme="minorHAnsi" w:cstheme="minorHAnsi"/>
          <w:sz w:val="24"/>
          <w:szCs w:val="24"/>
        </w:rPr>
        <w:t>Odpowiednie zapisy Porozumienia Finansowego mają zastosowanie do rosyjskich beneficjentów.</w:t>
      </w:r>
    </w:p>
    <w:p w:rsidR="004B654C" w:rsidRPr="00666F85" w:rsidRDefault="0011293B" w:rsidP="008E629E">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Pomoc publiczna, równość szans i zasady dotyczące środowiska naturalnego</w:t>
      </w:r>
      <w:r w:rsidR="004B654C" w:rsidRPr="00666F85">
        <w:rPr>
          <w:rFonts w:asciiTheme="minorHAnsi" w:hAnsiTheme="minorHAnsi"/>
          <w:b/>
          <w:i/>
          <w:sz w:val="24"/>
          <w:u w:val="single"/>
        </w:rPr>
        <w:t xml:space="preserve"> </w:t>
      </w:r>
    </w:p>
    <w:p w:rsidR="004B654C" w:rsidRPr="001268E7" w:rsidRDefault="0011293B" w:rsidP="001046AF">
      <w:pPr>
        <w:autoSpaceDE w:val="0"/>
        <w:autoSpaceDN w:val="0"/>
        <w:adjustRightInd w:val="0"/>
        <w:spacing w:before="120" w:after="120" w:line="240" w:lineRule="auto"/>
        <w:jc w:val="both"/>
      </w:pPr>
      <w:r w:rsidRPr="001268E7">
        <w:rPr>
          <w:rFonts w:cs="Calibri"/>
          <w:sz w:val="24"/>
          <w:szCs w:val="24"/>
          <w:lang w:eastAsia="pl-PL"/>
        </w:rPr>
        <w:t>Właściwe zasady UE dotyczące pomocy publicznej zostaną wzięte pod uwagę w trakcie wdrażania Programu na terytorium UE.</w:t>
      </w:r>
      <w:r w:rsidR="004B654C" w:rsidRPr="001268E7">
        <w:rPr>
          <w:rFonts w:cs="Calibri"/>
          <w:bCs/>
          <w:color w:val="000000"/>
          <w:sz w:val="24"/>
          <w:szCs w:val="24"/>
        </w:rPr>
        <w:t xml:space="preserve"> </w:t>
      </w:r>
      <w:r w:rsidRPr="001268E7">
        <w:rPr>
          <w:rFonts w:cs="Calibri"/>
          <w:bCs/>
          <w:color w:val="000000"/>
          <w:sz w:val="24"/>
          <w:szCs w:val="24"/>
        </w:rPr>
        <w:t>W razie konieczności, na terytorium Rosji zastosowane zostaną właściwe rosyjskie przepisy prawa dotyczące konkurencji.</w:t>
      </w:r>
    </w:p>
    <w:p w:rsidR="004B654C" w:rsidRPr="001268E7" w:rsidRDefault="0011293B" w:rsidP="001046AF">
      <w:pPr>
        <w:pStyle w:val="Nagwek2"/>
      </w:pPr>
      <w:bookmarkStart w:id="57" w:name="_Toc530737590"/>
      <w:r w:rsidRPr="001268E7">
        <w:t>4.8 System monitorowania i oceny</w:t>
      </w:r>
      <w:bookmarkEnd w:id="57"/>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Jedną z funkcji, jakie IZ realizuje w ramach zarządzania Programem, jest realizacja planów dotyczących monitorowania i oceny.</w:t>
      </w:r>
      <w:r w:rsidR="004B654C" w:rsidRPr="001268E7">
        <w:rPr>
          <w:rFonts w:cs="Calibri"/>
          <w:sz w:val="24"/>
          <w:szCs w:val="24"/>
        </w:rPr>
        <w:t xml:space="preserve"> </w:t>
      </w:r>
      <w:r w:rsidRPr="001268E7">
        <w:rPr>
          <w:rFonts w:cs="Calibri"/>
          <w:sz w:val="24"/>
          <w:szCs w:val="24"/>
          <w:lang w:eastAsia="pl-PL"/>
        </w:rPr>
        <w:t>Monitorowanie i ocena Programu mają za zadanie ulepszenie jakości projektowania i wdrażania oraz dokonanie oceny i poprawienie spójności, efektywności, skuteczności i oddziaływania.</w:t>
      </w:r>
      <w:r w:rsidR="004B654C" w:rsidRPr="001268E7">
        <w:rPr>
          <w:rFonts w:cs="Calibri"/>
          <w:sz w:val="24"/>
          <w:szCs w:val="24"/>
        </w:rPr>
        <w:t xml:space="preserve"> </w:t>
      </w:r>
      <w:r w:rsidRPr="001268E7">
        <w:rPr>
          <w:rFonts w:cs="Calibri"/>
          <w:sz w:val="24"/>
          <w:szCs w:val="24"/>
          <w:lang w:eastAsia="pl-PL"/>
        </w:rPr>
        <w:t>Wyniki monitorowania i oceny powinny być wzięte pod uwagę w cyklu programowania i wdrażania.</w:t>
      </w:r>
    </w:p>
    <w:p w:rsidR="004B654C" w:rsidRPr="00666F85" w:rsidRDefault="0011293B" w:rsidP="0011293B">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Monitorowanie</w:t>
      </w:r>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 xml:space="preserve">Monitorowanie to proces ciągłego gromadzenia i wykorzystywania ustandaryzowanych informacji w celu dokonywania oceny postępów na drodze do realizacji celów, poziomu wykorzystania </w:t>
      </w:r>
      <w:r w:rsidR="00E103C7" w:rsidRPr="001268E7">
        <w:rPr>
          <w:rFonts w:cs="Calibri"/>
          <w:sz w:val="24"/>
          <w:szCs w:val="24"/>
          <w:lang w:eastAsia="pl-PL"/>
        </w:rPr>
        <w:t>zasobów oraz osiąganych wyników</w:t>
      </w:r>
      <w:r w:rsidRPr="001268E7">
        <w:rPr>
          <w:rFonts w:cs="Calibri"/>
          <w:sz w:val="24"/>
          <w:szCs w:val="24"/>
          <w:lang w:eastAsia="pl-PL"/>
        </w:rPr>
        <w:t xml:space="preserve"> i oddziaływania.</w:t>
      </w:r>
      <w:r w:rsidR="004B654C" w:rsidRPr="001268E7">
        <w:rPr>
          <w:rFonts w:cs="Calibri"/>
          <w:sz w:val="24"/>
          <w:szCs w:val="24"/>
        </w:rPr>
        <w:t xml:space="preserve"> </w:t>
      </w:r>
      <w:r w:rsidRPr="001268E7">
        <w:rPr>
          <w:rFonts w:cs="Calibri"/>
          <w:sz w:val="24"/>
          <w:szCs w:val="24"/>
          <w:lang w:eastAsia="pl-PL"/>
        </w:rPr>
        <w:t>Regularne wykonywanie czynności monitorujących powinno pozwolić na uzyskanie szczegółowych informacji (dotyczących głównie wyników i rezultatów osiąganych w ramach projektów oraz Programu, stopnia absorpcji środków finansowych oraz jakości mechanizmów wdrażania) oraz na wykrywanie wszelkich sygnałów ostrzegawczych.</w:t>
      </w:r>
      <w:r w:rsidR="004B654C" w:rsidRPr="001268E7">
        <w:rPr>
          <w:rFonts w:cs="Calibri"/>
          <w:sz w:val="24"/>
          <w:szCs w:val="24"/>
        </w:rPr>
        <w:t xml:space="preserve"> </w:t>
      </w:r>
      <w:r w:rsidRPr="001268E7">
        <w:rPr>
          <w:rFonts w:cs="Calibri"/>
          <w:sz w:val="24"/>
          <w:szCs w:val="24"/>
        </w:rPr>
        <w:t xml:space="preserve">Działania </w:t>
      </w:r>
      <w:r w:rsidRPr="001268E7">
        <w:rPr>
          <w:rFonts w:cs="Calibri"/>
          <w:sz w:val="24"/>
          <w:szCs w:val="24"/>
          <w:lang w:eastAsia="pl-PL"/>
        </w:rPr>
        <w:t>te zazwyczaj obejmują dokonywanie oceny z punktu widzenia realizacji uzgodnionych wskaźników i celów (określonych w punkcie 3.1.6 WPO).</w:t>
      </w:r>
      <w:r w:rsidR="004B654C" w:rsidRPr="001268E7">
        <w:rPr>
          <w:rFonts w:cs="Calibri"/>
          <w:sz w:val="24"/>
          <w:szCs w:val="24"/>
        </w:rPr>
        <w:t xml:space="preserve"> </w:t>
      </w:r>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Wraz z informacjami dotyczącymi oceny, skuteczne monitorowanie i raportowanie powinno być w stanie dostarczać decydentom i interesariuszom potrzebnej im wiedzy, dzięki któr</w:t>
      </w:r>
      <w:r w:rsidR="003764E9" w:rsidRPr="001268E7">
        <w:rPr>
          <w:rFonts w:cs="Calibri"/>
          <w:sz w:val="24"/>
          <w:szCs w:val="24"/>
          <w:lang w:eastAsia="pl-PL"/>
        </w:rPr>
        <w:t>ej będą oni w stanie stwierdzić</w:t>
      </w:r>
      <w:r w:rsidRPr="001268E7">
        <w:rPr>
          <w:rFonts w:cs="Calibri"/>
          <w:sz w:val="24"/>
          <w:szCs w:val="24"/>
          <w:lang w:eastAsia="pl-PL"/>
        </w:rPr>
        <w:t xml:space="preserve"> czy proces wdrażania Programu odbywa się zgodnie z oczekiwaniami oraz będą mogli na bi</w:t>
      </w:r>
      <w:r w:rsidR="003764E9" w:rsidRPr="001268E7">
        <w:rPr>
          <w:rFonts w:cs="Calibri"/>
          <w:sz w:val="24"/>
          <w:szCs w:val="24"/>
          <w:lang w:eastAsia="pl-PL"/>
        </w:rPr>
        <w:t>eżąco zarządzać realizacją</w:t>
      </w:r>
      <w:r w:rsidRPr="001268E7">
        <w:rPr>
          <w:rFonts w:cs="Calibri"/>
          <w:sz w:val="24"/>
          <w:szCs w:val="24"/>
          <w:lang w:eastAsia="pl-PL"/>
        </w:rPr>
        <w:t xml:space="preserve"> inicjatywy.</w:t>
      </w:r>
      <w:r w:rsidR="004B654C" w:rsidRPr="001268E7">
        <w:rPr>
          <w:rFonts w:cs="Calibri"/>
          <w:sz w:val="24"/>
          <w:szCs w:val="24"/>
        </w:rPr>
        <w:t xml:space="preserve"> </w:t>
      </w:r>
      <w:r w:rsidRPr="001268E7">
        <w:rPr>
          <w:rFonts w:cs="Calibri"/>
          <w:sz w:val="24"/>
          <w:szCs w:val="24"/>
          <w:lang w:eastAsia="pl-PL"/>
        </w:rPr>
        <w:t xml:space="preserve">Monitorowanie stanowi podstawę do dokonania oceny i powinno dostarczać cennych </w:t>
      </w:r>
      <w:r w:rsidR="003764E9" w:rsidRPr="001268E7">
        <w:rPr>
          <w:rFonts w:cs="Calibri"/>
          <w:sz w:val="24"/>
          <w:szCs w:val="24"/>
          <w:lang w:eastAsia="pl-PL"/>
        </w:rPr>
        <w:t>danych potrzebnych do ustalenia</w:t>
      </w:r>
      <w:r w:rsidRPr="001268E7">
        <w:rPr>
          <w:rFonts w:cs="Calibri"/>
          <w:sz w:val="24"/>
          <w:szCs w:val="24"/>
          <w:lang w:eastAsia="pl-PL"/>
        </w:rPr>
        <w:t xml:space="preserve"> czy dokonanie oceny na poziomie Programu jest potrzebne, a jeżeli tak – to w jakim terminie i na czym powinno się koncentrować.</w:t>
      </w:r>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IZ/WST stworzy i zapewni obsługę systemu komputerowego pozwalającego na zapisywanie i przechowywanie danych dotyczących każdego projektu finansowanego w ramach Programu.</w:t>
      </w:r>
      <w:r w:rsidR="004B654C" w:rsidRPr="001268E7">
        <w:rPr>
          <w:rFonts w:cs="Calibri"/>
          <w:sz w:val="24"/>
          <w:szCs w:val="24"/>
        </w:rPr>
        <w:t xml:space="preserve"> </w:t>
      </w:r>
      <w:r w:rsidRPr="001268E7">
        <w:rPr>
          <w:rFonts w:cs="Calibri"/>
          <w:sz w:val="24"/>
          <w:szCs w:val="24"/>
        </w:rPr>
        <w:t xml:space="preserve">System </w:t>
      </w:r>
      <w:r w:rsidRPr="001268E7">
        <w:rPr>
          <w:rFonts w:cs="Calibri"/>
          <w:sz w:val="24"/>
          <w:szCs w:val="24"/>
          <w:lang w:eastAsia="pl-PL"/>
        </w:rPr>
        <w:t xml:space="preserve">archiwizować będzie </w:t>
      </w:r>
      <w:r w:rsidR="003764E9" w:rsidRPr="001268E7">
        <w:rPr>
          <w:rFonts w:cs="Calibri"/>
          <w:sz w:val="24"/>
          <w:szCs w:val="24"/>
          <w:lang w:eastAsia="pl-PL"/>
        </w:rPr>
        <w:t xml:space="preserve">wszystkie </w:t>
      </w:r>
      <w:r w:rsidRPr="001268E7">
        <w:rPr>
          <w:rFonts w:cs="Calibri"/>
          <w:sz w:val="24"/>
          <w:szCs w:val="24"/>
          <w:lang w:eastAsia="pl-PL"/>
        </w:rPr>
        <w:t>informacje niezbędne do monitorowania, oceny, zarządzania finansami, kontroli i audytu, wliczając w to dane dotyczące indywidualnych uczestników projektów, w stosownych przypadkach.</w:t>
      </w:r>
      <w:r w:rsidR="004B654C" w:rsidRPr="001268E7">
        <w:rPr>
          <w:rFonts w:cs="Calibri"/>
          <w:sz w:val="24"/>
          <w:szCs w:val="24"/>
        </w:rPr>
        <w:t xml:space="preserve"> </w:t>
      </w:r>
      <w:r w:rsidRPr="001268E7">
        <w:rPr>
          <w:rFonts w:cs="Calibri"/>
          <w:sz w:val="24"/>
          <w:szCs w:val="24"/>
          <w:lang w:eastAsia="pl-PL"/>
        </w:rPr>
        <w:t xml:space="preserve">W szczególności, rejestracji i </w:t>
      </w:r>
      <w:r w:rsidRPr="001268E7">
        <w:rPr>
          <w:rFonts w:cs="Calibri"/>
          <w:sz w:val="24"/>
          <w:szCs w:val="24"/>
          <w:lang w:eastAsia="pl-PL"/>
        </w:rPr>
        <w:lastRenderedPageBreak/>
        <w:t>przechowywaniu podlegały będą raporty techniczne i finansowe dotyczące każdego projektu.</w:t>
      </w:r>
      <w:r w:rsidR="004B654C" w:rsidRPr="001268E7">
        <w:rPr>
          <w:rFonts w:cs="Calibri"/>
          <w:sz w:val="24"/>
          <w:szCs w:val="24"/>
        </w:rPr>
        <w:t xml:space="preserve"> </w:t>
      </w:r>
      <w:r w:rsidRPr="001268E7">
        <w:rPr>
          <w:rFonts w:cs="Calibri"/>
          <w:sz w:val="24"/>
          <w:szCs w:val="24"/>
          <w:lang w:eastAsia="pl-PL"/>
        </w:rPr>
        <w:t>System dostarczał będzie kompletu niezbędnych danych na potrzeby sporządzania wniosków o płatność i sprawozdań rocznych, włączając dane na temat możliwych do odzyskania kwot, kwot odzyskanych oraz kwot obniżonych w następstwie anulowania całości bądź części wkładu w odniesieniu do projektu bądź Programu.</w:t>
      </w:r>
      <w:r w:rsidR="004B654C" w:rsidRPr="001268E7">
        <w:rPr>
          <w:rFonts w:cs="Calibri"/>
          <w:sz w:val="24"/>
          <w:szCs w:val="24"/>
        </w:rPr>
        <w:t xml:space="preserve"> </w:t>
      </w:r>
      <w:r w:rsidRPr="001268E7">
        <w:rPr>
          <w:rFonts w:cs="Calibri"/>
          <w:sz w:val="24"/>
          <w:szCs w:val="24"/>
          <w:lang w:eastAsia="pl-PL"/>
        </w:rPr>
        <w:t>System monitorowania Programu służył będzie do gromadzenia i przechowywania niezbędnych informacji na temat projektu oraz Programu i pozwoli zapewnić możliwość komunikowania się z beneficjentami drogą elektroniczną.</w:t>
      </w:r>
      <w:r w:rsidR="004B654C" w:rsidRPr="001268E7">
        <w:rPr>
          <w:rFonts w:cs="Calibri"/>
          <w:sz w:val="24"/>
          <w:szCs w:val="24"/>
        </w:rPr>
        <w:t xml:space="preserve"> </w:t>
      </w:r>
      <w:r w:rsidRPr="001268E7">
        <w:rPr>
          <w:rFonts w:cs="Calibri"/>
          <w:sz w:val="24"/>
          <w:szCs w:val="24"/>
          <w:lang w:eastAsia="pl-PL"/>
        </w:rPr>
        <w:t>Wszystkie informacje wprowadzane będą do systemu w sposób regularny.</w:t>
      </w:r>
      <w:r w:rsidR="004B654C" w:rsidRPr="001268E7">
        <w:rPr>
          <w:rFonts w:cs="Calibri"/>
          <w:sz w:val="24"/>
          <w:szCs w:val="24"/>
        </w:rPr>
        <w:t xml:space="preserve"> </w:t>
      </w:r>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 xml:space="preserve">Coroczne raporty z wdrażania, przekazywane KE </w:t>
      </w:r>
      <w:r w:rsidR="000515A9">
        <w:rPr>
          <w:rFonts w:cs="Calibri"/>
          <w:sz w:val="24"/>
          <w:szCs w:val="24"/>
          <w:lang w:eastAsia="pl-PL"/>
        </w:rPr>
        <w:t xml:space="preserve">i IK </w:t>
      </w:r>
      <w:r w:rsidRPr="001268E7">
        <w:rPr>
          <w:rFonts w:cs="Calibri"/>
          <w:sz w:val="24"/>
          <w:szCs w:val="24"/>
          <w:lang w:eastAsia="pl-PL"/>
        </w:rPr>
        <w:t>po ich zatwierdzeniu przez WKM, stanowią jeden z kluczowych elementów procesu monitorowania Programu operacyjnego.</w:t>
      </w:r>
      <w:r w:rsidR="004B654C" w:rsidRPr="001268E7">
        <w:rPr>
          <w:rFonts w:cs="Calibri"/>
          <w:sz w:val="24"/>
          <w:szCs w:val="24"/>
        </w:rPr>
        <w:t xml:space="preserve"> </w:t>
      </w:r>
      <w:r w:rsidRPr="001268E7">
        <w:rPr>
          <w:rFonts w:cs="Calibri"/>
          <w:sz w:val="24"/>
          <w:szCs w:val="24"/>
          <w:lang w:eastAsia="pl-PL"/>
        </w:rPr>
        <w:t>Tego rodzaju raporty zawierały będą informacje techniczne i finansowe dotyczące poprzedniego roku obrachunkowego.</w:t>
      </w:r>
      <w:r w:rsidR="004B654C" w:rsidRPr="001268E7">
        <w:rPr>
          <w:rFonts w:cs="Calibri"/>
          <w:sz w:val="24"/>
          <w:szCs w:val="24"/>
        </w:rPr>
        <w:t xml:space="preserve"> </w:t>
      </w:r>
      <w:r w:rsidRPr="001268E7">
        <w:rPr>
          <w:rFonts w:cs="Calibri"/>
          <w:sz w:val="24"/>
          <w:szCs w:val="24"/>
          <w:lang w:eastAsia="pl-PL"/>
        </w:rPr>
        <w:t>Poczynając od raportu za 2016 r., zawierały one będą np. podstawowe informacje na temat implementacji Programu i jego CT, wszelkich zagadnień mających wpływ na realizację Programu</w:t>
      </w:r>
      <w:r w:rsidR="003764E9" w:rsidRPr="001268E7">
        <w:rPr>
          <w:rFonts w:cs="Calibri"/>
          <w:sz w:val="24"/>
          <w:szCs w:val="24"/>
          <w:lang w:eastAsia="pl-PL"/>
        </w:rPr>
        <w:t>,</w:t>
      </w:r>
      <w:r w:rsidRPr="001268E7">
        <w:rPr>
          <w:rFonts w:cs="Calibri"/>
          <w:sz w:val="24"/>
          <w:szCs w:val="24"/>
          <w:lang w:eastAsia="pl-PL"/>
        </w:rPr>
        <w:t xml:space="preserve"> wliczając w to osiągnięcie wymaganych wartości wskaźników rezultatów Programu oraz postępy poczynione na drodze ku realizacji celów Programu.</w:t>
      </w:r>
      <w:r w:rsidR="004B654C" w:rsidRPr="001268E7">
        <w:rPr>
          <w:rFonts w:cs="Calibri"/>
          <w:sz w:val="24"/>
          <w:szCs w:val="24"/>
        </w:rPr>
        <w:t xml:space="preserve"> </w:t>
      </w:r>
      <w:r w:rsidRPr="001268E7">
        <w:rPr>
          <w:rFonts w:cs="Calibri"/>
          <w:sz w:val="24"/>
          <w:szCs w:val="24"/>
          <w:lang w:eastAsia="pl-PL"/>
        </w:rPr>
        <w:t>Ponadto</w:t>
      </w:r>
      <w:r w:rsidR="003764E9" w:rsidRPr="001268E7">
        <w:rPr>
          <w:rFonts w:cs="Calibri"/>
          <w:sz w:val="24"/>
          <w:szCs w:val="24"/>
          <w:lang w:eastAsia="pl-PL"/>
        </w:rPr>
        <w:t>,</w:t>
      </w:r>
      <w:r w:rsidRPr="001268E7">
        <w:rPr>
          <w:rFonts w:cs="Calibri"/>
          <w:sz w:val="24"/>
          <w:szCs w:val="24"/>
          <w:lang w:eastAsia="pl-PL"/>
        </w:rPr>
        <w:t xml:space="preserve"> każdego roku przekazywane będą także informacje dotyczące projektó</w:t>
      </w:r>
      <w:r w:rsidR="003764E9" w:rsidRPr="001268E7">
        <w:rPr>
          <w:rFonts w:cs="Calibri"/>
          <w:sz w:val="24"/>
          <w:szCs w:val="24"/>
          <w:lang w:eastAsia="pl-PL"/>
        </w:rPr>
        <w:t>w, ich oceny, ostatecznej</w:t>
      </w:r>
      <w:r w:rsidRPr="001268E7">
        <w:rPr>
          <w:rFonts w:cs="Calibri"/>
          <w:sz w:val="24"/>
          <w:szCs w:val="24"/>
          <w:lang w:eastAsia="pl-PL"/>
        </w:rPr>
        <w:t xml:space="preserve"> decyzji na temat współfinansowania oraz inne informacje o charakterze szczegółowym.</w:t>
      </w:r>
      <w:r w:rsidR="004B654C" w:rsidRPr="001268E7">
        <w:rPr>
          <w:rFonts w:cs="Calibri"/>
          <w:sz w:val="24"/>
          <w:szCs w:val="24"/>
        </w:rPr>
        <w:t xml:space="preserve"> </w:t>
      </w:r>
      <w:r w:rsidRPr="001268E7">
        <w:rPr>
          <w:rFonts w:cs="Calibri"/>
          <w:sz w:val="24"/>
          <w:szCs w:val="24"/>
          <w:lang w:eastAsia="pl-PL"/>
        </w:rPr>
        <w:t>Raport za rok 2023 oraz raport końcowy zawierać będą elementy wskazane powyżej, a także informacje dotyczące wkładu w realizację pierwotnych celów Programu oraz oceny tego wkładu.</w:t>
      </w:r>
    </w:p>
    <w:p w:rsidR="004B654C" w:rsidRPr="001268E7" w:rsidRDefault="0011293B" w:rsidP="0011293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Oprócz danych wymaganych w odniesieniu do raportów rocznych IZ może także potrzebować gromadzić inne dane.</w:t>
      </w:r>
      <w:r w:rsidR="004B654C" w:rsidRPr="001268E7">
        <w:rPr>
          <w:rFonts w:cs="Calibri"/>
          <w:sz w:val="24"/>
          <w:szCs w:val="24"/>
        </w:rPr>
        <w:t xml:space="preserve"> </w:t>
      </w:r>
    </w:p>
    <w:p w:rsidR="004B654C" w:rsidRPr="00666F85" w:rsidRDefault="00F911B6" w:rsidP="0011293B">
      <w:pPr>
        <w:autoSpaceDE w:val="0"/>
        <w:autoSpaceDN w:val="0"/>
        <w:adjustRightInd w:val="0"/>
        <w:spacing w:before="100" w:beforeAutospacing="1" w:after="100" w:afterAutospacing="1" w:line="240" w:lineRule="auto"/>
        <w:jc w:val="both"/>
        <w:rPr>
          <w:rFonts w:asciiTheme="minorHAnsi" w:hAnsiTheme="minorHAnsi"/>
          <w:b/>
          <w:i/>
          <w:sz w:val="24"/>
          <w:u w:val="single"/>
        </w:rPr>
      </w:pPr>
      <w:r>
        <w:rPr>
          <w:rFonts w:asciiTheme="minorHAnsi" w:hAnsiTheme="minorHAnsi"/>
          <w:b/>
          <w:i/>
          <w:sz w:val="24"/>
          <w:u w:val="single"/>
        </w:rPr>
        <w:t>Ewaluacja</w:t>
      </w:r>
    </w:p>
    <w:p w:rsidR="004B654C" w:rsidRPr="001268E7" w:rsidRDefault="00F911B6" w:rsidP="00941BCB">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lang w:eastAsia="pl-PL"/>
        </w:rPr>
        <w:t>Ewaluacja</w:t>
      </w:r>
      <w:r w:rsidRPr="001268E7">
        <w:rPr>
          <w:rFonts w:cs="Calibri"/>
          <w:sz w:val="24"/>
          <w:szCs w:val="24"/>
          <w:lang w:eastAsia="pl-PL"/>
        </w:rPr>
        <w:t xml:space="preserve"> </w:t>
      </w:r>
      <w:r w:rsidR="00941BCB" w:rsidRPr="001268E7">
        <w:rPr>
          <w:rFonts w:cs="Calibri"/>
          <w:sz w:val="24"/>
          <w:szCs w:val="24"/>
          <w:lang w:eastAsia="pl-PL"/>
        </w:rPr>
        <w:t>to systematyczna metoda gromadzenia, analizowania i wykorzystywania informacji w celu udzielenia odpowiedzi na pytania dotyczące projektów, polityk i programów, włączając w szczególności ich skuteczność i efektywność dla wszystkich stron zainteresowanych.</w:t>
      </w:r>
      <w:r w:rsidR="004B654C" w:rsidRPr="001268E7">
        <w:rPr>
          <w:rFonts w:cs="Calibri"/>
          <w:sz w:val="24"/>
          <w:szCs w:val="24"/>
        </w:rPr>
        <w:t xml:space="preserve"> </w:t>
      </w:r>
      <w:r w:rsidR="00941BCB" w:rsidRPr="001268E7">
        <w:rPr>
          <w:rFonts w:cs="Calibri"/>
          <w:sz w:val="24"/>
          <w:szCs w:val="24"/>
          <w:lang w:eastAsia="pl-PL"/>
        </w:rPr>
        <w:t>Podstawowe pytania dotyczą potrzeb Programu i w jaki sposób są one spełniane, a także potencjalnych i już istniejących problemów oraz sposobów, w jaki są rozwiązywane.</w:t>
      </w:r>
    </w:p>
    <w:p w:rsidR="004B654C" w:rsidRPr="001268E7" w:rsidRDefault="00941BCB" w:rsidP="00941BC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Program poddawany b</w:t>
      </w:r>
      <w:r w:rsidR="002B27DD" w:rsidRPr="001268E7">
        <w:rPr>
          <w:rFonts w:cs="Calibri"/>
          <w:sz w:val="24"/>
          <w:szCs w:val="24"/>
          <w:lang w:eastAsia="pl-PL"/>
        </w:rPr>
        <w:t>ędzie ocenie śródokresowej (mid-</w:t>
      </w:r>
      <w:r w:rsidRPr="001268E7">
        <w:rPr>
          <w:rFonts w:cs="Calibri"/>
          <w:sz w:val="24"/>
          <w:szCs w:val="24"/>
          <w:lang w:eastAsia="pl-PL"/>
        </w:rPr>
        <w:t>term) oraz ex post.</w:t>
      </w:r>
      <w:r w:rsidR="004B654C" w:rsidRPr="001268E7">
        <w:rPr>
          <w:rFonts w:cs="Calibri"/>
          <w:sz w:val="24"/>
          <w:szCs w:val="24"/>
        </w:rPr>
        <w:t xml:space="preserve"> </w:t>
      </w:r>
      <w:r w:rsidRPr="001268E7">
        <w:rPr>
          <w:rFonts w:cs="Calibri"/>
          <w:sz w:val="24"/>
          <w:szCs w:val="24"/>
          <w:lang w:eastAsia="pl-PL"/>
        </w:rPr>
        <w:t>Jednocześnie, w ramach Programu mogą zostać przeprowadzone inne</w:t>
      </w:r>
      <w:r w:rsidR="00B94B75" w:rsidRPr="001268E7">
        <w:rPr>
          <w:rFonts w:cs="Calibri"/>
          <w:sz w:val="24"/>
          <w:szCs w:val="24"/>
          <w:lang w:eastAsia="pl-PL"/>
        </w:rPr>
        <w:t xml:space="preserve"> określone </w:t>
      </w:r>
      <w:r w:rsidRPr="001268E7">
        <w:rPr>
          <w:rFonts w:cs="Calibri"/>
          <w:sz w:val="24"/>
          <w:szCs w:val="24"/>
          <w:lang w:eastAsia="pl-PL"/>
        </w:rPr>
        <w:t>oceny, realizowane w innych okresach, które mogą następnie posłużyć jako podstawa do przygotowania przyszłych programów bądź też zmiany wartości docelowych wskaźników.</w:t>
      </w:r>
    </w:p>
    <w:p w:rsidR="00A61F5B" w:rsidRDefault="00E0795C" w:rsidP="00B03EDD">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lang w:eastAsia="pl-PL"/>
        </w:rPr>
        <w:t>Ewaluacja</w:t>
      </w:r>
      <w:r w:rsidRPr="001268E7">
        <w:rPr>
          <w:rFonts w:cs="Calibri"/>
          <w:sz w:val="24"/>
          <w:szCs w:val="24"/>
          <w:lang w:eastAsia="pl-PL"/>
        </w:rPr>
        <w:t xml:space="preserve"> </w:t>
      </w:r>
      <w:r w:rsidR="00941BCB" w:rsidRPr="001268E7">
        <w:rPr>
          <w:rFonts w:cs="Calibri"/>
          <w:sz w:val="24"/>
          <w:szCs w:val="24"/>
          <w:lang w:eastAsia="pl-PL"/>
        </w:rPr>
        <w:t>w trakcie realizacji Programu (</w:t>
      </w:r>
      <w:r w:rsidR="00A61F5B">
        <w:rPr>
          <w:rFonts w:cs="Calibri"/>
          <w:sz w:val="24"/>
          <w:szCs w:val="24"/>
          <w:lang w:eastAsia="pl-PL"/>
        </w:rPr>
        <w:t>ewaluacja</w:t>
      </w:r>
      <w:r w:rsidR="00A61F5B" w:rsidRPr="001268E7">
        <w:rPr>
          <w:rFonts w:cs="Calibri"/>
          <w:sz w:val="24"/>
          <w:szCs w:val="24"/>
          <w:lang w:eastAsia="pl-PL"/>
        </w:rPr>
        <w:t xml:space="preserve"> </w:t>
      </w:r>
      <w:r w:rsidR="00941BCB" w:rsidRPr="001268E7">
        <w:rPr>
          <w:rFonts w:cs="Calibri"/>
          <w:sz w:val="24"/>
          <w:szCs w:val="24"/>
          <w:lang w:eastAsia="pl-PL"/>
        </w:rPr>
        <w:t>śródokresowa) służyć będzie ocenie Programu z perspektywy strategicznej, operacyjnej bądź też z obu tych perspektyw.</w:t>
      </w:r>
      <w:r w:rsidR="004B654C" w:rsidRPr="001268E7">
        <w:rPr>
          <w:rFonts w:cs="Calibri"/>
          <w:sz w:val="24"/>
          <w:szCs w:val="24"/>
        </w:rPr>
        <w:t xml:space="preserve"> </w:t>
      </w:r>
      <w:r w:rsidR="00941BCB" w:rsidRPr="001268E7">
        <w:rPr>
          <w:rFonts w:cs="Calibri"/>
          <w:sz w:val="24"/>
          <w:szCs w:val="24"/>
        </w:rPr>
        <w:t xml:space="preserve">Może ona </w:t>
      </w:r>
      <w:r w:rsidR="00941BCB" w:rsidRPr="001268E7">
        <w:rPr>
          <w:rFonts w:cs="Calibri"/>
          <w:sz w:val="24"/>
          <w:szCs w:val="24"/>
          <w:lang w:eastAsia="pl-PL"/>
        </w:rPr>
        <w:t xml:space="preserve">przybrać postać „tradycyjnej” oceny śródokresowej, realizowanej w połowie okresu realizacji Programu, bądź też </w:t>
      </w:r>
      <w:r w:rsidR="00A61F5B">
        <w:rPr>
          <w:rFonts w:cs="Calibri"/>
          <w:sz w:val="24"/>
          <w:szCs w:val="24"/>
          <w:lang w:eastAsia="pl-PL"/>
        </w:rPr>
        <w:t>ewaluacji</w:t>
      </w:r>
      <w:r w:rsidR="00A61F5B" w:rsidRPr="001268E7">
        <w:rPr>
          <w:rFonts w:cs="Calibri"/>
          <w:sz w:val="24"/>
          <w:szCs w:val="24"/>
          <w:lang w:eastAsia="pl-PL"/>
        </w:rPr>
        <w:t xml:space="preserve"> </w:t>
      </w:r>
      <w:r w:rsidR="00941BCB" w:rsidRPr="001268E7">
        <w:rPr>
          <w:rFonts w:cs="Calibri"/>
          <w:sz w:val="24"/>
          <w:szCs w:val="24"/>
          <w:lang w:eastAsia="pl-PL"/>
        </w:rPr>
        <w:t>realiz</w:t>
      </w:r>
      <w:r w:rsidR="00B03EDD" w:rsidRPr="001268E7">
        <w:rPr>
          <w:rFonts w:cs="Calibri"/>
          <w:sz w:val="24"/>
          <w:szCs w:val="24"/>
          <w:lang w:eastAsia="pl-PL"/>
        </w:rPr>
        <w:t>owanej w innym punkcie Programu ze szczególną lub ogólną treścią.</w:t>
      </w:r>
      <w:r w:rsidR="004B654C" w:rsidRPr="001268E7">
        <w:rPr>
          <w:rFonts w:cs="Calibri"/>
          <w:sz w:val="24"/>
          <w:szCs w:val="24"/>
        </w:rPr>
        <w:t xml:space="preserve"> </w:t>
      </w:r>
      <w:r w:rsidR="00B03EDD" w:rsidRPr="001268E7">
        <w:rPr>
          <w:rFonts w:cs="Calibri"/>
          <w:sz w:val="24"/>
          <w:szCs w:val="24"/>
          <w:lang w:eastAsia="pl-PL"/>
        </w:rPr>
        <w:t xml:space="preserve">Taka </w:t>
      </w:r>
      <w:r w:rsidR="00A61F5B">
        <w:rPr>
          <w:rFonts w:cs="Calibri"/>
          <w:sz w:val="24"/>
          <w:szCs w:val="24"/>
          <w:lang w:eastAsia="pl-PL"/>
        </w:rPr>
        <w:t>ewaluacja</w:t>
      </w:r>
      <w:r w:rsidR="00A61F5B" w:rsidRPr="001268E7">
        <w:rPr>
          <w:rFonts w:cs="Calibri"/>
          <w:sz w:val="24"/>
          <w:szCs w:val="24"/>
          <w:lang w:eastAsia="pl-PL"/>
        </w:rPr>
        <w:t xml:space="preserve"> </w:t>
      </w:r>
      <w:r w:rsidR="00B03EDD" w:rsidRPr="001268E7">
        <w:rPr>
          <w:rFonts w:cs="Calibri"/>
          <w:sz w:val="24"/>
          <w:szCs w:val="24"/>
          <w:lang w:eastAsia="pl-PL"/>
        </w:rPr>
        <w:t xml:space="preserve">śródokresowa Programu będzie miała miejsce najpóźniej w </w:t>
      </w:r>
      <w:r w:rsidR="00B81A7A">
        <w:rPr>
          <w:rFonts w:cs="Calibri"/>
          <w:sz w:val="24"/>
          <w:szCs w:val="24"/>
          <w:lang w:eastAsia="pl-PL"/>
        </w:rPr>
        <w:t>2019</w:t>
      </w:r>
      <w:r w:rsidR="00B81A7A" w:rsidRPr="001268E7">
        <w:rPr>
          <w:rFonts w:cs="Calibri"/>
          <w:sz w:val="24"/>
          <w:szCs w:val="24"/>
          <w:lang w:eastAsia="pl-PL"/>
        </w:rPr>
        <w:t xml:space="preserve"> </w:t>
      </w:r>
      <w:r w:rsidR="00B03EDD" w:rsidRPr="001268E7">
        <w:rPr>
          <w:rFonts w:cs="Calibri"/>
          <w:sz w:val="24"/>
          <w:szCs w:val="24"/>
          <w:lang w:eastAsia="pl-PL"/>
        </w:rPr>
        <w:t>r.</w:t>
      </w:r>
      <w:r w:rsidR="004B654C" w:rsidRPr="001268E7">
        <w:rPr>
          <w:rFonts w:cs="Calibri"/>
          <w:sz w:val="24"/>
          <w:szCs w:val="24"/>
        </w:rPr>
        <w:t xml:space="preserve"> </w:t>
      </w:r>
    </w:p>
    <w:p w:rsidR="004B654C" w:rsidRPr="001268E7" w:rsidRDefault="00A61F5B" w:rsidP="00B03EDD">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lang w:eastAsia="pl-PL"/>
        </w:rPr>
        <w:lastRenderedPageBreak/>
        <w:t>Ewaluacja</w:t>
      </w:r>
      <w:r w:rsidR="00B03EDD" w:rsidRPr="001268E7">
        <w:rPr>
          <w:rFonts w:cs="Calibri"/>
          <w:sz w:val="24"/>
          <w:szCs w:val="24"/>
          <w:lang w:eastAsia="pl-PL"/>
        </w:rPr>
        <w:t xml:space="preserve"> ex post prz</w:t>
      </w:r>
      <w:r w:rsidR="00B94B75" w:rsidRPr="001268E7">
        <w:rPr>
          <w:rFonts w:cs="Calibri"/>
          <w:sz w:val="24"/>
          <w:szCs w:val="24"/>
          <w:lang w:eastAsia="pl-PL"/>
        </w:rPr>
        <w:t>eprowadzona zostanie po rozliczeniu</w:t>
      </w:r>
      <w:r w:rsidR="00B03EDD" w:rsidRPr="001268E7">
        <w:rPr>
          <w:rFonts w:cs="Calibri"/>
          <w:sz w:val="24"/>
          <w:szCs w:val="24"/>
          <w:lang w:eastAsia="pl-PL"/>
        </w:rPr>
        <w:t xml:space="preserve"> Programu.</w:t>
      </w:r>
      <w:r w:rsidR="004B654C" w:rsidRPr="001268E7">
        <w:rPr>
          <w:rFonts w:cs="Calibri"/>
          <w:sz w:val="24"/>
          <w:szCs w:val="24"/>
        </w:rPr>
        <w:t xml:space="preserve"> </w:t>
      </w:r>
      <w:r w:rsidR="00B03EDD" w:rsidRPr="001268E7">
        <w:rPr>
          <w:rFonts w:cs="Calibri"/>
          <w:sz w:val="24"/>
          <w:szCs w:val="24"/>
        </w:rPr>
        <w:t xml:space="preserve">Celem </w:t>
      </w:r>
      <w:r w:rsidR="00B03EDD" w:rsidRPr="001268E7">
        <w:rPr>
          <w:rFonts w:cs="Calibri"/>
          <w:sz w:val="24"/>
          <w:szCs w:val="24"/>
          <w:lang w:eastAsia="pl-PL"/>
        </w:rPr>
        <w:t>oceny ex post jest spojrzenie na cały okres realizacji Programu.</w:t>
      </w:r>
      <w:r w:rsidR="004B654C" w:rsidRPr="001268E7">
        <w:rPr>
          <w:rFonts w:cs="Calibri"/>
          <w:sz w:val="24"/>
          <w:szCs w:val="24"/>
        </w:rPr>
        <w:t xml:space="preserve"> </w:t>
      </w:r>
      <w:r w:rsidR="00B03EDD" w:rsidRPr="001268E7">
        <w:rPr>
          <w:rFonts w:cs="Calibri"/>
          <w:sz w:val="24"/>
          <w:szCs w:val="24"/>
          <w:lang w:eastAsia="pl-PL"/>
        </w:rPr>
        <w:t>Pozwoli to na zbadanie efektywności i skuteczności współfinansowania Programu ze środków UE i Federacji Rosyjskiej.</w:t>
      </w:r>
      <w:r w:rsidR="004B654C" w:rsidRPr="001268E7">
        <w:rPr>
          <w:rFonts w:cs="Calibri"/>
          <w:sz w:val="24"/>
          <w:szCs w:val="24"/>
        </w:rPr>
        <w:t xml:space="preserve"> </w:t>
      </w:r>
    </w:p>
    <w:p w:rsidR="004B654C" w:rsidRPr="00666F85" w:rsidRDefault="003E1B89" w:rsidP="00B03EDD">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 xml:space="preserve">Plan Monitorowania i </w:t>
      </w:r>
      <w:r w:rsidR="006A6B50" w:rsidRPr="00666F85">
        <w:rPr>
          <w:rFonts w:asciiTheme="minorHAnsi" w:hAnsiTheme="minorHAnsi"/>
          <w:b/>
          <w:i/>
          <w:sz w:val="24"/>
          <w:u w:val="single"/>
        </w:rPr>
        <w:t>Ewaluacji</w:t>
      </w:r>
    </w:p>
    <w:p w:rsidR="004B654C" w:rsidRPr="001268E7" w:rsidRDefault="003E1B89" w:rsidP="00B03EDD">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Plan Monitorowania i O</w:t>
      </w:r>
      <w:r w:rsidR="00B03EDD" w:rsidRPr="001268E7">
        <w:rPr>
          <w:rFonts w:cs="Calibri"/>
          <w:sz w:val="24"/>
          <w:szCs w:val="24"/>
          <w:lang w:eastAsia="pl-PL"/>
        </w:rPr>
        <w:t>ceny pełni funkcję narzędzia wykorzystywanego w procesie planowania zbierania danych koniecznych do dokonania oceny postępów w realizacji Programu.</w:t>
      </w:r>
      <w:r w:rsidR="004B654C" w:rsidRPr="001268E7">
        <w:rPr>
          <w:rFonts w:cs="Calibri"/>
          <w:sz w:val="24"/>
          <w:szCs w:val="24"/>
        </w:rPr>
        <w:t xml:space="preserve"> </w:t>
      </w:r>
      <w:r w:rsidR="00B03EDD" w:rsidRPr="001268E7">
        <w:rPr>
          <w:rFonts w:cs="Calibri"/>
          <w:sz w:val="24"/>
          <w:szCs w:val="24"/>
        </w:rPr>
        <w:t xml:space="preserve">Zawiera </w:t>
      </w:r>
      <w:r w:rsidR="00B03EDD" w:rsidRPr="001268E7">
        <w:rPr>
          <w:rFonts w:cs="Calibri"/>
          <w:sz w:val="24"/>
          <w:szCs w:val="24"/>
          <w:lang w:eastAsia="pl-PL"/>
        </w:rPr>
        <w:t>on orientacyjny wykaz czynności, jakie należy podjąć w ramach oceny (wliczając w to ich przedmiot oraz ich uzasadnienie) wraz z metodami, które mają zostać zastosowane na potrzeby indywidualnych czynności w ramach oceny oraz odpowiednie wymagania dotyczące danych.</w:t>
      </w:r>
      <w:r w:rsidR="004B654C" w:rsidRPr="001268E7">
        <w:rPr>
          <w:rFonts w:cs="Calibri"/>
          <w:sz w:val="24"/>
          <w:szCs w:val="24"/>
        </w:rPr>
        <w:t xml:space="preserve"> </w:t>
      </w:r>
      <w:r w:rsidR="00B03EDD" w:rsidRPr="001268E7">
        <w:rPr>
          <w:rFonts w:cs="Calibri"/>
          <w:sz w:val="24"/>
          <w:szCs w:val="24"/>
          <w:lang w:eastAsia="pl-PL"/>
        </w:rPr>
        <w:t>Plan ten zawiera także harmonogram gromadzenia danych oraz strategię mającą na celu zapewnienie, aby wyniki dokonanej oceny zostały wykorzystane i przekazane dalej.</w:t>
      </w:r>
      <w:r w:rsidR="004B654C" w:rsidRPr="001268E7">
        <w:rPr>
          <w:rFonts w:cs="Calibri"/>
          <w:sz w:val="24"/>
          <w:szCs w:val="24"/>
        </w:rPr>
        <w:t xml:space="preserve"> </w:t>
      </w:r>
      <w:r w:rsidR="00B03EDD" w:rsidRPr="001268E7">
        <w:rPr>
          <w:rFonts w:cs="Calibri"/>
          <w:sz w:val="24"/>
          <w:szCs w:val="24"/>
          <w:lang w:eastAsia="pl-PL"/>
        </w:rPr>
        <w:t>Plan zawiera również informacje na temat orientacyjnego budżetu oraz zasobów ludzkich (i ewentualnych planów szkoleń personelu) koniecznych, aby zapewnić jego wdrożenie.</w:t>
      </w:r>
      <w:r w:rsidR="004B654C" w:rsidRPr="001268E7">
        <w:rPr>
          <w:rFonts w:cs="Calibri"/>
          <w:sz w:val="24"/>
          <w:szCs w:val="24"/>
        </w:rPr>
        <w:t xml:space="preserve"> </w:t>
      </w:r>
    </w:p>
    <w:tbl>
      <w:tblPr>
        <w:tblStyle w:val="Jasnasiatka1"/>
        <w:tblW w:w="10129" w:type="dxa"/>
        <w:tblLook w:val="04A0" w:firstRow="1" w:lastRow="0" w:firstColumn="1" w:lastColumn="0" w:noHBand="0" w:noVBand="1"/>
      </w:tblPr>
      <w:tblGrid>
        <w:gridCol w:w="825"/>
        <w:gridCol w:w="1792"/>
        <w:gridCol w:w="1493"/>
        <w:gridCol w:w="4291"/>
        <w:gridCol w:w="1728"/>
      </w:tblGrid>
      <w:tr w:rsidR="00277D84" w:rsidRPr="001268E7" w:rsidTr="00BE4B3D">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0129" w:type="dxa"/>
            <w:gridSpan w:val="5"/>
            <w:tcBorders>
              <w:bottom w:val="single" w:sz="8" w:space="0" w:color="000000" w:themeColor="text1"/>
            </w:tcBorders>
            <w:hideMark/>
          </w:tcPr>
          <w:p w:rsidR="00277D84" w:rsidRPr="001268E7" w:rsidRDefault="002E4F70" w:rsidP="00DA5BD8">
            <w:pPr>
              <w:spacing w:after="0" w:line="240" w:lineRule="auto"/>
              <w:jc w:val="center"/>
              <w:rPr>
                <w:rFonts w:ascii="Czcionka tekstu podstawowego" w:eastAsia="Times New Roman" w:hAnsi="Czcionka tekstu podstawowego"/>
                <w:bCs w:val="0"/>
                <w:color w:val="000000"/>
                <w:sz w:val="28"/>
                <w:szCs w:val="28"/>
                <w:lang w:eastAsia="pl-PL"/>
              </w:rPr>
            </w:pPr>
            <w:r w:rsidRPr="001268E7">
              <w:rPr>
                <w:rFonts w:ascii="Czcionka tekstu podstawowego" w:eastAsia="Times New Roman" w:hAnsi="Czcionka tekstu podstawowego"/>
                <w:bCs w:val="0"/>
                <w:color w:val="000000"/>
                <w:sz w:val="28"/>
                <w:szCs w:val="28"/>
                <w:lang w:eastAsia="pl-PL"/>
              </w:rPr>
              <w:t>Orientacyjny</w:t>
            </w:r>
            <w:r w:rsidR="003E1B89" w:rsidRPr="001268E7">
              <w:rPr>
                <w:rFonts w:ascii="Czcionka tekstu podstawowego" w:eastAsia="Times New Roman" w:hAnsi="Czcionka tekstu podstawowego"/>
                <w:bCs w:val="0"/>
                <w:color w:val="000000"/>
                <w:sz w:val="28"/>
                <w:szCs w:val="28"/>
                <w:lang w:eastAsia="pl-PL"/>
              </w:rPr>
              <w:t xml:space="preserve"> Plan Monitorowania i </w:t>
            </w:r>
            <w:r w:rsidR="00DA5BD8">
              <w:rPr>
                <w:rFonts w:ascii="Czcionka tekstu podstawowego" w:eastAsia="Times New Roman" w:hAnsi="Czcionka tekstu podstawowego"/>
                <w:bCs w:val="0"/>
                <w:color w:val="000000"/>
                <w:sz w:val="28"/>
                <w:szCs w:val="28"/>
                <w:lang w:eastAsia="pl-PL"/>
              </w:rPr>
              <w:t>Ewaluacji</w:t>
            </w:r>
          </w:p>
        </w:tc>
      </w:tr>
      <w:tr w:rsidR="00277D84" w:rsidRPr="001268E7" w:rsidTr="00BE4B3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825" w:type="dxa"/>
            <w:vMerge w:val="restart"/>
            <w:shd w:val="clear" w:color="auto" w:fill="auto"/>
            <w:hideMark/>
          </w:tcPr>
          <w:p w:rsidR="00277D84" w:rsidRPr="00DC3CDE" w:rsidRDefault="00B03EDD" w:rsidP="00B03EDD">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t>Rok</w:t>
            </w:r>
          </w:p>
        </w:tc>
        <w:tc>
          <w:tcPr>
            <w:tcW w:w="3285" w:type="dxa"/>
            <w:gridSpan w:val="2"/>
            <w:shd w:val="clear" w:color="auto" w:fill="auto"/>
            <w:hideMark/>
          </w:tcPr>
          <w:p w:rsidR="00277D84" w:rsidRPr="00DC3CDE" w:rsidRDefault="00B03EDD" w:rsidP="00B03E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Codzienne monitorowanie projektów</w:t>
            </w:r>
          </w:p>
        </w:tc>
        <w:tc>
          <w:tcPr>
            <w:tcW w:w="6019" w:type="dxa"/>
            <w:gridSpan w:val="2"/>
            <w:shd w:val="clear" w:color="auto" w:fill="auto"/>
            <w:hideMark/>
          </w:tcPr>
          <w:p w:rsidR="00277D84" w:rsidRPr="00DC3CDE" w:rsidRDefault="00B03EDD" w:rsidP="00B03E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Wewnętrzne monitorowanie ukierunkowane na rezultaty</w:t>
            </w:r>
          </w:p>
        </w:tc>
      </w:tr>
      <w:tr w:rsidR="00277D84" w:rsidRPr="001268E7" w:rsidTr="00BE4B3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5" w:type="dxa"/>
            <w:vMerge/>
            <w:shd w:val="clear" w:color="auto" w:fill="auto"/>
            <w:hideMark/>
          </w:tcPr>
          <w:p w:rsidR="00277D84" w:rsidRPr="00DC3CDE" w:rsidRDefault="00277D84" w:rsidP="00DC3CDE">
            <w:pPr>
              <w:spacing w:after="0" w:line="240" w:lineRule="auto"/>
              <w:jc w:val="center"/>
              <w:rPr>
                <w:rFonts w:asciiTheme="minorHAnsi" w:eastAsia="Calibri" w:hAnsiTheme="minorHAnsi" w:cs="Calibri"/>
                <w:sz w:val="20"/>
                <w:szCs w:val="20"/>
                <w:lang w:eastAsia="pl-PL"/>
              </w:rPr>
            </w:pPr>
          </w:p>
        </w:tc>
        <w:tc>
          <w:tcPr>
            <w:tcW w:w="1792" w:type="dxa"/>
            <w:shd w:val="clear" w:color="auto" w:fill="auto"/>
            <w:hideMark/>
          </w:tcPr>
          <w:p w:rsidR="00277D84" w:rsidRPr="00DC3CDE" w:rsidRDefault="00B03EDD" w:rsidP="00DC3C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Działanie</w:t>
            </w:r>
          </w:p>
        </w:tc>
        <w:tc>
          <w:tcPr>
            <w:tcW w:w="1493" w:type="dxa"/>
            <w:shd w:val="clear" w:color="auto" w:fill="auto"/>
            <w:hideMark/>
          </w:tcPr>
          <w:p w:rsidR="00277D84" w:rsidRPr="00DC3CDE" w:rsidRDefault="00B03EDD" w:rsidP="00DC3C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Organ odpowiedzialny</w:t>
            </w:r>
          </w:p>
        </w:tc>
        <w:tc>
          <w:tcPr>
            <w:tcW w:w="4291" w:type="dxa"/>
            <w:shd w:val="clear" w:color="auto" w:fill="auto"/>
            <w:hideMark/>
          </w:tcPr>
          <w:p w:rsidR="00277D84" w:rsidRPr="00DC3CDE" w:rsidRDefault="00B03EDD" w:rsidP="00DC3C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Działanie</w:t>
            </w:r>
          </w:p>
        </w:tc>
        <w:tc>
          <w:tcPr>
            <w:tcW w:w="1728" w:type="dxa"/>
            <w:shd w:val="clear" w:color="auto" w:fill="auto"/>
            <w:hideMark/>
          </w:tcPr>
          <w:p w:rsidR="00277D84" w:rsidRPr="00DC3CDE" w:rsidRDefault="00B03EDD" w:rsidP="00DC3C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Organ odpowiedzialny</w:t>
            </w:r>
          </w:p>
        </w:tc>
      </w:tr>
      <w:tr w:rsidR="00BE4B3D" w:rsidRPr="001268E7" w:rsidTr="00BE4B3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825" w:type="dxa"/>
            <w:shd w:val="clear" w:color="auto" w:fill="auto"/>
            <w:hideMark/>
          </w:tcPr>
          <w:p w:rsidR="00BE4B3D" w:rsidRPr="00DC3CDE" w:rsidRDefault="00BE4B3D" w:rsidP="00277D84">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t>2016</w:t>
            </w:r>
          </w:p>
        </w:tc>
        <w:tc>
          <w:tcPr>
            <w:tcW w:w="1792" w:type="dxa"/>
            <w:shd w:val="clear" w:color="auto" w:fill="auto"/>
            <w:noWrap/>
            <w:hideMark/>
          </w:tcPr>
          <w:p w:rsidR="00BE4B3D" w:rsidRPr="00DC3CDE" w:rsidRDefault="00BE4B3D"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w:t>
            </w:r>
          </w:p>
        </w:tc>
        <w:tc>
          <w:tcPr>
            <w:tcW w:w="1493" w:type="dxa"/>
            <w:shd w:val="clear" w:color="auto" w:fill="auto"/>
            <w:noWrap/>
            <w:hideMark/>
          </w:tcPr>
          <w:p w:rsidR="00BE4B3D" w:rsidRPr="00DC3CDE" w:rsidRDefault="00BE4B3D"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w:t>
            </w:r>
          </w:p>
        </w:tc>
        <w:tc>
          <w:tcPr>
            <w:tcW w:w="4291" w:type="dxa"/>
            <w:shd w:val="clear" w:color="auto" w:fill="auto"/>
            <w:noWrap/>
            <w:hideMark/>
          </w:tcPr>
          <w:p w:rsidR="00BE4B3D" w:rsidRPr="00DC3CDE" w:rsidRDefault="00BE4B3D"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w:t>
            </w:r>
          </w:p>
        </w:tc>
        <w:tc>
          <w:tcPr>
            <w:tcW w:w="1728" w:type="dxa"/>
            <w:shd w:val="clear" w:color="auto" w:fill="auto"/>
            <w:noWrap/>
            <w:hideMark/>
          </w:tcPr>
          <w:p w:rsidR="00BE4B3D" w:rsidRPr="00DC3CDE" w:rsidRDefault="00BE4B3D"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w:t>
            </w:r>
          </w:p>
        </w:tc>
      </w:tr>
      <w:tr w:rsidR="00BE4B3D" w:rsidRPr="001268E7" w:rsidTr="00BE4B3D">
        <w:trPr>
          <w:cnfStyle w:val="000000010000" w:firstRow="0" w:lastRow="0" w:firstColumn="0" w:lastColumn="0" w:oddVBand="0" w:evenVBand="0" w:oddHBand="0" w:evenHBand="1"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825" w:type="dxa"/>
            <w:shd w:val="clear" w:color="auto" w:fill="auto"/>
          </w:tcPr>
          <w:p w:rsidR="00BE4B3D" w:rsidRPr="00DC3CDE" w:rsidRDefault="00BE4B3D" w:rsidP="00277D84">
            <w:pPr>
              <w:spacing w:after="0" w:line="240" w:lineRule="auto"/>
              <w:jc w:val="center"/>
              <w:rPr>
                <w:rFonts w:asciiTheme="minorHAnsi" w:hAnsiTheme="minorHAnsi" w:cs="Calibri"/>
                <w:sz w:val="20"/>
                <w:szCs w:val="20"/>
                <w:lang w:eastAsia="pl-PL"/>
              </w:rPr>
            </w:pPr>
            <w:r>
              <w:rPr>
                <w:rFonts w:asciiTheme="minorHAnsi" w:hAnsiTheme="minorHAnsi" w:cs="Calibri"/>
                <w:sz w:val="20"/>
                <w:szCs w:val="20"/>
                <w:lang w:eastAsia="pl-PL"/>
              </w:rPr>
              <w:t>2017</w:t>
            </w:r>
          </w:p>
        </w:tc>
        <w:tc>
          <w:tcPr>
            <w:tcW w:w="1792" w:type="dxa"/>
            <w:shd w:val="clear" w:color="auto" w:fill="auto"/>
            <w:noWrap/>
          </w:tcPr>
          <w:p w:rsidR="00BE4B3D" w:rsidRPr="00DC3CDE" w:rsidRDefault="00BE4B3D" w:rsidP="00277D8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w:t>
            </w:r>
          </w:p>
        </w:tc>
        <w:tc>
          <w:tcPr>
            <w:tcW w:w="1493" w:type="dxa"/>
            <w:shd w:val="clear" w:color="auto" w:fill="auto"/>
            <w:noWrap/>
          </w:tcPr>
          <w:p w:rsidR="00BE4B3D" w:rsidRPr="00DC3CDE" w:rsidRDefault="00BE4B3D" w:rsidP="00277D8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w:t>
            </w:r>
          </w:p>
        </w:tc>
        <w:tc>
          <w:tcPr>
            <w:tcW w:w="4291" w:type="dxa"/>
            <w:shd w:val="clear" w:color="auto" w:fill="auto"/>
            <w:noWrap/>
          </w:tcPr>
          <w:p w:rsidR="00BE4B3D" w:rsidRPr="00DC3CDE" w:rsidRDefault="00BE4B3D" w:rsidP="00277D8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w:t>
            </w:r>
          </w:p>
        </w:tc>
        <w:tc>
          <w:tcPr>
            <w:tcW w:w="1728" w:type="dxa"/>
            <w:shd w:val="clear" w:color="auto" w:fill="auto"/>
            <w:noWrap/>
          </w:tcPr>
          <w:p w:rsidR="00BE4B3D" w:rsidRPr="00DC3CDE" w:rsidRDefault="00BE4B3D" w:rsidP="00277D8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w:t>
            </w:r>
          </w:p>
        </w:tc>
      </w:tr>
      <w:tr w:rsidR="002A6F86" w:rsidRPr="001268E7" w:rsidTr="00BE4B3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5" w:type="dxa"/>
            <w:shd w:val="clear" w:color="auto" w:fill="auto"/>
            <w:hideMark/>
          </w:tcPr>
          <w:p w:rsidR="002A6F86" w:rsidRPr="00DC3CDE" w:rsidRDefault="002A6F86" w:rsidP="00277D84">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t>201</w:t>
            </w:r>
            <w:r w:rsidR="00BE4B3D">
              <w:rPr>
                <w:rFonts w:asciiTheme="minorHAnsi" w:eastAsia="Calibri" w:hAnsiTheme="minorHAnsi" w:cs="Calibri"/>
                <w:sz w:val="20"/>
                <w:szCs w:val="20"/>
                <w:lang w:eastAsia="pl-PL"/>
              </w:rPr>
              <w:t>8</w:t>
            </w:r>
          </w:p>
        </w:tc>
        <w:tc>
          <w:tcPr>
            <w:tcW w:w="1792" w:type="dxa"/>
            <w:shd w:val="clear" w:color="auto" w:fill="auto"/>
            <w:noWrap/>
            <w:hideMark/>
          </w:tcPr>
          <w:p w:rsidR="002A6F86" w:rsidRPr="00DC3CDE" w:rsidRDefault="002A6F86" w:rsidP="00BE4B3D">
            <w:pPr>
              <w:tabs>
                <w:tab w:val="left" w:pos="557"/>
                <w:tab w:val="center" w:pos="78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Monitorowani</w:t>
            </w:r>
            <w:r w:rsidR="00BE4B3D">
              <w:rPr>
                <w:rFonts w:asciiTheme="minorHAnsi" w:hAnsiTheme="minorHAnsi" w:cs="Calibri"/>
                <w:sz w:val="20"/>
                <w:szCs w:val="20"/>
                <w:lang w:eastAsia="pl-PL"/>
              </w:rPr>
              <w:t>e projektów (w bazie danych, regularny kontakt, uczestniczenie w ważnych wydarzeniach projektów)</w:t>
            </w:r>
          </w:p>
        </w:tc>
        <w:tc>
          <w:tcPr>
            <w:tcW w:w="1493" w:type="dxa"/>
            <w:shd w:val="clear" w:color="auto" w:fill="auto"/>
            <w:noWrap/>
            <w:hideMark/>
          </w:tcPr>
          <w:p w:rsidR="002A6F86" w:rsidRPr="00DC3CDE" w:rsidRDefault="002A6F86"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c>
          <w:tcPr>
            <w:tcW w:w="4291" w:type="dxa"/>
            <w:shd w:val="clear" w:color="auto" w:fill="auto"/>
            <w:noWrap/>
            <w:hideMark/>
          </w:tcPr>
          <w:p w:rsidR="002A6F86" w:rsidRPr="00DC3CDE" w:rsidRDefault="002A6F86"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1268E7">
              <w:rPr>
                <w:rFonts w:asciiTheme="minorHAnsi" w:hAnsiTheme="minorHAnsi" w:cs="Calibri"/>
                <w:sz w:val="20"/>
                <w:szCs w:val="20"/>
                <w:lang w:eastAsia="pl-PL"/>
              </w:rPr>
              <w:t>Monitorowanie jest prowadzone w odpowiednim czasie po rozpoczęciu wdrażania projektów (wizyty monitorujące w miejscu realizacji projektów prowadzone na podstawie wniosków wyciągniętych z codziennego monitorowania).</w:t>
            </w:r>
            <w:r w:rsidRPr="00DC3CDE">
              <w:rPr>
                <w:rFonts w:asciiTheme="minorHAnsi" w:hAnsiTheme="minorHAnsi" w:cs="Calibri"/>
                <w:sz w:val="20"/>
                <w:szCs w:val="20"/>
                <w:lang w:eastAsia="pl-PL"/>
              </w:rPr>
              <w:t xml:space="preserve"> Jest </w:t>
            </w:r>
            <w:r w:rsidRPr="001268E7">
              <w:rPr>
                <w:rFonts w:asciiTheme="minorHAnsi" w:hAnsiTheme="minorHAnsi" w:cs="Calibri"/>
                <w:sz w:val="20"/>
                <w:szCs w:val="20"/>
                <w:lang w:eastAsia="pl-PL"/>
              </w:rPr>
              <w:t>możliwe przeprowadzenie wizyt monitorujących w miejscu realizacji projektów razem z kontrolą na miejscu</w:t>
            </w:r>
          </w:p>
        </w:tc>
        <w:tc>
          <w:tcPr>
            <w:tcW w:w="1728" w:type="dxa"/>
            <w:shd w:val="clear" w:color="auto" w:fill="auto"/>
            <w:noWrap/>
            <w:hideMark/>
          </w:tcPr>
          <w:p w:rsidR="002A6F86" w:rsidRPr="00DC3CDE" w:rsidRDefault="002A6F86"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r>
      <w:tr w:rsidR="00BE4B3D" w:rsidRPr="001268E7" w:rsidTr="00BE4B3D">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825" w:type="dxa"/>
            <w:shd w:val="clear" w:color="auto" w:fill="auto"/>
            <w:hideMark/>
          </w:tcPr>
          <w:p w:rsidR="00BE4B3D" w:rsidRPr="00DC3CDE" w:rsidRDefault="00BE4B3D" w:rsidP="00277D84">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t>201</w:t>
            </w:r>
            <w:r>
              <w:rPr>
                <w:rFonts w:asciiTheme="minorHAnsi" w:eastAsia="Calibri" w:hAnsiTheme="minorHAnsi" w:cs="Calibri"/>
                <w:sz w:val="20"/>
                <w:szCs w:val="20"/>
                <w:lang w:eastAsia="pl-PL"/>
              </w:rPr>
              <w:t>9</w:t>
            </w:r>
          </w:p>
        </w:tc>
        <w:tc>
          <w:tcPr>
            <w:tcW w:w="1792" w:type="dxa"/>
            <w:shd w:val="clear" w:color="auto" w:fill="auto"/>
            <w:hideMark/>
          </w:tcPr>
          <w:p w:rsidR="00BE4B3D" w:rsidRPr="00DC3CDE" w:rsidRDefault="00BE4B3D"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1268E7">
              <w:rPr>
                <w:rFonts w:asciiTheme="minorHAnsi" w:hAnsiTheme="minorHAnsi" w:cs="Calibri"/>
                <w:sz w:val="20"/>
                <w:szCs w:val="20"/>
                <w:lang w:eastAsia="pl-PL"/>
              </w:rPr>
              <w:t>Monitorowanie trwających projektów (w bazie danych, regularny kontakt, uczestniczenie w ważnych wydarzeniach projektów)</w:t>
            </w:r>
          </w:p>
        </w:tc>
        <w:tc>
          <w:tcPr>
            <w:tcW w:w="1493" w:type="dxa"/>
            <w:shd w:val="clear" w:color="auto" w:fill="auto"/>
            <w:hideMark/>
          </w:tcPr>
          <w:p w:rsidR="00BE4B3D" w:rsidRPr="00DC3CDE" w:rsidRDefault="00BE4B3D"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c>
          <w:tcPr>
            <w:tcW w:w="4291" w:type="dxa"/>
            <w:shd w:val="clear" w:color="auto" w:fill="auto"/>
            <w:hideMark/>
          </w:tcPr>
          <w:p w:rsidR="00BE4B3D" w:rsidRPr="00DC3CDE" w:rsidRDefault="00BE4B3D"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1268E7">
              <w:rPr>
                <w:rFonts w:asciiTheme="minorHAnsi" w:hAnsiTheme="minorHAnsi" w:cs="Calibri"/>
                <w:sz w:val="20"/>
                <w:szCs w:val="20"/>
                <w:lang w:eastAsia="pl-PL"/>
              </w:rPr>
              <w:t>Monitorowanie jest prowadzone w odpowiednim czasie po rozpoczęciu wdrażania projektów (wizyty monitorujące w miejscu realizacji projektów prowadzone na podstawie wniosków wyciągniętych z codziennego monitorowania).</w:t>
            </w:r>
            <w:r w:rsidRPr="00DC3CDE">
              <w:rPr>
                <w:rFonts w:asciiTheme="minorHAnsi" w:hAnsiTheme="minorHAnsi" w:cs="Calibri"/>
                <w:sz w:val="20"/>
                <w:szCs w:val="20"/>
                <w:lang w:eastAsia="pl-PL"/>
              </w:rPr>
              <w:t xml:space="preserve"> Jest </w:t>
            </w:r>
            <w:r w:rsidRPr="001268E7">
              <w:rPr>
                <w:rFonts w:asciiTheme="minorHAnsi" w:hAnsiTheme="minorHAnsi" w:cs="Calibri"/>
                <w:sz w:val="20"/>
                <w:szCs w:val="20"/>
                <w:lang w:eastAsia="pl-PL"/>
              </w:rPr>
              <w:t>możliwe przeprowadzenie wizyt monitorujących w miejscu realizacji projektów razem z kontrolą na miejscu</w:t>
            </w:r>
          </w:p>
        </w:tc>
        <w:tc>
          <w:tcPr>
            <w:tcW w:w="1728" w:type="dxa"/>
            <w:shd w:val="clear" w:color="auto" w:fill="auto"/>
            <w:hideMark/>
          </w:tcPr>
          <w:p w:rsidR="00BE4B3D" w:rsidRPr="00DC3CDE" w:rsidRDefault="00BE4B3D"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r>
      <w:tr w:rsidR="00BE4B3D" w:rsidRPr="001268E7" w:rsidTr="00BE4B3D">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825" w:type="dxa"/>
            <w:shd w:val="clear" w:color="auto" w:fill="auto"/>
          </w:tcPr>
          <w:p w:rsidR="00BE4B3D" w:rsidRPr="00DC3CDE" w:rsidRDefault="00BE4B3D" w:rsidP="00277D84">
            <w:pPr>
              <w:spacing w:after="0" w:line="240" w:lineRule="auto"/>
              <w:jc w:val="center"/>
              <w:rPr>
                <w:rFonts w:asciiTheme="minorHAnsi" w:hAnsiTheme="minorHAnsi" w:cs="Calibri"/>
                <w:sz w:val="20"/>
                <w:szCs w:val="20"/>
                <w:lang w:eastAsia="pl-PL"/>
              </w:rPr>
            </w:pPr>
            <w:r>
              <w:rPr>
                <w:rFonts w:asciiTheme="minorHAnsi" w:hAnsiTheme="minorHAnsi" w:cs="Calibri"/>
                <w:sz w:val="20"/>
                <w:szCs w:val="20"/>
                <w:lang w:eastAsia="pl-PL"/>
              </w:rPr>
              <w:t>2019</w:t>
            </w:r>
          </w:p>
        </w:tc>
        <w:tc>
          <w:tcPr>
            <w:tcW w:w="1792" w:type="dxa"/>
            <w:shd w:val="clear" w:color="auto" w:fill="auto"/>
          </w:tcPr>
          <w:p w:rsidR="00BE4B3D" w:rsidRPr="001268E7" w:rsidRDefault="00BE4B3D" w:rsidP="00AA0A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Ewaluacja Programu</w:t>
            </w:r>
          </w:p>
        </w:tc>
        <w:tc>
          <w:tcPr>
            <w:tcW w:w="1493" w:type="dxa"/>
            <w:shd w:val="clear" w:color="auto" w:fill="auto"/>
          </w:tcPr>
          <w:p w:rsidR="00BE4B3D" w:rsidRPr="00DC3CDE" w:rsidRDefault="00BE4B3D" w:rsidP="00AA0A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w:t>
            </w:r>
          </w:p>
        </w:tc>
        <w:tc>
          <w:tcPr>
            <w:tcW w:w="4291" w:type="dxa"/>
            <w:shd w:val="clear" w:color="auto" w:fill="auto"/>
          </w:tcPr>
          <w:p w:rsidR="00BE4B3D" w:rsidRPr="001268E7" w:rsidRDefault="00002973" w:rsidP="00AA0A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Śródokresowa</w:t>
            </w:r>
            <w:r w:rsidR="00BE4B3D">
              <w:rPr>
                <w:rFonts w:asciiTheme="minorHAnsi" w:hAnsiTheme="minorHAnsi" w:cs="Calibri"/>
                <w:sz w:val="20"/>
                <w:szCs w:val="20"/>
                <w:lang w:eastAsia="pl-PL"/>
              </w:rPr>
              <w:t xml:space="preserve"> ocena Programu</w:t>
            </w:r>
          </w:p>
        </w:tc>
        <w:tc>
          <w:tcPr>
            <w:tcW w:w="1728" w:type="dxa"/>
            <w:shd w:val="clear" w:color="auto" w:fill="auto"/>
          </w:tcPr>
          <w:p w:rsidR="00BE4B3D" w:rsidRPr="00DC3CDE" w:rsidRDefault="00BE4B3D" w:rsidP="00BE4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IZ (wykonane przez zewnętrznych ewaluatorów)</w:t>
            </w:r>
          </w:p>
        </w:tc>
      </w:tr>
      <w:tr w:rsidR="00277D84" w:rsidRPr="001268E7" w:rsidTr="00BE4B3D">
        <w:trPr>
          <w:cnfStyle w:val="000000010000" w:firstRow="0" w:lastRow="0" w:firstColumn="0" w:lastColumn="0" w:oddVBand="0" w:evenVBand="0" w:oddHBand="0" w:evenHBand="1"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hideMark/>
          </w:tcPr>
          <w:p w:rsidR="00277D84" w:rsidRPr="00DC3CDE" w:rsidRDefault="00277D84" w:rsidP="00277D84">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lastRenderedPageBreak/>
              <w:t>20</w:t>
            </w:r>
            <w:r w:rsidR="00BE4B3D">
              <w:rPr>
                <w:rFonts w:asciiTheme="minorHAnsi" w:eastAsia="Calibri" w:hAnsiTheme="minorHAnsi" w:cs="Calibri"/>
                <w:sz w:val="20"/>
                <w:szCs w:val="20"/>
                <w:lang w:eastAsia="pl-PL"/>
              </w:rPr>
              <w:t>20</w:t>
            </w:r>
          </w:p>
        </w:tc>
        <w:tc>
          <w:tcPr>
            <w:tcW w:w="1792" w:type="dxa"/>
            <w:shd w:val="clear" w:color="auto" w:fill="auto"/>
            <w:hideMark/>
          </w:tcPr>
          <w:p w:rsidR="00277D84" w:rsidRPr="00DC3CDE" w:rsidRDefault="00AA0A45"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Monitorowanie trwających projektów (w bazie danych, regularny kontakt, uczestniczenie w ważnych wydarzeniach projektów)</w:t>
            </w:r>
          </w:p>
        </w:tc>
        <w:tc>
          <w:tcPr>
            <w:tcW w:w="1493" w:type="dxa"/>
            <w:shd w:val="clear" w:color="auto" w:fill="auto"/>
            <w:hideMark/>
          </w:tcPr>
          <w:p w:rsidR="00277D84" w:rsidRPr="00DC3CDE" w:rsidRDefault="00AA0A45"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sidR="000D31DD">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c>
          <w:tcPr>
            <w:tcW w:w="4291" w:type="dxa"/>
            <w:shd w:val="clear" w:color="auto" w:fill="auto"/>
            <w:hideMark/>
          </w:tcPr>
          <w:p w:rsidR="00277D84" w:rsidRPr="00DC3CDE" w:rsidRDefault="00AA0A45"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Monitorowanie jest prowadzone w odpowiednim czasie po rozpoczęciu wdrażania projektów (wizyty monitorujące w miejscu realizacji projektów prowadzone na podstawie wniosków wyciągniętych z codziennego monitorowania)</w:t>
            </w:r>
            <w:r w:rsidR="000325BD" w:rsidRPr="00DC3CDE">
              <w:rPr>
                <w:rFonts w:asciiTheme="minorHAnsi" w:hAnsiTheme="minorHAnsi" w:cs="Calibri"/>
                <w:sz w:val="20"/>
                <w:szCs w:val="20"/>
                <w:lang w:eastAsia="pl-PL"/>
              </w:rPr>
              <w:t>.</w:t>
            </w:r>
            <w:r w:rsidR="00277D84" w:rsidRPr="00DC3CDE">
              <w:rPr>
                <w:rFonts w:asciiTheme="minorHAnsi" w:hAnsiTheme="minorHAnsi" w:cs="Calibri"/>
                <w:sz w:val="20"/>
                <w:szCs w:val="20"/>
                <w:lang w:eastAsia="pl-PL"/>
              </w:rPr>
              <w:t xml:space="preserve"> </w:t>
            </w:r>
            <w:r w:rsidRPr="00DC3CDE">
              <w:rPr>
                <w:rFonts w:asciiTheme="minorHAnsi" w:hAnsiTheme="minorHAnsi" w:cs="Calibri"/>
                <w:sz w:val="20"/>
                <w:szCs w:val="20"/>
                <w:lang w:eastAsia="pl-PL"/>
              </w:rPr>
              <w:t>Jes</w:t>
            </w:r>
            <w:r w:rsidR="000325BD" w:rsidRPr="00DC3CDE">
              <w:rPr>
                <w:rFonts w:asciiTheme="minorHAnsi" w:hAnsiTheme="minorHAnsi" w:cs="Calibri"/>
                <w:sz w:val="20"/>
                <w:szCs w:val="20"/>
                <w:lang w:eastAsia="pl-PL"/>
              </w:rPr>
              <w:t>t możliwe przeprowadzenie wizyt monitorujących</w:t>
            </w:r>
            <w:r w:rsidRPr="00DC3CDE">
              <w:rPr>
                <w:rFonts w:asciiTheme="minorHAnsi" w:hAnsiTheme="minorHAnsi" w:cs="Calibri"/>
                <w:sz w:val="20"/>
                <w:szCs w:val="20"/>
                <w:lang w:eastAsia="pl-PL"/>
              </w:rPr>
              <w:t xml:space="preserve"> w miejscu realizacji projektów razem z kontrolą na miejscu</w:t>
            </w:r>
          </w:p>
        </w:tc>
        <w:tc>
          <w:tcPr>
            <w:tcW w:w="1728" w:type="dxa"/>
            <w:shd w:val="clear" w:color="auto" w:fill="auto"/>
            <w:hideMark/>
          </w:tcPr>
          <w:p w:rsidR="00277D84" w:rsidRPr="00DC3CDE" w:rsidRDefault="00AA0A45"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sidR="000D31DD">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r>
      <w:tr w:rsidR="006B5F6A" w:rsidRPr="001268E7" w:rsidTr="00BE4B3D">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hideMark/>
          </w:tcPr>
          <w:p w:rsidR="006B5F6A" w:rsidRPr="00DC3CDE" w:rsidRDefault="006B5F6A" w:rsidP="00277D84">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t>202</w:t>
            </w:r>
            <w:r w:rsidR="00BE4B3D">
              <w:rPr>
                <w:rFonts w:asciiTheme="minorHAnsi" w:eastAsia="Calibri" w:hAnsiTheme="minorHAnsi" w:cs="Calibri"/>
                <w:sz w:val="20"/>
                <w:szCs w:val="20"/>
                <w:lang w:eastAsia="pl-PL"/>
              </w:rPr>
              <w:t>1</w:t>
            </w:r>
          </w:p>
        </w:tc>
        <w:tc>
          <w:tcPr>
            <w:tcW w:w="1792" w:type="dxa"/>
            <w:shd w:val="clear" w:color="auto" w:fill="auto"/>
            <w:hideMark/>
          </w:tcPr>
          <w:p w:rsidR="006B5F6A" w:rsidRPr="00DC3CDE" w:rsidRDefault="006B5F6A" w:rsidP="00AA0A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Monitorowanie trwających projektów (w bazie danych, regularny kontakt, uczestniczenie w ważnych wydarzeniach projektów)</w:t>
            </w:r>
          </w:p>
        </w:tc>
        <w:tc>
          <w:tcPr>
            <w:tcW w:w="1493" w:type="dxa"/>
            <w:shd w:val="clear" w:color="auto" w:fill="auto"/>
            <w:hideMark/>
          </w:tcPr>
          <w:p w:rsidR="006B5F6A" w:rsidRPr="00DC3CDE" w:rsidRDefault="006B5F6A" w:rsidP="00AA0A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c>
          <w:tcPr>
            <w:tcW w:w="4291" w:type="dxa"/>
            <w:shd w:val="clear" w:color="auto" w:fill="auto"/>
            <w:hideMark/>
          </w:tcPr>
          <w:p w:rsidR="006B5F6A" w:rsidRPr="00DC3CDE" w:rsidRDefault="006B5F6A" w:rsidP="00AA0A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Monitorowanie jest prowadzone w odpowiednim czasie po rozpoczęciu wdrażania projektów (wizyty monitorujące w miejscu realizacji projektów prowadzone na podstawie wniosków wyciągniętych z codziennego monitorowania). Jest możliwe przeprowadzenie wizyt monitorujących w miejscu realizacji projektów razem z kontrolą na miejscu</w:t>
            </w:r>
          </w:p>
        </w:tc>
        <w:tc>
          <w:tcPr>
            <w:tcW w:w="1728" w:type="dxa"/>
            <w:shd w:val="clear" w:color="auto" w:fill="auto"/>
            <w:hideMark/>
          </w:tcPr>
          <w:p w:rsidR="006B5F6A" w:rsidRPr="00DC3CDE" w:rsidRDefault="006B5F6A" w:rsidP="00AA0A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r>
      <w:tr w:rsidR="006B5F6A" w:rsidRPr="001268E7" w:rsidTr="00BE4B3D">
        <w:trPr>
          <w:cnfStyle w:val="000000010000" w:firstRow="0" w:lastRow="0" w:firstColumn="0" w:lastColumn="0" w:oddVBand="0" w:evenVBand="0" w:oddHBand="0" w:evenHBand="1"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hideMark/>
          </w:tcPr>
          <w:p w:rsidR="006B5F6A" w:rsidRPr="00DC3CDE" w:rsidRDefault="006B5F6A" w:rsidP="00277D84">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t>202</w:t>
            </w:r>
            <w:r w:rsidR="00BE4B3D">
              <w:rPr>
                <w:rFonts w:asciiTheme="minorHAnsi" w:eastAsia="Calibri" w:hAnsiTheme="minorHAnsi" w:cs="Calibri"/>
                <w:sz w:val="20"/>
                <w:szCs w:val="20"/>
                <w:lang w:eastAsia="pl-PL"/>
              </w:rPr>
              <w:t>2</w:t>
            </w:r>
          </w:p>
        </w:tc>
        <w:tc>
          <w:tcPr>
            <w:tcW w:w="1792" w:type="dxa"/>
            <w:shd w:val="clear" w:color="auto" w:fill="auto"/>
            <w:hideMark/>
          </w:tcPr>
          <w:p w:rsidR="006B5F6A" w:rsidRPr="00DC3CDE" w:rsidRDefault="006B5F6A"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Monitorowanie trwających projektów (w bazie danych, regularny kontakt, uczestniczenie w ważnych wydarzeniach projektów)</w:t>
            </w:r>
          </w:p>
        </w:tc>
        <w:tc>
          <w:tcPr>
            <w:tcW w:w="1493" w:type="dxa"/>
            <w:shd w:val="clear" w:color="auto" w:fill="auto"/>
            <w:hideMark/>
          </w:tcPr>
          <w:p w:rsidR="006B5F6A" w:rsidRPr="00DC3CDE" w:rsidRDefault="006B5F6A"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c>
          <w:tcPr>
            <w:tcW w:w="4291" w:type="dxa"/>
            <w:shd w:val="clear" w:color="auto" w:fill="auto"/>
            <w:hideMark/>
          </w:tcPr>
          <w:p w:rsidR="006B5F6A" w:rsidRPr="00DC3CDE" w:rsidRDefault="006B5F6A"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Monitorowanie jest prowadzone w odpowiednim czasie po rozpoczęciu wdrażania projektów (wizyty monitorujące w miejscu realizacji projektów prowadzone na podstawie wniosków wyciągniętych z codziennego monitorowania). Jest możliwe przeprowadzenie wizyt monitorujących w miejscu realizacji projektów razem z kontrolą na miejscu</w:t>
            </w:r>
          </w:p>
        </w:tc>
        <w:tc>
          <w:tcPr>
            <w:tcW w:w="1728" w:type="dxa"/>
            <w:shd w:val="clear" w:color="auto" w:fill="auto"/>
            <w:hideMark/>
          </w:tcPr>
          <w:p w:rsidR="006B5F6A" w:rsidRPr="00DC3CDE" w:rsidRDefault="006B5F6A" w:rsidP="00AA0A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IZ/WST przy wsparciu oddział</w:t>
            </w:r>
            <w:r>
              <w:rPr>
                <w:rFonts w:asciiTheme="minorHAnsi" w:hAnsiTheme="minorHAnsi" w:cs="Calibri"/>
                <w:sz w:val="20"/>
                <w:szCs w:val="20"/>
                <w:lang w:eastAsia="pl-PL"/>
              </w:rPr>
              <w:t>u</w:t>
            </w:r>
            <w:r w:rsidRPr="00DC3CDE">
              <w:rPr>
                <w:rFonts w:asciiTheme="minorHAnsi" w:hAnsiTheme="minorHAnsi" w:cs="Calibri"/>
                <w:sz w:val="20"/>
                <w:szCs w:val="20"/>
                <w:lang w:eastAsia="pl-PL"/>
              </w:rPr>
              <w:t>/IK</w:t>
            </w:r>
          </w:p>
        </w:tc>
      </w:tr>
      <w:tr w:rsidR="002F0A0F" w:rsidRPr="001268E7" w:rsidTr="00BE4B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hideMark/>
          </w:tcPr>
          <w:p w:rsidR="002F0A0F" w:rsidRPr="00DC3CDE" w:rsidRDefault="002F0A0F" w:rsidP="00277D84">
            <w:pPr>
              <w:spacing w:after="0" w:line="240" w:lineRule="auto"/>
              <w:jc w:val="center"/>
              <w:rPr>
                <w:rFonts w:asciiTheme="minorHAnsi" w:eastAsia="Calibri" w:hAnsiTheme="minorHAnsi" w:cs="Calibri"/>
                <w:sz w:val="20"/>
                <w:szCs w:val="20"/>
                <w:lang w:eastAsia="pl-PL"/>
              </w:rPr>
            </w:pPr>
            <w:r w:rsidRPr="00DC3CDE">
              <w:rPr>
                <w:rFonts w:asciiTheme="minorHAnsi" w:eastAsia="Calibri" w:hAnsiTheme="minorHAnsi" w:cs="Calibri"/>
                <w:sz w:val="20"/>
                <w:szCs w:val="20"/>
                <w:lang w:eastAsia="pl-PL"/>
              </w:rPr>
              <w:t>2024</w:t>
            </w:r>
          </w:p>
        </w:tc>
        <w:tc>
          <w:tcPr>
            <w:tcW w:w="1792" w:type="dxa"/>
            <w:shd w:val="clear" w:color="auto" w:fill="auto"/>
            <w:noWrap/>
            <w:hideMark/>
          </w:tcPr>
          <w:p w:rsidR="002F0A0F" w:rsidRPr="00DC3CDE" w:rsidRDefault="002F0A0F"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Ewaluacja Programu</w:t>
            </w:r>
          </w:p>
        </w:tc>
        <w:tc>
          <w:tcPr>
            <w:tcW w:w="1493" w:type="dxa"/>
            <w:shd w:val="clear" w:color="auto" w:fill="auto"/>
            <w:noWrap/>
            <w:hideMark/>
          </w:tcPr>
          <w:p w:rsidR="002F0A0F" w:rsidRPr="00DC3CDE" w:rsidRDefault="002F0A0F"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sidRPr="00DC3CDE">
              <w:rPr>
                <w:rFonts w:asciiTheme="minorHAnsi" w:hAnsiTheme="minorHAnsi" w:cs="Calibri"/>
                <w:sz w:val="20"/>
                <w:szCs w:val="20"/>
                <w:lang w:eastAsia="pl-PL"/>
              </w:rPr>
              <w:t>-</w:t>
            </w:r>
          </w:p>
        </w:tc>
        <w:tc>
          <w:tcPr>
            <w:tcW w:w="4291" w:type="dxa"/>
            <w:shd w:val="clear" w:color="auto" w:fill="auto"/>
            <w:noWrap/>
            <w:hideMark/>
          </w:tcPr>
          <w:p w:rsidR="002F0A0F" w:rsidRPr="00DC3CDE" w:rsidRDefault="002F0A0F" w:rsidP="002F0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Ewaluacja ex-post Programu</w:t>
            </w:r>
          </w:p>
        </w:tc>
        <w:tc>
          <w:tcPr>
            <w:tcW w:w="1728" w:type="dxa"/>
            <w:shd w:val="clear" w:color="auto" w:fill="auto"/>
            <w:noWrap/>
            <w:hideMark/>
          </w:tcPr>
          <w:p w:rsidR="002F0A0F" w:rsidRPr="00DC3CDE" w:rsidRDefault="002F0A0F" w:rsidP="0027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eastAsia="pl-PL"/>
              </w:rPr>
            </w:pPr>
            <w:r>
              <w:rPr>
                <w:rFonts w:asciiTheme="minorHAnsi" w:hAnsiTheme="minorHAnsi" w:cs="Calibri"/>
                <w:sz w:val="20"/>
                <w:szCs w:val="20"/>
                <w:lang w:eastAsia="pl-PL"/>
              </w:rPr>
              <w:t>IZ (wykonane przez zewnętrznych ewaluatorów)</w:t>
            </w:r>
          </w:p>
        </w:tc>
      </w:tr>
    </w:tbl>
    <w:p w:rsidR="00DA5BD8" w:rsidRPr="00CF3877" w:rsidRDefault="00DA5BD8" w:rsidP="0056675D">
      <w:pPr>
        <w:spacing w:after="0" w:line="240" w:lineRule="auto"/>
        <w:contextualSpacing/>
        <w:jc w:val="both"/>
        <w:rPr>
          <w:b/>
          <w:bCs/>
          <w:i/>
          <w:sz w:val="20"/>
        </w:rPr>
      </w:pPr>
      <w:r w:rsidRPr="00CF3877">
        <w:rPr>
          <w:b/>
          <w:bCs/>
          <w:i/>
          <w:sz w:val="20"/>
        </w:rPr>
        <w:t xml:space="preserve">Tabela 9. </w:t>
      </w:r>
      <w:r w:rsidR="00E24FF0" w:rsidRPr="00CF3877">
        <w:rPr>
          <w:b/>
          <w:bCs/>
          <w:i/>
          <w:sz w:val="20"/>
        </w:rPr>
        <w:t>Orientacyjny plan monitorowania i ewaluacji</w:t>
      </w:r>
    </w:p>
    <w:p w:rsidR="004B654C" w:rsidRPr="001268E7" w:rsidRDefault="00AA0A45" w:rsidP="00AA0A45">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Wspólny Komitet Monitorujący zbada plan oceny i zatwierdzi konieczne poprawki.</w:t>
      </w:r>
      <w:r w:rsidR="004B654C" w:rsidRPr="001268E7">
        <w:rPr>
          <w:rFonts w:cs="Calibri"/>
          <w:sz w:val="24"/>
          <w:szCs w:val="24"/>
        </w:rPr>
        <w:t xml:space="preserve"> </w:t>
      </w:r>
      <w:r w:rsidRPr="001268E7">
        <w:rPr>
          <w:rFonts w:cs="Calibri"/>
          <w:sz w:val="24"/>
          <w:szCs w:val="24"/>
        </w:rPr>
        <w:t>Takie badanie i aktualizacja będą przeprowadzane tak często, jak będzie to konieczne.</w:t>
      </w:r>
      <w:r w:rsidR="004B654C" w:rsidRPr="001268E7">
        <w:rPr>
          <w:rFonts w:cs="Calibri"/>
          <w:sz w:val="24"/>
          <w:szCs w:val="24"/>
        </w:rPr>
        <w:t xml:space="preserve"> </w:t>
      </w:r>
    </w:p>
    <w:p w:rsidR="004B654C" w:rsidRPr="001268E7" w:rsidRDefault="00AA0A45" w:rsidP="00AA0A45">
      <w:pPr>
        <w:pStyle w:val="Nagwek2"/>
        <w:rPr>
          <w:rFonts w:cs="Calibri"/>
        </w:rPr>
      </w:pPr>
      <w:bookmarkStart w:id="58" w:name="_Toc530737591"/>
      <w:r w:rsidRPr="001268E7">
        <w:rPr>
          <w:rFonts w:cs="Calibri"/>
        </w:rPr>
        <w:t>4.9 Podział odpowiedzialności między państwami uczestniczącymi</w:t>
      </w:r>
      <w:bookmarkEnd w:id="58"/>
    </w:p>
    <w:p w:rsidR="004B654C" w:rsidRPr="00666F85" w:rsidRDefault="00AA0A45" w:rsidP="00AA0A45">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Nieprawidłowości i odzyskiwanie środków</w:t>
      </w:r>
      <w:r w:rsidR="004B654C" w:rsidRPr="00666F85">
        <w:rPr>
          <w:rFonts w:asciiTheme="minorHAnsi" w:hAnsiTheme="minorHAnsi"/>
          <w:b/>
          <w:i/>
          <w:sz w:val="24"/>
          <w:u w:val="single"/>
        </w:rPr>
        <w:t xml:space="preserve"> </w:t>
      </w:r>
    </w:p>
    <w:p w:rsidR="004B654C" w:rsidRPr="001268E7" w:rsidRDefault="0019002A" w:rsidP="0019002A">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IZ będzie odpowiadała w pierwszej kolejności za zapobieganie i analizowanie nieprawidłowości</w:t>
      </w:r>
      <w:r w:rsidRPr="001268E7">
        <w:rPr>
          <w:rFonts w:cs="Calibri"/>
          <w:sz w:val="24"/>
          <w:szCs w:val="24"/>
          <w:vertAlign w:val="superscript"/>
        </w:rPr>
        <w:footnoteReference w:id="7"/>
      </w:r>
      <w:r w:rsidRPr="001268E7">
        <w:rPr>
          <w:rFonts w:cs="Calibri"/>
          <w:sz w:val="24"/>
          <w:szCs w:val="24"/>
          <w:lang w:eastAsia="pl-PL"/>
        </w:rPr>
        <w:t>, a także za dokonywanie wymaganych korekt finansowych i za odzyskiwanie środków.</w:t>
      </w:r>
      <w:r w:rsidR="004B654C" w:rsidRPr="001268E7">
        <w:rPr>
          <w:rFonts w:cs="Calibri"/>
          <w:sz w:val="24"/>
          <w:szCs w:val="24"/>
        </w:rPr>
        <w:t xml:space="preserve"> </w:t>
      </w:r>
    </w:p>
    <w:p w:rsidR="004B654C" w:rsidRPr="001268E7" w:rsidRDefault="00FC1D0A" w:rsidP="00FC1D0A">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 xml:space="preserve">Państwa </w:t>
      </w:r>
      <w:r w:rsidRPr="001268E7">
        <w:rPr>
          <w:rFonts w:cs="Calibri"/>
          <w:sz w:val="24"/>
          <w:szCs w:val="24"/>
          <w:lang w:eastAsia="pl-PL"/>
        </w:rPr>
        <w:t>uczestniczące podejmowały będą działania w zakresie prewencji, wykrywania i eliminowania nieprawidłowości, włączając nadużycie finansowe oraz odzyskiwanie nienależnych świadczeń wraz z odsetkami</w:t>
      </w:r>
      <w:r w:rsidR="000325BD" w:rsidRPr="001268E7">
        <w:rPr>
          <w:rFonts w:cs="Calibri"/>
          <w:sz w:val="24"/>
          <w:szCs w:val="24"/>
          <w:lang w:eastAsia="pl-PL"/>
        </w:rPr>
        <w:t>,</w:t>
      </w:r>
      <w:r w:rsidRPr="001268E7">
        <w:rPr>
          <w:rFonts w:cs="Calibri"/>
          <w:sz w:val="24"/>
          <w:szCs w:val="24"/>
          <w:lang w:eastAsia="pl-PL"/>
        </w:rPr>
        <w:t xml:space="preserve"> zgo</w:t>
      </w:r>
      <w:r w:rsidR="002E4F70" w:rsidRPr="001268E7">
        <w:rPr>
          <w:rFonts w:cs="Calibri"/>
          <w:sz w:val="24"/>
          <w:szCs w:val="24"/>
          <w:lang w:eastAsia="pl-PL"/>
        </w:rPr>
        <w:t>dnie z postanowieniami art. 74 R</w:t>
      </w:r>
      <w:r w:rsidRPr="001268E7">
        <w:rPr>
          <w:rFonts w:cs="Calibri"/>
          <w:sz w:val="24"/>
          <w:szCs w:val="24"/>
          <w:lang w:eastAsia="pl-PL"/>
        </w:rPr>
        <w:t>W,</w:t>
      </w:r>
      <w:r w:rsidR="004B654C" w:rsidRPr="001268E7">
        <w:rPr>
          <w:rFonts w:cs="Calibri"/>
          <w:sz w:val="24"/>
          <w:szCs w:val="24"/>
        </w:rPr>
        <w:t xml:space="preserve"> </w:t>
      </w:r>
      <w:r w:rsidRPr="001268E7">
        <w:rPr>
          <w:rFonts w:cs="Calibri"/>
          <w:sz w:val="24"/>
          <w:szCs w:val="24"/>
        </w:rPr>
        <w:t>na swoich terytoriach (dla strony polskiej).</w:t>
      </w:r>
    </w:p>
    <w:p w:rsidR="004B654C" w:rsidRPr="001268E7" w:rsidRDefault="00A25E4E" w:rsidP="00FC1D0A">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rPr>
        <w:lastRenderedPageBreak/>
        <w:t xml:space="preserve">Obowiązki i zakres odpowiedzialności strony rosyjskiej w zakresie nieprawidłowości i odzyskiwania środków zostaną określone w Porozumieniu Finansowym. </w:t>
      </w:r>
    </w:p>
    <w:p w:rsidR="004B654C" w:rsidRPr="001268E7" w:rsidRDefault="00FC1D0A" w:rsidP="00FC1D0A">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Korekta finansowa dokonana przez Komisję nie wpływa na obowiązek IZ dotyczący przeprowadzenia procedury odzyskania środków współfinansowani</w:t>
      </w:r>
      <w:r w:rsidR="002E4F70" w:rsidRPr="001268E7">
        <w:rPr>
          <w:rFonts w:cs="Calibri"/>
          <w:sz w:val="24"/>
          <w:szCs w:val="24"/>
          <w:lang w:eastAsia="pl-PL"/>
        </w:rPr>
        <w:t>a UE na podstawie art. 74 i 75 R</w:t>
      </w:r>
      <w:r w:rsidRPr="001268E7">
        <w:rPr>
          <w:rFonts w:cs="Calibri"/>
          <w:sz w:val="24"/>
          <w:szCs w:val="24"/>
          <w:lang w:eastAsia="pl-PL"/>
        </w:rPr>
        <w:t>W ani na obowiązek Polski dotyczący</w:t>
      </w:r>
      <w:r w:rsidR="004B654C" w:rsidRPr="001268E7">
        <w:rPr>
          <w:rFonts w:cs="Calibri"/>
          <w:sz w:val="24"/>
          <w:szCs w:val="24"/>
        </w:rPr>
        <w:t xml:space="preserve"> </w:t>
      </w:r>
      <w:r w:rsidRPr="001268E7">
        <w:rPr>
          <w:rFonts w:cs="Calibri"/>
          <w:sz w:val="24"/>
          <w:szCs w:val="24"/>
          <w:lang w:eastAsia="pl-PL"/>
        </w:rPr>
        <w:t>odzyskania pomocy państwa w rozumieniu art. 107 ust. 1 Traktatu o funkcjonowaniu Unii</w:t>
      </w:r>
      <w:r w:rsidR="004B654C" w:rsidRPr="001268E7">
        <w:rPr>
          <w:rFonts w:cs="Calibri"/>
          <w:sz w:val="24"/>
          <w:szCs w:val="24"/>
        </w:rPr>
        <w:t xml:space="preserve"> </w:t>
      </w:r>
      <w:r w:rsidRPr="001268E7">
        <w:rPr>
          <w:rFonts w:cs="Calibri"/>
          <w:sz w:val="24"/>
          <w:szCs w:val="24"/>
          <w:lang w:eastAsia="pl-PL"/>
        </w:rPr>
        <w:t>Europejskiej oraz na podstawie art. 14 rozporządzenia Rady (WE) nr 659/1999.</w:t>
      </w:r>
      <w:r w:rsidR="00650AC0" w:rsidRPr="001268E7">
        <w:rPr>
          <w:rFonts w:cs="Calibri"/>
          <w:sz w:val="24"/>
          <w:szCs w:val="24"/>
        </w:rPr>
        <w:t xml:space="preserve"> </w:t>
      </w:r>
    </w:p>
    <w:p w:rsidR="004B654C" w:rsidRPr="00666F85" w:rsidRDefault="00FC1D0A" w:rsidP="00FC1D0A">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Odzyskiwanie nienależnych płatności</w:t>
      </w:r>
    </w:p>
    <w:p w:rsidR="004B654C" w:rsidRPr="001268E7" w:rsidRDefault="00FC1D0A" w:rsidP="00FC1D0A">
      <w:p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t>IZ odpowiedzialna będzie za odzyskiwanie nienależnie wypłaconych kwot.</w:t>
      </w:r>
      <w:r w:rsidR="004B654C" w:rsidRPr="001268E7">
        <w:rPr>
          <w:rFonts w:asciiTheme="minorHAnsi" w:hAnsiTheme="minorHAnsi" w:cs="Calibri"/>
          <w:sz w:val="24"/>
          <w:szCs w:val="24"/>
        </w:rPr>
        <w:t xml:space="preserve"> </w:t>
      </w:r>
      <w:r w:rsidRPr="001268E7">
        <w:rPr>
          <w:rFonts w:asciiTheme="minorHAnsi" w:hAnsiTheme="minorHAnsi" w:cs="Calibri"/>
          <w:sz w:val="24"/>
          <w:szCs w:val="24"/>
          <w:lang w:eastAsia="pl-PL"/>
        </w:rPr>
        <w:t xml:space="preserve">IZ </w:t>
      </w:r>
      <w:r w:rsidR="00E35BF9" w:rsidRPr="001268E7">
        <w:rPr>
          <w:rFonts w:asciiTheme="minorHAnsi" w:hAnsiTheme="minorHAnsi" w:cs="Calibri"/>
          <w:sz w:val="24"/>
          <w:szCs w:val="24"/>
          <w:lang w:eastAsia="pl-PL"/>
        </w:rPr>
        <w:t>zobowiązana będzie odzyskać od BW</w:t>
      </w:r>
      <w:r w:rsidRPr="001268E7">
        <w:rPr>
          <w:rFonts w:asciiTheme="minorHAnsi" w:hAnsiTheme="minorHAnsi" w:cs="Calibri"/>
          <w:sz w:val="24"/>
          <w:szCs w:val="24"/>
          <w:lang w:eastAsia="pl-PL"/>
        </w:rPr>
        <w:t xml:space="preserve"> nienależnie wypłacone kwoty wraz z odsetkami z tytułu płatn</w:t>
      </w:r>
      <w:r w:rsidR="00E35BF9" w:rsidRPr="001268E7">
        <w:rPr>
          <w:rFonts w:asciiTheme="minorHAnsi" w:hAnsiTheme="minorHAnsi" w:cs="Calibri"/>
          <w:sz w:val="24"/>
          <w:szCs w:val="24"/>
          <w:lang w:eastAsia="pl-PL"/>
        </w:rPr>
        <w:t>ości po terminie, jeżeli dochodzenie</w:t>
      </w:r>
      <w:r w:rsidRPr="001268E7">
        <w:rPr>
          <w:rFonts w:asciiTheme="minorHAnsi" w:hAnsiTheme="minorHAnsi" w:cs="Calibri"/>
          <w:sz w:val="24"/>
          <w:szCs w:val="24"/>
          <w:lang w:eastAsia="pl-PL"/>
        </w:rPr>
        <w:t xml:space="preserve"> dotyczące nieprawidłowo</w:t>
      </w:r>
      <w:r w:rsidR="00E35BF9" w:rsidRPr="001268E7">
        <w:rPr>
          <w:rFonts w:asciiTheme="minorHAnsi" w:hAnsiTheme="minorHAnsi" w:cs="Calibri"/>
          <w:sz w:val="24"/>
          <w:szCs w:val="24"/>
          <w:lang w:eastAsia="pl-PL"/>
        </w:rPr>
        <w:t>ści będzie skutkować zwrotem</w:t>
      </w:r>
      <w:r w:rsidRPr="001268E7">
        <w:rPr>
          <w:rFonts w:asciiTheme="minorHAnsi" w:hAnsiTheme="minorHAnsi" w:cs="Calibri"/>
          <w:sz w:val="24"/>
          <w:szCs w:val="24"/>
          <w:lang w:eastAsia="pl-PL"/>
        </w:rPr>
        <w:t xml:space="preserve"> tych środków.</w:t>
      </w:r>
      <w:r w:rsidR="004B654C" w:rsidRPr="001268E7">
        <w:rPr>
          <w:rFonts w:asciiTheme="minorHAnsi" w:hAnsiTheme="minorHAnsi" w:cs="Calibri"/>
          <w:sz w:val="24"/>
          <w:szCs w:val="24"/>
        </w:rPr>
        <w:t xml:space="preserve"> </w:t>
      </w:r>
    </w:p>
    <w:p w:rsidR="004B654C" w:rsidRPr="001268E7" w:rsidRDefault="00E35BF9" w:rsidP="00FC1D0A">
      <w:p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t>BW</w:t>
      </w:r>
      <w:r w:rsidR="00FC1D0A" w:rsidRPr="001268E7">
        <w:rPr>
          <w:rFonts w:asciiTheme="minorHAnsi" w:hAnsiTheme="minorHAnsi" w:cs="Calibri"/>
          <w:sz w:val="24"/>
          <w:szCs w:val="24"/>
          <w:lang w:eastAsia="pl-PL"/>
        </w:rPr>
        <w:t xml:space="preserve"> zobowiązany będzie stworzyć proce</w:t>
      </w:r>
      <w:r w:rsidR="00C16439" w:rsidRPr="001268E7">
        <w:rPr>
          <w:rFonts w:asciiTheme="minorHAnsi" w:hAnsiTheme="minorHAnsi" w:cs="Calibri"/>
          <w:sz w:val="24"/>
          <w:szCs w:val="24"/>
          <w:lang w:eastAsia="pl-PL"/>
        </w:rPr>
        <w:t>durę odzyskiwania nieprawidłowo</w:t>
      </w:r>
      <w:r w:rsidR="00FC1D0A" w:rsidRPr="001268E7">
        <w:rPr>
          <w:rFonts w:asciiTheme="minorHAnsi" w:hAnsiTheme="minorHAnsi" w:cs="Calibri"/>
          <w:sz w:val="24"/>
          <w:szCs w:val="24"/>
          <w:lang w:eastAsia="pl-PL"/>
        </w:rPr>
        <w:t>/nienależnie wypłaconych kwot od partnerów projektu w ramach umowy partnerskiej.</w:t>
      </w:r>
      <w:r w:rsidR="004B654C" w:rsidRPr="001268E7">
        <w:rPr>
          <w:rFonts w:asciiTheme="minorHAnsi" w:hAnsiTheme="minorHAnsi" w:cs="Calibri"/>
          <w:sz w:val="24"/>
          <w:szCs w:val="24"/>
        </w:rPr>
        <w:t xml:space="preserve"> </w:t>
      </w:r>
      <w:r w:rsidRPr="001268E7">
        <w:rPr>
          <w:rFonts w:asciiTheme="minorHAnsi" w:hAnsiTheme="minorHAnsi" w:cs="Calibri"/>
          <w:sz w:val="24"/>
          <w:szCs w:val="24"/>
          <w:lang w:eastAsia="pl-PL"/>
        </w:rPr>
        <w:t>Jeśli BW</w:t>
      </w:r>
      <w:r w:rsidR="00FC1D0A" w:rsidRPr="001268E7">
        <w:rPr>
          <w:rFonts w:asciiTheme="minorHAnsi" w:hAnsiTheme="minorHAnsi" w:cs="Calibri"/>
          <w:sz w:val="24"/>
          <w:szCs w:val="24"/>
          <w:lang w:eastAsia="pl-PL"/>
        </w:rPr>
        <w:t xml:space="preserve"> nie zdoła odzyskać kwot od odpowiedniego beneficjenta, IZ formalnie wezwie teg</w:t>
      </w:r>
      <w:r w:rsidRPr="001268E7">
        <w:rPr>
          <w:rFonts w:asciiTheme="minorHAnsi" w:hAnsiTheme="minorHAnsi" w:cs="Calibri"/>
          <w:sz w:val="24"/>
          <w:szCs w:val="24"/>
          <w:lang w:eastAsia="pl-PL"/>
        </w:rPr>
        <w:t>o beneficjenta do zwrotu kwoty Beneficjentowi W</w:t>
      </w:r>
      <w:r w:rsidR="00FC1D0A" w:rsidRPr="001268E7">
        <w:rPr>
          <w:rFonts w:asciiTheme="minorHAnsi" w:hAnsiTheme="minorHAnsi" w:cs="Calibri"/>
          <w:sz w:val="24"/>
          <w:szCs w:val="24"/>
          <w:lang w:eastAsia="pl-PL"/>
        </w:rPr>
        <w:t>iodącemu.</w:t>
      </w:r>
      <w:r w:rsidR="004B654C" w:rsidRPr="001268E7">
        <w:rPr>
          <w:rFonts w:asciiTheme="minorHAnsi" w:hAnsiTheme="minorHAnsi" w:cs="Calibri"/>
          <w:sz w:val="24"/>
          <w:szCs w:val="24"/>
        </w:rPr>
        <w:t xml:space="preserve"> </w:t>
      </w:r>
      <w:r w:rsidR="00FC1D0A" w:rsidRPr="001268E7">
        <w:rPr>
          <w:rFonts w:asciiTheme="minorHAnsi" w:hAnsiTheme="minorHAnsi" w:cs="Calibri"/>
          <w:sz w:val="24"/>
          <w:szCs w:val="24"/>
          <w:lang w:eastAsia="pl-PL"/>
        </w:rPr>
        <w:t xml:space="preserve">Jeśli dany beneficjent nie dokona zwrotu, IZ zwróci się do państwa uczestniczącego, w którym dany </w:t>
      </w:r>
      <w:r w:rsidR="00C42E9D">
        <w:rPr>
          <w:rFonts w:asciiTheme="minorHAnsi" w:hAnsiTheme="minorHAnsi" w:cs="Calibri"/>
          <w:sz w:val="24"/>
          <w:szCs w:val="24"/>
          <w:lang w:eastAsia="pl-PL"/>
        </w:rPr>
        <w:t>beneficjent</w:t>
      </w:r>
      <w:r w:rsidR="00C42E9D" w:rsidRPr="001268E7">
        <w:rPr>
          <w:rFonts w:asciiTheme="minorHAnsi" w:hAnsiTheme="minorHAnsi" w:cs="Calibri"/>
          <w:sz w:val="24"/>
          <w:szCs w:val="24"/>
          <w:lang w:eastAsia="pl-PL"/>
        </w:rPr>
        <w:t xml:space="preserve"> </w:t>
      </w:r>
      <w:r w:rsidR="00FC1D0A" w:rsidRPr="001268E7">
        <w:rPr>
          <w:rFonts w:asciiTheme="minorHAnsi" w:hAnsiTheme="minorHAnsi" w:cs="Calibri"/>
          <w:sz w:val="24"/>
          <w:szCs w:val="24"/>
          <w:lang w:eastAsia="pl-PL"/>
        </w:rPr>
        <w:t>projektu ma siedzibę, o zwrot kwot nienależnie wypłaconych.</w:t>
      </w:r>
      <w:r w:rsidR="004B654C" w:rsidRPr="001268E7">
        <w:rPr>
          <w:rFonts w:asciiTheme="minorHAnsi" w:hAnsiTheme="minorHAnsi" w:cs="Calibri"/>
          <w:sz w:val="24"/>
          <w:szCs w:val="24"/>
        </w:rPr>
        <w:t xml:space="preserve"> </w:t>
      </w:r>
      <w:r w:rsidR="00FC1D0A" w:rsidRPr="001268E7">
        <w:rPr>
          <w:rFonts w:asciiTheme="minorHAnsi" w:hAnsiTheme="minorHAnsi" w:cs="Calibri"/>
          <w:sz w:val="24"/>
          <w:szCs w:val="24"/>
        </w:rPr>
        <w:t>W odniesieniu do Federacji Rosyjskiej, zastosowane będą postanowienia Umowy Finansowej dotyczące odzyskiwania kwot.</w:t>
      </w:r>
    </w:p>
    <w:p w:rsidR="004B654C" w:rsidRPr="001268E7" w:rsidRDefault="00FC1D0A" w:rsidP="00FC1D0A">
      <w:pPr>
        <w:autoSpaceDE w:val="0"/>
        <w:autoSpaceDN w:val="0"/>
        <w:adjustRightInd w:val="0"/>
        <w:spacing w:after="0" w:line="240" w:lineRule="auto"/>
        <w:contextualSpacing/>
        <w:jc w:val="both"/>
        <w:rPr>
          <w:rFonts w:asciiTheme="minorHAnsi" w:hAnsiTheme="minorHAnsi"/>
          <w:sz w:val="24"/>
          <w:szCs w:val="24"/>
        </w:rPr>
      </w:pPr>
      <w:r w:rsidRPr="001268E7">
        <w:rPr>
          <w:rFonts w:asciiTheme="minorHAnsi" w:hAnsiTheme="minorHAnsi" w:cs="Calibri"/>
          <w:sz w:val="24"/>
          <w:szCs w:val="24"/>
          <w:lang w:eastAsia="pl-PL"/>
        </w:rPr>
        <w:t xml:space="preserve">W przypadku </w:t>
      </w:r>
      <w:r w:rsidR="00E35BF9" w:rsidRPr="001268E7">
        <w:rPr>
          <w:rFonts w:asciiTheme="minorHAnsi" w:hAnsiTheme="minorHAnsi" w:cs="Calibri"/>
          <w:sz w:val="24"/>
          <w:szCs w:val="24"/>
          <w:lang w:eastAsia="pl-PL"/>
        </w:rPr>
        <w:t>nieprawidłowości systemowych w Systemie Zarządzania i K</w:t>
      </w:r>
      <w:r w:rsidRPr="001268E7">
        <w:rPr>
          <w:rFonts w:asciiTheme="minorHAnsi" w:hAnsiTheme="minorHAnsi" w:cs="Calibri"/>
          <w:sz w:val="24"/>
          <w:szCs w:val="24"/>
          <w:lang w:eastAsia="pl-PL"/>
        </w:rPr>
        <w:t xml:space="preserve">ontroli Programu, państwa uczestniczące będą </w:t>
      </w:r>
      <w:r w:rsidR="004636EC">
        <w:rPr>
          <w:rFonts w:asciiTheme="minorHAnsi" w:hAnsiTheme="minorHAnsi" w:cs="Calibri"/>
          <w:sz w:val="24"/>
          <w:szCs w:val="24"/>
          <w:lang w:eastAsia="pl-PL"/>
        </w:rPr>
        <w:t>odpowiedzialne za zwrot</w:t>
      </w:r>
      <w:r w:rsidRPr="001268E7">
        <w:rPr>
          <w:rFonts w:asciiTheme="minorHAnsi" w:hAnsiTheme="minorHAnsi" w:cs="Calibri"/>
          <w:sz w:val="24"/>
          <w:szCs w:val="24"/>
          <w:lang w:eastAsia="pl-PL"/>
        </w:rPr>
        <w:t xml:space="preserve"> należnych kwot</w:t>
      </w:r>
      <w:r w:rsidR="004636EC">
        <w:rPr>
          <w:rFonts w:asciiTheme="minorHAnsi" w:hAnsiTheme="minorHAnsi" w:cs="Calibri"/>
          <w:sz w:val="24"/>
          <w:szCs w:val="24"/>
          <w:lang w:eastAsia="pl-PL"/>
        </w:rPr>
        <w:t xml:space="preserve"> wkładu Unii</w:t>
      </w:r>
      <w:r w:rsidRPr="001268E7">
        <w:rPr>
          <w:rFonts w:asciiTheme="minorHAnsi" w:hAnsiTheme="minorHAnsi" w:cs="Calibri"/>
          <w:sz w:val="24"/>
          <w:szCs w:val="24"/>
          <w:lang w:eastAsia="pl-PL"/>
        </w:rPr>
        <w:t>, proporcjonalnie do skali nieprawidłowości w każdym z nich.</w:t>
      </w:r>
    </w:p>
    <w:p w:rsidR="004B654C" w:rsidRPr="001268E7" w:rsidRDefault="00873571" w:rsidP="00873571">
      <w:pPr>
        <w:autoSpaceDE w:val="0"/>
        <w:autoSpaceDN w:val="0"/>
        <w:adjustRightInd w:val="0"/>
        <w:spacing w:before="120" w:after="120" w:line="240" w:lineRule="auto"/>
        <w:jc w:val="both"/>
        <w:rPr>
          <w:rFonts w:asciiTheme="minorHAnsi" w:hAnsiTheme="minorHAnsi"/>
          <w:sz w:val="24"/>
          <w:szCs w:val="24"/>
        </w:rPr>
      </w:pPr>
      <w:r w:rsidRPr="001268E7">
        <w:rPr>
          <w:rFonts w:asciiTheme="minorHAnsi" w:hAnsiTheme="minorHAnsi" w:cs="Calibri"/>
          <w:sz w:val="24"/>
          <w:szCs w:val="24"/>
          <w:lang w:eastAsia="pl-PL"/>
        </w:rPr>
        <w:t xml:space="preserve">Jeśli zwrot </w:t>
      </w:r>
      <w:r w:rsidRPr="001268E7">
        <w:rPr>
          <w:rFonts w:asciiTheme="minorHAnsi" w:hAnsiTheme="minorHAnsi" w:cs="Calibri,Bold"/>
          <w:b/>
          <w:bCs/>
          <w:sz w:val="24"/>
          <w:szCs w:val="24"/>
          <w:lang w:eastAsia="pl-PL"/>
        </w:rPr>
        <w:t xml:space="preserve">dotyczy wierzytelności wobec beneficjenta z siedzibą w Polsce </w:t>
      </w:r>
      <w:r w:rsidRPr="001268E7">
        <w:rPr>
          <w:rFonts w:asciiTheme="minorHAnsi" w:hAnsiTheme="minorHAnsi" w:cs="Calibri"/>
          <w:sz w:val="24"/>
          <w:szCs w:val="24"/>
          <w:lang w:eastAsia="pl-PL"/>
        </w:rPr>
        <w:t>i IZ nie może odzyskać należności, IZ dokonuje płatności należności, a następnie dochodzi należności od beneficjenta.</w:t>
      </w:r>
      <w:r w:rsidR="004B654C" w:rsidRPr="001268E7">
        <w:rPr>
          <w:rFonts w:asciiTheme="minorHAnsi" w:hAnsiTheme="minorHAnsi"/>
          <w:sz w:val="24"/>
          <w:szCs w:val="24"/>
        </w:rPr>
        <w:t xml:space="preserve"> </w:t>
      </w:r>
    </w:p>
    <w:p w:rsidR="004B654C" w:rsidRPr="001268E7" w:rsidRDefault="00873571" w:rsidP="00873571">
      <w:pPr>
        <w:autoSpaceDE w:val="0"/>
        <w:autoSpaceDN w:val="0"/>
        <w:adjustRightInd w:val="0"/>
        <w:spacing w:before="100" w:beforeAutospacing="1" w:after="100" w:afterAutospacing="1" w:line="240" w:lineRule="auto"/>
        <w:jc w:val="both"/>
        <w:rPr>
          <w:rFonts w:asciiTheme="minorHAnsi" w:hAnsiTheme="minorHAnsi" w:cs="Calibri"/>
          <w:sz w:val="24"/>
          <w:szCs w:val="24"/>
        </w:rPr>
      </w:pPr>
      <w:r w:rsidRPr="001268E7">
        <w:rPr>
          <w:rFonts w:asciiTheme="minorHAnsi" w:hAnsiTheme="minorHAnsi" w:cs="Calibri"/>
          <w:sz w:val="24"/>
          <w:szCs w:val="24"/>
          <w:lang w:eastAsia="pl-PL"/>
        </w:rPr>
        <w:t xml:space="preserve">Jeśli zwrot </w:t>
      </w:r>
      <w:r w:rsidRPr="001268E7">
        <w:rPr>
          <w:rFonts w:asciiTheme="minorHAnsi" w:hAnsiTheme="minorHAnsi" w:cs="Calibri,Bold"/>
          <w:b/>
          <w:bCs/>
          <w:sz w:val="24"/>
          <w:szCs w:val="24"/>
          <w:lang w:eastAsia="pl-PL"/>
        </w:rPr>
        <w:t xml:space="preserve">dotyczy wierzytelności wobec beneficjenta z siedzibą w Federacji Rosyjskiej </w:t>
      </w:r>
      <w:r w:rsidRPr="001268E7">
        <w:rPr>
          <w:rFonts w:asciiTheme="minorHAnsi" w:hAnsiTheme="minorHAnsi" w:cs="Calibri"/>
          <w:sz w:val="24"/>
          <w:szCs w:val="24"/>
          <w:lang w:eastAsia="pl-PL"/>
        </w:rPr>
        <w:t xml:space="preserve">i IZ nie może odzyskać należności, wówczas </w:t>
      </w:r>
      <w:r w:rsidR="006E4425">
        <w:rPr>
          <w:rFonts w:asciiTheme="minorHAnsi" w:hAnsiTheme="minorHAnsi" w:cs="Calibri"/>
          <w:sz w:val="24"/>
          <w:szCs w:val="24"/>
          <w:lang w:eastAsia="pl-PL"/>
        </w:rPr>
        <w:t xml:space="preserve">odpowiednie zapisy </w:t>
      </w:r>
      <w:r w:rsidR="00E35BF9" w:rsidRPr="001268E7">
        <w:rPr>
          <w:rFonts w:asciiTheme="minorHAnsi" w:hAnsiTheme="minorHAnsi" w:cs="Calibri"/>
          <w:sz w:val="24"/>
          <w:szCs w:val="24"/>
          <w:lang w:eastAsia="pl-PL"/>
        </w:rPr>
        <w:t>Umow</w:t>
      </w:r>
      <w:r w:rsidR="006E4425">
        <w:rPr>
          <w:rFonts w:asciiTheme="minorHAnsi" w:hAnsiTheme="minorHAnsi" w:cs="Calibri"/>
          <w:sz w:val="24"/>
          <w:szCs w:val="24"/>
          <w:lang w:eastAsia="pl-PL"/>
        </w:rPr>
        <w:t>y</w:t>
      </w:r>
      <w:r w:rsidR="00E35BF9" w:rsidRPr="001268E7">
        <w:rPr>
          <w:rFonts w:asciiTheme="minorHAnsi" w:hAnsiTheme="minorHAnsi" w:cs="Calibri"/>
          <w:sz w:val="24"/>
          <w:szCs w:val="24"/>
          <w:lang w:eastAsia="pl-PL"/>
        </w:rPr>
        <w:t xml:space="preserve"> Finansow</w:t>
      </w:r>
      <w:r w:rsidR="006E4425">
        <w:rPr>
          <w:rFonts w:asciiTheme="minorHAnsi" w:hAnsiTheme="minorHAnsi" w:cs="Calibri"/>
          <w:sz w:val="24"/>
          <w:szCs w:val="24"/>
          <w:lang w:eastAsia="pl-PL"/>
        </w:rPr>
        <w:t>ej</w:t>
      </w:r>
      <w:r w:rsidR="00E35BF9" w:rsidRPr="001268E7">
        <w:rPr>
          <w:rFonts w:asciiTheme="minorHAnsi" w:hAnsiTheme="minorHAnsi" w:cs="Calibri"/>
          <w:sz w:val="24"/>
          <w:szCs w:val="24"/>
          <w:lang w:eastAsia="pl-PL"/>
        </w:rPr>
        <w:t xml:space="preserve"> zawart</w:t>
      </w:r>
      <w:r w:rsidR="006E4425">
        <w:rPr>
          <w:rFonts w:asciiTheme="minorHAnsi" w:hAnsiTheme="minorHAnsi" w:cs="Calibri"/>
          <w:sz w:val="24"/>
          <w:szCs w:val="24"/>
          <w:lang w:eastAsia="pl-PL"/>
        </w:rPr>
        <w:t>ej</w:t>
      </w:r>
      <w:r w:rsidRPr="001268E7">
        <w:rPr>
          <w:rFonts w:asciiTheme="minorHAnsi" w:hAnsiTheme="minorHAnsi" w:cs="Calibri"/>
          <w:sz w:val="24"/>
          <w:szCs w:val="24"/>
          <w:lang w:eastAsia="pl-PL"/>
        </w:rPr>
        <w:t xml:space="preserve"> między Federacją Rosyjską a Unią Europejską</w:t>
      </w:r>
      <w:r w:rsidR="00286536">
        <w:rPr>
          <w:rFonts w:asciiTheme="minorHAnsi" w:hAnsiTheme="minorHAnsi" w:cs="Calibri"/>
          <w:sz w:val="24"/>
          <w:szCs w:val="24"/>
          <w:lang w:eastAsia="pl-PL"/>
        </w:rPr>
        <w:t xml:space="preserve"> ma</w:t>
      </w:r>
      <w:r w:rsidR="002A24AB">
        <w:rPr>
          <w:rFonts w:asciiTheme="minorHAnsi" w:hAnsiTheme="minorHAnsi" w:cs="Calibri"/>
          <w:sz w:val="24"/>
          <w:szCs w:val="24"/>
          <w:lang w:eastAsia="pl-PL"/>
        </w:rPr>
        <w:t>ją</w:t>
      </w:r>
      <w:r w:rsidR="00286536">
        <w:rPr>
          <w:rFonts w:asciiTheme="minorHAnsi" w:hAnsiTheme="minorHAnsi" w:cs="Calibri"/>
          <w:sz w:val="24"/>
          <w:szCs w:val="24"/>
          <w:lang w:eastAsia="pl-PL"/>
        </w:rPr>
        <w:t xml:space="preserve"> zastosowanie</w:t>
      </w:r>
      <w:r w:rsidRPr="001268E7">
        <w:rPr>
          <w:rFonts w:asciiTheme="minorHAnsi" w:hAnsiTheme="minorHAnsi" w:cs="Calibri"/>
          <w:sz w:val="24"/>
          <w:szCs w:val="24"/>
          <w:lang w:eastAsia="pl-PL"/>
        </w:rPr>
        <w:t>.</w:t>
      </w:r>
      <w:r w:rsidR="004B654C" w:rsidRPr="001268E7">
        <w:rPr>
          <w:rFonts w:asciiTheme="minorHAnsi" w:hAnsiTheme="minorHAnsi" w:cs="Calibri"/>
          <w:sz w:val="24"/>
          <w:szCs w:val="24"/>
        </w:rPr>
        <w:t xml:space="preserve"> </w:t>
      </w:r>
    </w:p>
    <w:p w:rsidR="004B654C" w:rsidRPr="001268E7" w:rsidRDefault="00873571" w:rsidP="00873571">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IZ wraz z właściwą IK mają obowiązek dołożyć należytych starań, aby zapewnić zwrot kwot podlegających nakazowi odzyskania przy wsparciu państw uczestniczących.</w:t>
      </w:r>
      <w:r w:rsidR="004B654C" w:rsidRPr="001268E7">
        <w:rPr>
          <w:rFonts w:cs="Calibri"/>
          <w:sz w:val="24"/>
          <w:szCs w:val="24"/>
        </w:rPr>
        <w:t xml:space="preserve"> </w:t>
      </w:r>
      <w:r w:rsidRPr="001268E7">
        <w:rPr>
          <w:rFonts w:cs="Calibri"/>
          <w:sz w:val="24"/>
          <w:szCs w:val="24"/>
        </w:rPr>
        <w:t xml:space="preserve">IZ/IK w szczególności </w:t>
      </w:r>
      <w:r w:rsidRPr="001268E7">
        <w:rPr>
          <w:rFonts w:cs="Calibri"/>
          <w:sz w:val="24"/>
          <w:szCs w:val="24"/>
          <w:lang w:eastAsia="pl-PL"/>
        </w:rPr>
        <w:t>dopilnuje, aby roszczenie było bezsporne, o ustalonej wysokości i wymagalne.</w:t>
      </w:r>
      <w:r w:rsidR="004B654C" w:rsidRPr="001268E7">
        <w:rPr>
          <w:rFonts w:cs="Calibri"/>
          <w:sz w:val="24"/>
          <w:szCs w:val="24"/>
        </w:rPr>
        <w:t xml:space="preserve"> </w:t>
      </w:r>
      <w:r w:rsidRPr="001268E7">
        <w:rPr>
          <w:rFonts w:cs="Calibri"/>
          <w:sz w:val="24"/>
          <w:szCs w:val="24"/>
          <w:lang w:eastAsia="pl-PL"/>
        </w:rPr>
        <w:t>Jeżeli IZ zamierza zrezygnować z odzyskania stwierdzonej należności, upewnia się, że odstąpienie jest właściwe i zgodne z zasadą należytego zarządzania finansami i zasadą proporcjonalności.</w:t>
      </w:r>
      <w:r w:rsidR="004B654C" w:rsidRPr="001268E7">
        <w:rPr>
          <w:rFonts w:cs="Calibri"/>
          <w:sz w:val="24"/>
          <w:szCs w:val="24"/>
        </w:rPr>
        <w:t xml:space="preserve"> </w:t>
      </w:r>
    </w:p>
    <w:p w:rsidR="004B654C" w:rsidRPr="00666F85" w:rsidRDefault="00873571" w:rsidP="00873571">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Opis procedury zapewniającej spełnienie wymogu przekazywania Komisji Europejskiej raportów dotyczących nieprawidłowości</w:t>
      </w:r>
    </w:p>
    <w:p w:rsidR="004B654C" w:rsidRPr="001268E7" w:rsidRDefault="00873571" w:rsidP="00406C81">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IZ informować będzie Komisję Europejską oraz Instytucje Krajowe Polski i Federacji Rosyjskiej o wszelkich krokach podjętych w celu odzyskania należnych kwot.</w:t>
      </w:r>
      <w:r w:rsidR="004B654C" w:rsidRPr="001268E7">
        <w:rPr>
          <w:rFonts w:cs="Calibri"/>
          <w:sz w:val="24"/>
          <w:szCs w:val="24"/>
        </w:rPr>
        <w:t xml:space="preserve"> </w:t>
      </w:r>
    </w:p>
    <w:p w:rsidR="004B654C" w:rsidRPr="001268E7" w:rsidRDefault="00873571" w:rsidP="004C6C7E">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lastRenderedPageBreak/>
        <w:t>Państwa uczestniczące powiadamiać będą niezwłocznie IZ oraz Komisję o tego rodzaju nieprawidłowościach i informować je będą na temat postępów w zakresie związanych z tym postępowań sądowych i administracyjnych</w:t>
      </w:r>
      <w:r w:rsidRPr="001268E7">
        <w:rPr>
          <w:rFonts w:cs="Calibri"/>
          <w:sz w:val="24"/>
          <w:szCs w:val="24"/>
        </w:rPr>
        <w:t>.</w:t>
      </w:r>
      <w:r w:rsidR="004B654C" w:rsidRPr="001268E7">
        <w:rPr>
          <w:rFonts w:cs="Calibri"/>
          <w:sz w:val="24"/>
          <w:szCs w:val="24"/>
        </w:rPr>
        <w:t xml:space="preserve"> </w:t>
      </w:r>
      <w:r w:rsidR="004C6C7E" w:rsidRPr="001268E7">
        <w:rPr>
          <w:rFonts w:cs="Calibri"/>
          <w:sz w:val="24"/>
          <w:szCs w:val="24"/>
          <w:lang w:eastAsia="pl-PL"/>
        </w:rPr>
        <w:t>Szczegółowe wskazania dotyczące informacji, jakie IZ zobowiązana będzie przekazywać Komisji, zawarte zostaną w Podręczniku Procedur IZ.</w:t>
      </w:r>
    </w:p>
    <w:p w:rsidR="004B654C" w:rsidRDefault="004C6C7E" w:rsidP="004C6C7E">
      <w:p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t>Wszelkich zwrotów środków należnych Komisji Europejskiej dokonuje się przed datą wskazaną w nakazie odzyskania środków.</w:t>
      </w:r>
      <w:r w:rsidR="004B654C" w:rsidRPr="001268E7">
        <w:rPr>
          <w:rFonts w:cs="Calibri"/>
          <w:sz w:val="24"/>
          <w:szCs w:val="24"/>
        </w:rPr>
        <w:t xml:space="preserve"> </w:t>
      </w:r>
      <w:r w:rsidRPr="001268E7">
        <w:rPr>
          <w:rFonts w:cs="Calibri"/>
          <w:sz w:val="24"/>
          <w:szCs w:val="24"/>
          <w:lang w:eastAsia="pl-PL"/>
        </w:rPr>
        <w:t>Termin płatności wynosi 45 dni od daty wystawienia noty debetowej.</w:t>
      </w:r>
      <w:r w:rsidR="004B654C" w:rsidRPr="001268E7">
        <w:rPr>
          <w:rFonts w:cs="Calibri"/>
          <w:sz w:val="24"/>
          <w:szCs w:val="24"/>
        </w:rPr>
        <w:t xml:space="preserve"> </w:t>
      </w:r>
      <w:r w:rsidRPr="001268E7">
        <w:rPr>
          <w:rFonts w:cs="Calibri"/>
          <w:sz w:val="24"/>
          <w:szCs w:val="24"/>
          <w:lang w:eastAsia="pl-PL"/>
        </w:rPr>
        <w:t>W przypadku zwłoki nalicza się odsetki z tytułu zaległej płatności za okres od upływu terminu płatności do daty faktycznej zapłaty.</w:t>
      </w:r>
      <w:r w:rsidR="004B654C" w:rsidRPr="001268E7">
        <w:rPr>
          <w:rFonts w:cs="Calibri"/>
          <w:sz w:val="24"/>
          <w:szCs w:val="24"/>
        </w:rPr>
        <w:t xml:space="preserve"> </w:t>
      </w:r>
      <w:r w:rsidRPr="001268E7">
        <w:rPr>
          <w:rFonts w:cs="Calibri"/>
          <w:sz w:val="24"/>
          <w:szCs w:val="24"/>
          <w:lang w:eastAsia="pl-PL"/>
        </w:rPr>
        <w:t>Stopa takich odsetek wynosi trzy i pół punktu procentowego powyżej stopy stosowanej przez Europejski Bank Centralny w głównych operacjach refinansowych obowiązującej w pierwszym dniu roboczym miesiąca, w którym przypada termin płatności.</w:t>
      </w:r>
      <w:r w:rsidR="004B654C" w:rsidRPr="001268E7">
        <w:rPr>
          <w:rFonts w:cs="Calibri"/>
          <w:sz w:val="24"/>
          <w:szCs w:val="24"/>
        </w:rPr>
        <w:t xml:space="preserve"> </w:t>
      </w:r>
      <w:r w:rsidRPr="001268E7">
        <w:rPr>
          <w:rFonts w:cs="Calibri"/>
          <w:sz w:val="24"/>
          <w:szCs w:val="24"/>
        </w:rPr>
        <w:t xml:space="preserve">Kwoty </w:t>
      </w:r>
      <w:r w:rsidRPr="001268E7">
        <w:rPr>
          <w:rFonts w:cs="Calibri"/>
          <w:sz w:val="24"/>
          <w:szCs w:val="24"/>
          <w:lang w:eastAsia="pl-PL"/>
        </w:rPr>
        <w:t>podlegające zwrotowi mogą być potrącane z wszelkich kwot należnych beneficjentowi lub państwu uczestniczącemu.</w:t>
      </w:r>
      <w:r w:rsidR="004B654C" w:rsidRPr="001268E7">
        <w:rPr>
          <w:rFonts w:cs="Calibri"/>
          <w:sz w:val="24"/>
          <w:szCs w:val="24"/>
        </w:rPr>
        <w:t xml:space="preserve"> </w:t>
      </w:r>
      <w:r w:rsidRPr="001268E7">
        <w:rPr>
          <w:rFonts w:cs="Calibri"/>
          <w:sz w:val="24"/>
          <w:szCs w:val="24"/>
          <w:lang w:eastAsia="pl-PL"/>
        </w:rPr>
        <w:t>Nie ma to wpływu na prawo stron do uzgodnienia rozłożenia płatności na raty.</w:t>
      </w:r>
    </w:p>
    <w:p w:rsidR="002121CB" w:rsidRPr="001268E7" w:rsidRDefault="002121CB" w:rsidP="004C6C7E">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lang w:eastAsia="pl-PL"/>
        </w:rPr>
        <w:t>Odpowiednie zapisy Porozumienia Finansowego mają zastosowanie dla Federacji Rosyjskiej.</w:t>
      </w:r>
    </w:p>
    <w:p w:rsidR="004B654C" w:rsidRPr="00666F85" w:rsidRDefault="004C6C7E" w:rsidP="004C6C7E">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Niezbędne działania prewencyjne i naprawcze</w:t>
      </w:r>
      <w:r w:rsidR="004B654C" w:rsidRPr="00666F85">
        <w:rPr>
          <w:rFonts w:asciiTheme="minorHAnsi" w:hAnsiTheme="minorHAnsi"/>
          <w:b/>
          <w:i/>
          <w:sz w:val="24"/>
          <w:u w:val="single"/>
        </w:rPr>
        <w:t xml:space="preserve"> </w:t>
      </w:r>
    </w:p>
    <w:p w:rsidR="004B654C" w:rsidRPr="001268E7" w:rsidRDefault="004C6C7E" w:rsidP="004C6C7E">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IZ będzie odpowiadała w pierwszej kolejności za dokonywanie wymaganych korekt finansowych i za odzyskiwanie środków.</w:t>
      </w:r>
      <w:r w:rsidR="004B654C" w:rsidRPr="001268E7">
        <w:rPr>
          <w:rFonts w:cs="Calibri"/>
          <w:sz w:val="24"/>
          <w:szCs w:val="24"/>
        </w:rPr>
        <w:t xml:space="preserve"> </w:t>
      </w:r>
      <w:r w:rsidRPr="001268E7">
        <w:rPr>
          <w:rFonts w:cs="Calibri"/>
          <w:sz w:val="24"/>
          <w:szCs w:val="24"/>
          <w:lang w:eastAsia="pl-PL"/>
        </w:rPr>
        <w:t>W przypadku nieprawidłowości systemowych</w:t>
      </w:r>
      <w:r w:rsidR="00C43C97" w:rsidRPr="001268E7">
        <w:rPr>
          <w:rFonts w:cs="Calibri"/>
          <w:sz w:val="24"/>
          <w:szCs w:val="24"/>
          <w:lang w:eastAsia="pl-PL"/>
        </w:rPr>
        <w:t>,</w:t>
      </w:r>
      <w:r w:rsidRPr="001268E7">
        <w:rPr>
          <w:rFonts w:cs="Calibri"/>
          <w:sz w:val="24"/>
          <w:szCs w:val="24"/>
          <w:lang w:eastAsia="pl-PL"/>
        </w:rPr>
        <w:t xml:space="preserve"> IZ rozszerza zakres swego dochodzenia w celu objęcia nim wszystkich operacji, których nieprawidłowości te mogą dotyczyć.</w:t>
      </w:r>
      <w:r w:rsidR="004B654C" w:rsidRPr="001268E7">
        <w:rPr>
          <w:rFonts w:cs="Calibri"/>
          <w:sz w:val="24"/>
          <w:szCs w:val="24"/>
        </w:rPr>
        <w:t xml:space="preserve"> </w:t>
      </w:r>
      <w:r w:rsidRPr="001268E7">
        <w:rPr>
          <w:rFonts w:cs="Calibri"/>
          <w:sz w:val="24"/>
          <w:szCs w:val="24"/>
          <w:lang w:eastAsia="pl-PL"/>
        </w:rPr>
        <w:t>IZ analizuje nieprawidłowości i w razie potrzeby prosi IK/KPK w danym kraju o podjęcie dalszego dochodzenia.</w:t>
      </w:r>
      <w:r w:rsidR="004B654C" w:rsidRPr="001268E7">
        <w:rPr>
          <w:rFonts w:cs="Calibri"/>
          <w:sz w:val="24"/>
          <w:szCs w:val="24"/>
        </w:rPr>
        <w:t xml:space="preserve"> </w:t>
      </w:r>
      <w:r w:rsidRPr="001268E7">
        <w:rPr>
          <w:rFonts w:cs="Calibri"/>
          <w:sz w:val="24"/>
          <w:szCs w:val="24"/>
          <w:lang w:eastAsia="pl-PL"/>
        </w:rPr>
        <w:t>Na podstawie tego dochodzenia oraz ustaleń dokonanych przez IK/KPK zaproponowane będą dalsze działania, propozycja ta przekazana zostanie IK w danym kraju do zatwierdzenia.</w:t>
      </w:r>
      <w:r w:rsidR="004B654C" w:rsidRPr="001268E7">
        <w:rPr>
          <w:rFonts w:cs="Calibri"/>
          <w:sz w:val="24"/>
          <w:szCs w:val="24"/>
        </w:rPr>
        <w:t xml:space="preserve"> </w:t>
      </w:r>
      <w:r w:rsidRPr="001268E7">
        <w:rPr>
          <w:rFonts w:cs="Calibri"/>
          <w:sz w:val="24"/>
          <w:szCs w:val="24"/>
        </w:rPr>
        <w:t xml:space="preserve">W przypadku środków </w:t>
      </w:r>
      <w:r w:rsidR="00A178C4">
        <w:rPr>
          <w:rFonts w:cs="Calibri"/>
          <w:sz w:val="24"/>
          <w:szCs w:val="24"/>
        </w:rPr>
        <w:t>UE</w:t>
      </w:r>
      <w:r w:rsidRPr="001268E7">
        <w:rPr>
          <w:rFonts w:cs="Calibri"/>
          <w:sz w:val="24"/>
          <w:szCs w:val="24"/>
        </w:rPr>
        <w:t>, decyzja dotycząca działań następczych podjęta zostanie przez IZ.</w:t>
      </w:r>
    </w:p>
    <w:p w:rsidR="004B654C" w:rsidRPr="001268E7" w:rsidRDefault="004C6C7E" w:rsidP="004C6C7E">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IZ dokonuje korekt finansowych wymaganych w związku z pojedynczymi lub systemowymi nieprawidłowościami stwierdzonymi w projektach, PT lub w Programie.</w:t>
      </w:r>
      <w:r w:rsidR="004B654C" w:rsidRPr="001268E7">
        <w:rPr>
          <w:rFonts w:cs="Calibri"/>
          <w:sz w:val="24"/>
          <w:szCs w:val="24"/>
        </w:rPr>
        <w:t xml:space="preserve"> </w:t>
      </w:r>
    </w:p>
    <w:p w:rsidR="004B654C" w:rsidRPr="001268E7" w:rsidRDefault="004C6C7E" w:rsidP="004C6C7E">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Komisja Europejska dokonywała będzie korekt finansowych poprzez anulowanie całości lub części wkładu Unii Europejskiej w Program zgodnie z art.</w:t>
      </w:r>
      <w:r w:rsidR="004B654C" w:rsidRPr="001268E7">
        <w:rPr>
          <w:rFonts w:cs="Calibri"/>
          <w:sz w:val="24"/>
          <w:szCs w:val="24"/>
        </w:rPr>
        <w:t xml:space="preserve"> </w:t>
      </w:r>
      <w:r w:rsidR="002E4F70" w:rsidRPr="001268E7">
        <w:rPr>
          <w:rFonts w:cs="Calibri"/>
          <w:sz w:val="24"/>
          <w:szCs w:val="24"/>
        </w:rPr>
        <w:t>72 i 73 R</w:t>
      </w:r>
      <w:r w:rsidRPr="001268E7">
        <w:rPr>
          <w:rFonts w:cs="Calibri"/>
          <w:sz w:val="24"/>
          <w:szCs w:val="24"/>
        </w:rPr>
        <w:t>W i Umową Finansową.</w:t>
      </w:r>
    </w:p>
    <w:p w:rsidR="004B654C" w:rsidRPr="00666F85" w:rsidRDefault="004C6C7E" w:rsidP="004C6C7E">
      <w:pPr>
        <w:autoSpaceDE w:val="0"/>
        <w:autoSpaceDN w:val="0"/>
        <w:adjustRightInd w:val="0"/>
        <w:spacing w:before="100" w:beforeAutospacing="1" w:after="100" w:afterAutospacing="1" w:line="240" w:lineRule="auto"/>
        <w:jc w:val="both"/>
        <w:rPr>
          <w:rFonts w:asciiTheme="minorHAnsi" w:hAnsiTheme="minorHAnsi"/>
          <w:b/>
          <w:i/>
          <w:sz w:val="24"/>
          <w:u w:val="single"/>
        </w:rPr>
      </w:pPr>
      <w:r w:rsidRPr="00666F85">
        <w:rPr>
          <w:rFonts w:asciiTheme="minorHAnsi" w:hAnsiTheme="minorHAnsi"/>
          <w:b/>
          <w:i/>
          <w:sz w:val="24"/>
          <w:u w:val="single"/>
        </w:rPr>
        <w:t>Metody zwalczania nadużyć finansowych</w:t>
      </w:r>
    </w:p>
    <w:p w:rsidR="004B654C" w:rsidRPr="001268E7" w:rsidRDefault="004C6C7E" w:rsidP="004C6C7E">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Jednym z głównych zadań IZ jest wdrażanie skutecznych i proporcjonalnych środków przeciwdziałania nadużyciom finansowym, z uwzględnieniem zidentyfikowanych zagrożeń.</w:t>
      </w:r>
      <w:r w:rsidR="004B654C" w:rsidRPr="001268E7">
        <w:rPr>
          <w:rFonts w:cs="Calibri"/>
          <w:sz w:val="24"/>
          <w:szCs w:val="24"/>
        </w:rPr>
        <w:t xml:space="preserve"> </w:t>
      </w:r>
      <w:r w:rsidRPr="001268E7">
        <w:rPr>
          <w:rFonts w:cs="Calibri"/>
          <w:sz w:val="24"/>
          <w:szCs w:val="24"/>
          <w:lang w:eastAsia="pl-PL"/>
        </w:rPr>
        <w:t>W celu zapewnienia ochrony interesów finansowych UE i FR, IZ podejmie wszelkie niezbędne kroki w celu zapobiegania, wykrywania i dokonywania korekt wobec wszelkich nieprawidłowości i przypadków nadużyć finansowych, a także w celu odstraszania osób chcących dopuścić się takich nieprawidłowości.</w:t>
      </w:r>
      <w:r w:rsidR="004B654C" w:rsidRPr="001268E7">
        <w:rPr>
          <w:rFonts w:cs="Calibri"/>
          <w:sz w:val="24"/>
          <w:szCs w:val="24"/>
        </w:rPr>
        <w:t xml:space="preserve"> </w:t>
      </w:r>
    </w:p>
    <w:p w:rsidR="004B654C" w:rsidRPr="001268E7" w:rsidRDefault="00EF2F08" w:rsidP="004C6C7E">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rPr>
        <w:t>N</w:t>
      </w:r>
      <w:r w:rsidR="004C6C7E" w:rsidRPr="001268E7">
        <w:rPr>
          <w:rFonts w:cs="Calibri"/>
          <w:sz w:val="24"/>
          <w:szCs w:val="24"/>
          <w:lang w:eastAsia="pl-PL"/>
        </w:rPr>
        <w:t xml:space="preserve">ajbardziej narażone na konkretne ryzyka związane z nadużyciami finansowymi są trzy </w:t>
      </w:r>
      <w:r w:rsidR="00C43C97" w:rsidRPr="001268E7">
        <w:rPr>
          <w:rFonts w:cs="Calibri"/>
          <w:sz w:val="24"/>
          <w:szCs w:val="24"/>
          <w:lang w:eastAsia="pl-PL"/>
        </w:rPr>
        <w:t xml:space="preserve">kluczowe </w:t>
      </w:r>
      <w:r w:rsidR="004C6C7E" w:rsidRPr="001268E7">
        <w:rPr>
          <w:rFonts w:cs="Calibri"/>
          <w:sz w:val="24"/>
          <w:szCs w:val="24"/>
          <w:lang w:eastAsia="pl-PL"/>
        </w:rPr>
        <w:t>procesy i to na nich należy skoncentrować podejmowane działania:</w:t>
      </w:r>
    </w:p>
    <w:p w:rsidR="004C6C7E" w:rsidRPr="001268E7" w:rsidRDefault="004C6C7E" w:rsidP="00246345">
      <w:pPr>
        <w:pStyle w:val="Akapitzlist1"/>
        <w:numPr>
          <w:ilvl w:val="0"/>
          <w:numId w:val="9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wybór beneficjentów;</w:t>
      </w:r>
    </w:p>
    <w:p w:rsidR="004C6C7E" w:rsidRPr="001268E7" w:rsidRDefault="004C6C7E" w:rsidP="00246345">
      <w:pPr>
        <w:pStyle w:val="Akapitzlist1"/>
        <w:numPr>
          <w:ilvl w:val="0"/>
          <w:numId w:val="9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lastRenderedPageBreak/>
        <w:t>wdrażanie i weryfikacja projektów;</w:t>
      </w:r>
    </w:p>
    <w:p w:rsidR="004C6C7E" w:rsidRPr="001268E7" w:rsidRDefault="004C6C7E" w:rsidP="00246345">
      <w:pPr>
        <w:pStyle w:val="Akapitzlist1"/>
        <w:numPr>
          <w:ilvl w:val="0"/>
          <w:numId w:val="92"/>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certyfikacje i płatności.</w:t>
      </w:r>
    </w:p>
    <w:p w:rsidR="004B654C" w:rsidRPr="001268E7" w:rsidRDefault="00BE7E0C" w:rsidP="00BE7E0C">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Monitorowane mogą być także zamówienia publiczne oraz wydatki na PT.</w:t>
      </w:r>
    </w:p>
    <w:p w:rsidR="00AD1A7D" w:rsidRDefault="00BE7E0C" w:rsidP="00002973">
      <w:pPr>
        <w:autoSpaceDE w:val="0"/>
        <w:autoSpaceDN w:val="0"/>
        <w:adjustRightInd w:val="0"/>
        <w:spacing w:before="100" w:beforeAutospacing="1" w:after="100" w:afterAutospacing="1" w:line="240" w:lineRule="auto"/>
        <w:jc w:val="both"/>
      </w:pPr>
      <w:r w:rsidRPr="001268E7">
        <w:rPr>
          <w:rFonts w:cs="Calibri"/>
          <w:sz w:val="24"/>
          <w:szCs w:val="24"/>
          <w:lang w:eastAsia="pl-PL"/>
        </w:rPr>
        <w:t xml:space="preserve">IZ odpowiadać będzie nie tylko za rozpoznawanie czynników ryzyka związanych z nadużyciami finansowymi, za przeprowadzanie samooceny prawdopodobieństwa i konsekwencji konkretnych scenariuszy i czynników ryzyka związanych z nadużyciami finansowymi, </w:t>
      </w:r>
      <w:r w:rsidR="00C43C97" w:rsidRPr="001268E7">
        <w:rPr>
          <w:rFonts w:cs="Calibri"/>
          <w:sz w:val="24"/>
          <w:szCs w:val="24"/>
          <w:lang w:eastAsia="pl-PL"/>
        </w:rPr>
        <w:t xml:space="preserve">za dokonywanie oceny skuteczności obecnych działań kontrolnych, </w:t>
      </w:r>
      <w:r w:rsidRPr="001268E7">
        <w:rPr>
          <w:rFonts w:cs="Calibri"/>
          <w:sz w:val="24"/>
          <w:szCs w:val="24"/>
          <w:lang w:eastAsia="pl-PL"/>
        </w:rPr>
        <w:t>ale także za dokonywanie oceny konsekwencji planowanych dodatkowych działań kontrolnych i za definiowanie poziomu ryzyka, który IZ uznawać będzie za możliwy do przyjęcia.</w:t>
      </w:r>
      <w:bookmarkStart w:id="59" w:name="_Toc420415011"/>
    </w:p>
    <w:p w:rsidR="004B654C" w:rsidRPr="001268E7" w:rsidRDefault="00C43C97" w:rsidP="00BE7E0C">
      <w:pPr>
        <w:pStyle w:val="Nagwek2"/>
        <w:rPr>
          <w:rFonts w:eastAsia="Calibri"/>
          <w:szCs w:val="28"/>
        </w:rPr>
      </w:pPr>
      <w:bookmarkStart w:id="60" w:name="_Toc530737592"/>
      <w:r w:rsidRPr="001268E7">
        <w:rPr>
          <w:rFonts w:eastAsia="Calibri"/>
          <w:szCs w:val="28"/>
        </w:rPr>
        <w:t>4.10 Strategiczna Ocena Oddziaływania Programu na Ś</w:t>
      </w:r>
      <w:r w:rsidR="00BE7E0C" w:rsidRPr="001268E7">
        <w:rPr>
          <w:rFonts w:eastAsia="Calibri"/>
          <w:szCs w:val="28"/>
        </w:rPr>
        <w:t>rodowisko</w:t>
      </w:r>
      <w:bookmarkEnd w:id="60"/>
    </w:p>
    <w:p w:rsidR="004B654C" w:rsidRPr="00F97A36" w:rsidRDefault="00C43C97" w:rsidP="00F97A36">
      <w:p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t>Strategiczna Ocena Oddziaływania na Ś</w:t>
      </w:r>
      <w:r w:rsidR="00BE7E0C" w:rsidRPr="001268E7">
        <w:rPr>
          <w:rFonts w:cs="Calibri"/>
          <w:sz w:val="24"/>
          <w:szCs w:val="24"/>
          <w:lang w:eastAsia="pl-PL"/>
        </w:rPr>
        <w:t>rodowisko (SOOŚ) obejmuje cały obszar Programu.</w:t>
      </w:r>
    </w:p>
    <w:p w:rsidR="004B654C" w:rsidRPr="001268E7" w:rsidRDefault="00C43C97" w:rsidP="00002973">
      <w:pPr>
        <w:autoSpaceDE w:val="0"/>
        <w:autoSpaceDN w:val="0"/>
        <w:adjustRightInd w:val="0"/>
        <w:spacing w:before="100" w:beforeAutospacing="1" w:after="100" w:afterAutospacing="1" w:line="240" w:lineRule="auto"/>
        <w:jc w:val="both"/>
        <w:rPr>
          <w:rFonts w:eastAsia="Times New Roman"/>
          <w:sz w:val="24"/>
          <w:szCs w:val="24"/>
          <w:lang w:eastAsia="en-GB"/>
        </w:rPr>
      </w:pPr>
      <w:r w:rsidRPr="001268E7">
        <w:rPr>
          <w:rFonts w:cs="Calibri"/>
          <w:sz w:val="24"/>
          <w:szCs w:val="24"/>
          <w:lang w:eastAsia="pl-PL"/>
        </w:rPr>
        <w:t>Strategiczna Ocena Oddziaływania na Ś</w:t>
      </w:r>
      <w:r w:rsidR="00BE7E0C" w:rsidRPr="001268E7">
        <w:rPr>
          <w:rFonts w:cs="Calibri"/>
          <w:sz w:val="24"/>
          <w:szCs w:val="24"/>
          <w:lang w:eastAsia="pl-PL"/>
        </w:rPr>
        <w:t>rodowisko (SOOŚ) przeprowadzona została w odniesieniu do wstępnej wersji</w:t>
      </w:r>
      <w:r w:rsidR="000306B8" w:rsidRPr="001268E7">
        <w:rPr>
          <w:rFonts w:cs="Calibri"/>
          <w:sz w:val="24"/>
          <w:szCs w:val="24"/>
          <w:lang w:eastAsia="pl-PL"/>
        </w:rPr>
        <w:t xml:space="preserve"> Programu zgodnie z</w:t>
      </w:r>
      <w:r w:rsidR="00BE7E0C" w:rsidRPr="001268E7">
        <w:rPr>
          <w:rFonts w:cs="Calibri"/>
          <w:sz w:val="24"/>
          <w:szCs w:val="24"/>
          <w:lang w:eastAsia="pl-PL"/>
        </w:rPr>
        <w:t xml:space="preserve"> regulacjami UE</w:t>
      </w:r>
      <w:r w:rsidR="004E15E2">
        <w:rPr>
          <w:rStyle w:val="Odwoanieprzypisudolnego"/>
          <w:rFonts w:cs="Calibri"/>
          <w:sz w:val="24"/>
          <w:szCs w:val="24"/>
          <w:lang w:eastAsia="pl-PL"/>
        </w:rPr>
        <w:footnoteReference w:id="8"/>
      </w:r>
      <w:r w:rsidR="00BE7E0C" w:rsidRPr="001268E7">
        <w:rPr>
          <w:rFonts w:cs="Calibri"/>
          <w:sz w:val="24"/>
          <w:szCs w:val="24"/>
          <w:lang w:eastAsia="pl-PL"/>
        </w:rPr>
        <w:t xml:space="preserve"> oraz z przepisami polskiej Ustawy</w:t>
      </w:r>
      <w:r w:rsidR="000306B8" w:rsidRPr="001268E7">
        <w:rPr>
          <w:rFonts w:cs="Calibri"/>
          <w:sz w:val="24"/>
          <w:szCs w:val="24"/>
          <w:lang w:eastAsia="pl-PL"/>
        </w:rPr>
        <w:t xml:space="preserve"> </w:t>
      </w:r>
      <w:r w:rsidR="00BE7E0C" w:rsidRPr="001268E7">
        <w:rPr>
          <w:rFonts w:cs="Calibri"/>
          <w:sz w:val="24"/>
          <w:szCs w:val="24"/>
          <w:lang w:eastAsia="pl-PL"/>
        </w:rPr>
        <w:t>z dnia 3 października 2008 r. o udostępnianiu informacji o środowisku i jego ochronie, udziale społeczeństwa w ochronie środowiska oraz o ocenach oddziaływania na środowisko.</w:t>
      </w:r>
      <w:r w:rsidR="004B654C" w:rsidRPr="00F97A36">
        <w:rPr>
          <w:rFonts w:cs="Calibri"/>
          <w:sz w:val="24"/>
          <w:szCs w:val="24"/>
          <w:lang w:eastAsia="pl-PL"/>
        </w:rPr>
        <w:t xml:space="preserve"> </w:t>
      </w:r>
      <w:r w:rsidR="00BE7E0C" w:rsidRPr="00F97A36">
        <w:rPr>
          <w:rFonts w:cs="Calibri"/>
          <w:sz w:val="24"/>
          <w:szCs w:val="24"/>
          <w:lang w:eastAsia="pl-PL"/>
        </w:rPr>
        <w:t>Przepisy prawa Federacji Rosyjskiej nie zawierają żadnych szczegółowych postanowień dotyczących strategicznej oceny oddziaływania na środowisko na terytorium Federacji Rosyjskiej na potrzeby realizacji Programu Współpracy Transgranicznej.</w:t>
      </w:r>
      <w:r w:rsidR="004B654C" w:rsidRPr="00F97A36">
        <w:rPr>
          <w:rFonts w:cs="Calibri"/>
          <w:sz w:val="24"/>
          <w:szCs w:val="24"/>
          <w:lang w:eastAsia="pl-PL"/>
        </w:rPr>
        <w:t xml:space="preserve"> </w:t>
      </w:r>
      <w:r w:rsidR="00BE7E0C" w:rsidRPr="001268E7">
        <w:rPr>
          <w:rFonts w:cs="Calibri"/>
          <w:sz w:val="24"/>
          <w:szCs w:val="24"/>
          <w:lang w:eastAsia="pl-PL"/>
        </w:rPr>
        <w:t>SOOŚ przeprowadzona została zgodnie z zaleceniami Generalnego Dyrektora Ochrony Środowiska (GDOŚ) oraz Głównego Inspektora Sanitarnego (GIS) Rzeczpospolitej Polskiej, z którymi uzgodnione zostały zakres i stopień szczegółowości oceny.</w:t>
      </w:r>
      <w:r w:rsidR="004B654C" w:rsidRPr="00F97A36">
        <w:rPr>
          <w:rFonts w:cs="Calibri"/>
          <w:sz w:val="24"/>
          <w:szCs w:val="24"/>
          <w:lang w:eastAsia="pl-PL"/>
        </w:rPr>
        <w:t xml:space="preserve"> </w:t>
      </w:r>
      <w:r w:rsidR="00BE7E0C" w:rsidRPr="001268E7">
        <w:rPr>
          <w:rFonts w:cs="Calibri"/>
          <w:sz w:val="24"/>
          <w:szCs w:val="24"/>
          <w:lang w:eastAsia="pl-PL"/>
        </w:rPr>
        <w:t>Opracowana została wstępna wersja raportu</w:t>
      </w:r>
      <w:r w:rsidR="004E15E2">
        <w:rPr>
          <w:rStyle w:val="Odwoanieprzypisudolnego"/>
          <w:rFonts w:cs="Calibri"/>
          <w:sz w:val="24"/>
          <w:szCs w:val="24"/>
          <w:lang w:eastAsia="pl-PL"/>
        </w:rPr>
        <w:footnoteReference w:customMarkFollows="1" w:id="9"/>
        <w:t>12</w:t>
      </w:r>
      <w:r w:rsidR="00BE7E0C" w:rsidRPr="001268E7">
        <w:rPr>
          <w:rFonts w:cs="Calibri"/>
          <w:sz w:val="24"/>
          <w:szCs w:val="24"/>
          <w:lang w:eastAsia="pl-PL"/>
        </w:rPr>
        <w:t xml:space="preserve"> środowiskowego, która następnie została – wraz</w:t>
      </w:r>
      <w:r w:rsidR="000306B8" w:rsidRPr="001268E7">
        <w:rPr>
          <w:rFonts w:cs="Calibri"/>
          <w:sz w:val="24"/>
          <w:szCs w:val="24"/>
          <w:lang w:eastAsia="pl-PL"/>
        </w:rPr>
        <w:t xml:space="preserve"> z</w:t>
      </w:r>
      <w:r w:rsidR="00BE7E0C" w:rsidRPr="001268E7">
        <w:rPr>
          <w:rFonts w:cs="Calibri"/>
          <w:sz w:val="24"/>
          <w:szCs w:val="24"/>
          <w:lang w:eastAsia="pl-PL"/>
        </w:rPr>
        <w:t xml:space="preserve"> </w:t>
      </w:r>
      <w:r w:rsidR="000306B8" w:rsidRPr="001268E7">
        <w:rPr>
          <w:rFonts w:cs="Calibri"/>
          <w:sz w:val="24"/>
          <w:szCs w:val="24"/>
          <w:lang w:eastAsia="pl-PL"/>
        </w:rPr>
        <w:t>wstępną wersją</w:t>
      </w:r>
      <w:r w:rsidR="00BE7E0C" w:rsidRPr="001268E7">
        <w:rPr>
          <w:rFonts w:cs="Calibri"/>
          <w:sz w:val="24"/>
          <w:szCs w:val="24"/>
          <w:lang w:eastAsia="pl-PL"/>
        </w:rPr>
        <w:t xml:space="preserve"> Programu - przekazana do konsultacji.</w:t>
      </w:r>
      <w:r w:rsidR="004B654C" w:rsidRPr="00F97A36">
        <w:rPr>
          <w:rFonts w:cs="Calibri"/>
          <w:sz w:val="24"/>
          <w:szCs w:val="24"/>
          <w:lang w:eastAsia="pl-PL"/>
        </w:rPr>
        <w:t xml:space="preserve"> </w:t>
      </w:r>
      <w:r w:rsidR="00BE7E0C" w:rsidRPr="001268E7">
        <w:rPr>
          <w:rFonts w:cs="Calibri"/>
          <w:sz w:val="24"/>
          <w:szCs w:val="24"/>
          <w:lang w:eastAsia="pl-PL"/>
        </w:rPr>
        <w:t>Podsumowanie</w:t>
      </w:r>
      <w:r w:rsidR="000306B8" w:rsidRPr="001268E7">
        <w:rPr>
          <w:rFonts w:cs="Calibri"/>
          <w:sz w:val="24"/>
          <w:szCs w:val="24"/>
          <w:lang w:eastAsia="pl-PL"/>
        </w:rPr>
        <w:t xml:space="preserve"> SOOŚ stanowi aneks</w:t>
      </w:r>
      <w:r w:rsidR="00BE7E0C" w:rsidRPr="001268E7">
        <w:rPr>
          <w:rFonts w:cs="Calibri"/>
          <w:sz w:val="24"/>
          <w:szCs w:val="24"/>
          <w:lang w:eastAsia="pl-PL"/>
        </w:rPr>
        <w:t xml:space="preserve"> do WPO (Aneks </w:t>
      </w:r>
      <w:r w:rsidR="00AD1A7D">
        <w:rPr>
          <w:rFonts w:cs="Calibri"/>
          <w:sz w:val="24"/>
          <w:szCs w:val="24"/>
          <w:lang w:eastAsia="pl-PL"/>
        </w:rPr>
        <w:t>1</w:t>
      </w:r>
      <w:r w:rsidR="00AD1A7D" w:rsidRPr="001268E7">
        <w:rPr>
          <w:rFonts w:cs="Calibri"/>
          <w:sz w:val="24"/>
          <w:szCs w:val="24"/>
          <w:lang w:eastAsia="pl-PL"/>
        </w:rPr>
        <w:t>).</w:t>
      </w:r>
    </w:p>
    <w:p w:rsidR="004B654C" w:rsidRPr="001268E7" w:rsidRDefault="000306B8" w:rsidP="00BE7E0C">
      <w:pPr>
        <w:spacing w:after="0"/>
        <w:rPr>
          <w:rFonts w:eastAsia="Times New Roman"/>
          <w:sz w:val="24"/>
          <w:szCs w:val="24"/>
          <w:lang w:eastAsia="en-GB"/>
        </w:rPr>
      </w:pPr>
      <w:r w:rsidRPr="001268E7">
        <w:rPr>
          <w:rFonts w:cs="Calibri"/>
          <w:sz w:val="24"/>
          <w:szCs w:val="24"/>
          <w:lang w:eastAsia="pl-PL"/>
        </w:rPr>
        <w:t xml:space="preserve">Podsumowanie to zawiera </w:t>
      </w:r>
      <w:r w:rsidR="00BE7E0C" w:rsidRPr="001268E7">
        <w:rPr>
          <w:rFonts w:cs="Calibri"/>
          <w:sz w:val="24"/>
          <w:szCs w:val="24"/>
          <w:lang w:eastAsia="pl-PL"/>
        </w:rPr>
        <w:t>omówienie następujących zagadnień:</w:t>
      </w:r>
      <w:r w:rsidR="004B654C" w:rsidRPr="001268E7">
        <w:rPr>
          <w:rFonts w:eastAsia="Times New Roman"/>
          <w:sz w:val="24"/>
          <w:szCs w:val="24"/>
          <w:lang w:eastAsia="en-GB"/>
        </w:rPr>
        <w:t xml:space="preserve"> </w:t>
      </w:r>
    </w:p>
    <w:p w:rsidR="00BE7E0C" w:rsidRPr="00217DBB" w:rsidRDefault="00BE7E0C" w:rsidP="00246345">
      <w:pPr>
        <w:pStyle w:val="Akapitzlist1"/>
        <w:numPr>
          <w:ilvl w:val="0"/>
          <w:numId w:val="92"/>
        </w:numPr>
        <w:spacing w:before="100" w:beforeAutospacing="1" w:after="100" w:afterAutospacing="1" w:line="240" w:lineRule="auto"/>
        <w:contextualSpacing w:val="0"/>
        <w:jc w:val="both"/>
        <w:rPr>
          <w:rFonts w:cs="Calibri"/>
          <w:sz w:val="24"/>
          <w:szCs w:val="24"/>
          <w:lang w:eastAsia="pl-PL"/>
        </w:rPr>
      </w:pPr>
      <w:r w:rsidRPr="001268E7">
        <w:rPr>
          <w:rFonts w:cs="Calibri"/>
          <w:sz w:val="24"/>
          <w:szCs w:val="24"/>
          <w:lang w:eastAsia="pl-PL"/>
        </w:rPr>
        <w:t xml:space="preserve">W jaki sposób w Programie uwzględnione zostały kwestie </w:t>
      </w:r>
      <w:r w:rsidR="000306B8" w:rsidRPr="001268E7">
        <w:rPr>
          <w:rFonts w:cs="Calibri"/>
          <w:sz w:val="24"/>
          <w:szCs w:val="24"/>
          <w:lang w:eastAsia="pl-PL"/>
        </w:rPr>
        <w:t>dotyczące środowiska naturalnego</w:t>
      </w:r>
      <w:r w:rsidRPr="001268E7">
        <w:rPr>
          <w:rFonts w:cs="Calibri"/>
          <w:sz w:val="24"/>
          <w:szCs w:val="24"/>
          <w:lang w:eastAsia="pl-PL"/>
        </w:rPr>
        <w:t>.</w:t>
      </w:r>
    </w:p>
    <w:p w:rsidR="00BE7E0C" w:rsidRPr="00217DBB" w:rsidRDefault="00BE7E0C" w:rsidP="00246345">
      <w:pPr>
        <w:pStyle w:val="Akapitzlist1"/>
        <w:numPr>
          <w:ilvl w:val="0"/>
          <w:numId w:val="92"/>
        </w:numPr>
        <w:spacing w:before="100" w:beforeAutospacing="1" w:after="100" w:afterAutospacing="1" w:line="240" w:lineRule="auto"/>
        <w:contextualSpacing w:val="0"/>
        <w:jc w:val="both"/>
        <w:rPr>
          <w:rFonts w:cs="Calibri"/>
          <w:sz w:val="24"/>
          <w:szCs w:val="24"/>
          <w:lang w:eastAsia="pl-PL"/>
        </w:rPr>
      </w:pPr>
      <w:r w:rsidRPr="001268E7">
        <w:rPr>
          <w:rFonts w:cs="Calibri"/>
          <w:sz w:val="24"/>
          <w:szCs w:val="24"/>
          <w:lang w:eastAsia="pl-PL"/>
        </w:rPr>
        <w:t>W jaki sposób zalecenia i komentarze zawarte w raporcie dotyczącym środowiska naturalnego zostały uwzględnione w treści Programu i w jaki sposób wyniki konsultacji z odpowiednimi władzami oraz z opinią publiczną zostały wzięte pod uwagę, oraz</w:t>
      </w:r>
    </w:p>
    <w:p w:rsidR="00BE7E0C" w:rsidRPr="00217DBB" w:rsidRDefault="00BE7E0C" w:rsidP="00246345">
      <w:pPr>
        <w:pStyle w:val="Akapitzlist1"/>
        <w:numPr>
          <w:ilvl w:val="0"/>
          <w:numId w:val="92"/>
        </w:numPr>
        <w:spacing w:before="100" w:beforeAutospacing="1" w:after="100" w:afterAutospacing="1" w:line="240" w:lineRule="auto"/>
        <w:contextualSpacing w:val="0"/>
        <w:jc w:val="both"/>
        <w:rPr>
          <w:rFonts w:cs="Calibri"/>
          <w:sz w:val="24"/>
          <w:szCs w:val="24"/>
          <w:lang w:eastAsia="pl-PL"/>
        </w:rPr>
      </w:pPr>
      <w:r w:rsidRPr="001268E7">
        <w:rPr>
          <w:rFonts w:cs="Calibri"/>
          <w:sz w:val="24"/>
          <w:szCs w:val="24"/>
          <w:lang w:eastAsia="pl-PL"/>
        </w:rPr>
        <w:t>Przyczyny przyjęcia Programu w aktualnej postaci, w świetle innych dostępnych alternatyw.</w:t>
      </w:r>
    </w:p>
    <w:p w:rsidR="004B654C" w:rsidRDefault="00BE7E0C" w:rsidP="00F97A36">
      <w:p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lastRenderedPageBreak/>
        <w:t>Podsumowanie zawiera też informacje na temat tego, w jaki sposób przeprowadzane będzie monitorowanie oddziaływania na środowisko, a także informacje na temat metod i częstotliwości analiz dotyczących wdrażania Programu.</w:t>
      </w:r>
    </w:p>
    <w:p w:rsidR="005608F6" w:rsidRPr="008D5BE7" w:rsidRDefault="005608F6" w:rsidP="005608F6">
      <w:pPr>
        <w:autoSpaceDE w:val="0"/>
        <w:autoSpaceDN w:val="0"/>
        <w:adjustRightInd w:val="0"/>
        <w:spacing w:before="100" w:beforeAutospacing="1" w:after="100" w:afterAutospacing="1"/>
        <w:jc w:val="both"/>
        <w:rPr>
          <w:rFonts w:asciiTheme="minorHAnsi" w:hAnsiTheme="minorHAnsi" w:cstheme="minorHAnsi"/>
          <w:b/>
          <w:i/>
          <w:sz w:val="24"/>
          <w:szCs w:val="24"/>
          <w:u w:val="single"/>
        </w:rPr>
      </w:pPr>
      <w:r w:rsidRPr="008D5BE7">
        <w:rPr>
          <w:rFonts w:asciiTheme="minorHAnsi" w:hAnsiTheme="minorHAnsi" w:cstheme="minorHAnsi"/>
          <w:b/>
          <w:i/>
          <w:sz w:val="24"/>
          <w:szCs w:val="24"/>
          <w:u w:val="single"/>
        </w:rPr>
        <w:t>Nietechniczne podsumowanie oceny oddziaływania na środowisko</w:t>
      </w:r>
    </w:p>
    <w:p w:rsidR="005608F6" w:rsidRPr="008D5BE7" w:rsidRDefault="005608F6" w:rsidP="005608F6">
      <w:pPr>
        <w:autoSpaceDE w:val="0"/>
        <w:autoSpaceDN w:val="0"/>
        <w:adjustRightInd w:val="0"/>
        <w:spacing w:before="100" w:beforeAutospacing="1" w:after="100" w:afterAutospacing="1"/>
        <w:jc w:val="both"/>
        <w:rPr>
          <w:rStyle w:val="Wyrnienieintensywne"/>
          <w:rFonts w:asciiTheme="minorHAnsi" w:hAnsiTheme="minorHAnsi" w:cstheme="minorHAnsi"/>
          <w:b/>
          <w:i/>
          <w:szCs w:val="24"/>
        </w:rPr>
      </w:pPr>
      <w:r w:rsidRPr="008D5BE7">
        <w:rPr>
          <w:rStyle w:val="Wyrnienieintensywne"/>
          <w:rFonts w:asciiTheme="minorHAnsi" w:hAnsiTheme="minorHAnsi" w:cstheme="minorHAnsi"/>
          <w:b/>
          <w:i/>
          <w:szCs w:val="24"/>
        </w:rPr>
        <w:t>Ramy formalne, cele i zakres</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Głównym celem Programu jest wspieranie transgranicznych procesów rozwojowych na pograniczu Polski i Rosji. Strategia Programu odpowiada krajowym i regionalnym strategiom rozwoju społeczno-gospodarczego, które są realizowane poprzez strategiczne cele Programu.</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W Programie przewidziano wspieranie działań w zakresie następujących priorytetów:</w:t>
      </w:r>
    </w:p>
    <w:p w:rsidR="005608F6" w:rsidRPr="00217DBB" w:rsidRDefault="005608F6" w:rsidP="00246345">
      <w:pPr>
        <w:pStyle w:val="Akapitzlist1"/>
        <w:numPr>
          <w:ilvl w:val="0"/>
          <w:numId w:val="92"/>
        </w:numPr>
        <w:spacing w:before="100" w:beforeAutospacing="1" w:after="100" w:afterAutospacing="1" w:line="240" w:lineRule="auto"/>
        <w:contextualSpacing w:val="0"/>
        <w:jc w:val="both"/>
        <w:rPr>
          <w:rFonts w:cs="Calibri"/>
          <w:sz w:val="24"/>
          <w:szCs w:val="24"/>
          <w:lang w:eastAsia="pl-PL"/>
        </w:rPr>
      </w:pPr>
      <w:r w:rsidRPr="00E602EF">
        <w:rPr>
          <w:rFonts w:cs="Calibri"/>
          <w:b/>
          <w:sz w:val="24"/>
          <w:szCs w:val="24"/>
          <w:lang w:eastAsia="pl-PL"/>
        </w:rPr>
        <w:t>Priorytet 1.</w:t>
      </w:r>
      <w:r w:rsidRPr="00217DBB">
        <w:rPr>
          <w:rFonts w:cs="Calibri"/>
          <w:sz w:val="24"/>
          <w:szCs w:val="24"/>
          <w:lang w:eastAsia="pl-PL"/>
        </w:rPr>
        <w:t xml:space="preserve"> Współpraca w zakresie dziedzictwa historycznego, przyrodniczego i kulturowego w celu jego ochrony</w:t>
      </w:r>
      <w:r w:rsidR="00E6382A" w:rsidRPr="00217DBB">
        <w:rPr>
          <w:rFonts w:cs="Calibri"/>
          <w:sz w:val="24"/>
          <w:szCs w:val="24"/>
          <w:lang w:eastAsia="pl-PL"/>
        </w:rPr>
        <w:t xml:space="preserve"> </w:t>
      </w:r>
      <w:r w:rsidRPr="00217DBB">
        <w:rPr>
          <w:rFonts w:cs="Calibri"/>
          <w:sz w:val="24"/>
          <w:szCs w:val="24"/>
          <w:lang w:eastAsia="pl-PL"/>
        </w:rPr>
        <w:t>i rozwoju transgranicznego;</w:t>
      </w:r>
    </w:p>
    <w:p w:rsidR="005608F6" w:rsidRPr="00217DBB" w:rsidRDefault="005608F6" w:rsidP="00246345">
      <w:pPr>
        <w:pStyle w:val="Akapitzlist1"/>
        <w:numPr>
          <w:ilvl w:val="0"/>
          <w:numId w:val="92"/>
        </w:numPr>
        <w:spacing w:before="100" w:beforeAutospacing="1" w:after="100" w:afterAutospacing="1" w:line="240" w:lineRule="auto"/>
        <w:contextualSpacing w:val="0"/>
        <w:jc w:val="both"/>
        <w:rPr>
          <w:rFonts w:cs="Calibri"/>
          <w:sz w:val="24"/>
          <w:szCs w:val="24"/>
          <w:lang w:eastAsia="pl-PL"/>
        </w:rPr>
      </w:pPr>
      <w:r w:rsidRPr="00E602EF">
        <w:rPr>
          <w:rFonts w:cs="Calibri"/>
          <w:b/>
          <w:sz w:val="24"/>
          <w:szCs w:val="24"/>
          <w:lang w:eastAsia="pl-PL"/>
        </w:rPr>
        <w:t>Priorytet 2.</w:t>
      </w:r>
      <w:r w:rsidRPr="00217DBB">
        <w:rPr>
          <w:rFonts w:cs="Calibri"/>
          <w:sz w:val="24"/>
          <w:szCs w:val="24"/>
          <w:lang w:eastAsia="pl-PL"/>
        </w:rPr>
        <w:t xml:space="preserve"> Współpraca na rzecz czystego środowiska na obszarze transgranicznym;</w:t>
      </w:r>
    </w:p>
    <w:p w:rsidR="005608F6" w:rsidRPr="00217DBB" w:rsidRDefault="005608F6" w:rsidP="00246345">
      <w:pPr>
        <w:pStyle w:val="Akapitzlist1"/>
        <w:numPr>
          <w:ilvl w:val="0"/>
          <w:numId w:val="92"/>
        </w:numPr>
        <w:spacing w:before="100" w:beforeAutospacing="1" w:after="100" w:afterAutospacing="1" w:line="240" w:lineRule="auto"/>
        <w:contextualSpacing w:val="0"/>
        <w:jc w:val="both"/>
        <w:rPr>
          <w:rFonts w:cs="Calibri"/>
          <w:sz w:val="24"/>
          <w:szCs w:val="24"/>
          <w:lang w:eastAsia="pl-PL"/>
        </w:rPr>
      </w:pPr>
      <w:r w:rsidRPr="00E602EF">
        <w:rPr>
          <w:rFonts w:cs="Calibri"/>
          <w:b/>
          <w:sz w:val="24"/>
          <w:szCs w:val="24"/>
          <w:lang w:eastAsia="pl-PL"/>
        </w:rPr>
        <w:t>Priorytet 3.</w:t>
      </w:r>
      <w:r w:rsidRPr="00217DBB">
        <w:rPr>
          <w:rFonts w:cs="Calibri"/>
          <w:sz w:val="24"/>
          <w:szCs w:val="24"/>
          <w:lang w:eastAsia="pl-PL"/>
        </w:rPr>
        <w:t xml:space="preserve"> Dostępność regionów i zrównoważony transgraniczny transport i komunikacja;</w:t>
      </w:r>
    </w:p>
    <w:p w:rsidR="005608F6" w:rsidRPr="00217DBB" w:rsidRDefault="005608F6" w:rsidP="00246345">
      <w:pPr>
        <w:pStyle w:val="Akapitzlist1"/>
        <w:numPr>
          <w:ilvl w:val="0"/>
          <w:numId w:val="92"/>
        </w:numPr>
        <w:spacing w:before="100" w:beforeAutospacing="1" w:after="100" w:afterAutospacing="1" w:line="240" w:lineRule="auto"/>
        <w:contextualSpacing w:val="0"/>
        <w:jc w:val="both"/>
        <w:rPr>
          <w:rFonts w:cs="Calibri"/>
          <w:sz w:val="24"/>
          <w:szCs w:val="24"/>
          <w:lang w:eastAsia="pl-PL"/>
        </w:rPr>
      </w:pPr>
      <w:r w:rsidRPr="00E602EF">
        <w:rPr>
          <w:rFonts w:cs="Calibri"/>
          <w:b/>
          <w:sz w:val="24"/>
          <w:szCs w:val="24"/>
          <w:lang w:eastAsia="pl-PL"/>
        </w:rPr>
        <w:t>Priorytet 4.</w:t>
      </w:r>
      <w:r w:rsidRPr="00217DBB">
        <w:rPr>
          <w:rFonts w:cs="Calibri"/>
          <w:sz w:val="24"/>
          <w:szCs w:val="24"/>
          <w:lang w:eastAsia="pl-PL"/>
        </w:rPr>
        <w:t xml:space="preserve"> Wspólne działania w zakresie efektywności i bezpieczeństwa granic.</w:t>
      </w:r>
    </w:p>
    <w:p w:rsidR="005608F6" w:rsidRPr="008D5BE7" w:rsidRDefault="005608F6" w:rsidP="00E602EF">
      <w:pPr>
        <w:pStyle w:val="Akapitzlist1"/>
        <w:spacing w:before="100" w:beforeAutospacing="1" w:after="100" w:afterAutospacing="1" w:line="240" w:lineRule="auto"/>
        <w:ind w:left="0"/>
        <w:contextualSpacing w:val="0"/>
        <w:jc w:val="both"/>
        <w:rPr>
          <w:rStyle w:val="Wyrnienieintensywne"/>
          <w:rFonts w:asciiTheme="minorHAnsi" w:hAnsiTheme="minorHAnsi" w:cstheme="minorHAnsi"/>
          <w:b/>
          <w:i/>
          <w:szCs w:val="24"/>
        </w:rPr>
      </w:pPr>
      <w:r w:rsidRPr="008D5BE7">
        <w:rPr>
          <w:rStyle w:val="Wyrnienieintensywne"/>
          <w:rFonts w:asciiTheme="minorHAnsi" w:hAnsiTheme="minorHAnsi" w:cstheme="minorHAnsi"/>
          <w:b/>
          <w:i/>
          <w:szCs w:val="24"/>
        </w:rPr>
        <w:t>Podstawa prawna i zakres</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Sprawozdanie dotyczące środowiska („Prognoza”) podlegało ocenie zgodnie z przepisami prawa polskiego, tj. z Ustawą</w:t>
      </w:r>
      <w:r w:rsidR="00E6382A">
        <w:rPr>
          <w:rFonts w:cs="Calibri"/>
          <w:sz w:val="24"/>
          <w:szCs w:val="24"/>
          <w:lang w:eastAsia="pl-PL"/>
        </w:rPr>
        <w:t xml:space="preserve"> </w:t>
      </w:r>
      <w:r w:rsidRPr="00F97A36">
        <w:rPr>
          <w:rFonts w:cs="Calibri"/>
          <w:sz w:val="24"/>
          <w:szCs w:val="24"/>
          <w:lang w:eastAsia="pl-PL"/>
        </w:rPr>
        <w:t>z dnia 3 października 2008 r. o udostępnianiu informacji o środowisku i jego ochronie, udziale społeczeństwa w ochronie środowiska oraz o ocenach oddziaływania na środowisko</w:t>
      </w:r>
      <w:r w:rsidRPr="00E6382A">
        <w:rPr>
          <w:rFonts w:cs="Calibri"/>
          <w:sz w:val="24"/>
          <w:szCs w:val="24"/>
          <w:vertAlign w:val="superscript"/>
          <w:lang w:eastAsia="pl-PL"/>
        </w:rPr>
        <w:footnoteReference w:id="10"/>
      </w:r>
      <w:r w:rsidRPr="00F97A36">
        <w:rPr>
          <w:rFonts w:cs="Calibri"/>
          <w:sz w:val="24"/>
          <w:szCs w:val="24"/>
          <w:lang w:eastAsia="pl-PL"/>
        </w:rPr>
        <w:t>, która transponuje do ustawodawstwa polskiego dyrektywę 2001/42/WE Parlamentu Europejskiego i Rady z dnia 27 czerwca 2001 r. w sprawie oceny wpływu niektórych planów</w:t>
      </w:r>
      <w:r w:rsidR="00E6382A">
        <w:rPr>
          <w:rFonts w:cs="Calibri"/>
          <w:sz w:val="24"/>
          <w:szCs w:val="24"/>
          <w:lang w:eastAsia="pl-PL"/>
        </w:rPr>
        <w:t xml:space="preserve"> </w:t>
      </w:r>
      <w:r w:rsidRPr="00F97A36">
        <w:rPr>
          <w:rFonts w:cs="Calibri"/>
          <w:sz w:val="24"/>
          <w:szCs w:val="24"/>
          <w:lang w:eastAsia="pl-PL"/>
        </w:rPr>
        <w:t>i programów na środowisko</w:t>
      </w:r>
      <w:r w:rsidRPr="00F97A36">
        <w:rPr>
          <w:rFonts w:cs="Calibri"/>
          <w:sz w:val="24"/>
          <w:szCs w:val="24"/>
          <w:lang w:eastAsia="pl-PL"/>
        </w:rPr>
        <w:footnoteReference w:id="11"/>
      </w:r>
      <w:r w:rsidRPr="00F97A36">
        <w:rPr>
          <w:rFonts w:cs="Calibri"/>
          <w:sz w:val="24"/>
          <w:szCs w:val="24"/>
          <w:lang w:eastAsia="pl-PL"/>
        </w:rPr>
        <w:t>. Zakres Prognozy, opracowany na podstawie ww. przepisów w</w:t>
      </w:r>
      <w:r w:rsidRPr="008D5BE7">
        <w:rPr>
          <w:rFonts w:asciiTheme="minorHAnsi" w:hAnsiTheme="minorHAnsi" w:cstheme="minorHAnsi"/>
          <w:sz w:val="24"/>
          <w:szCs w:val="24"/>
        </w:rPr>
        <w:t xml:space="preserve"> ramach uzgodnień</w:t>
      </w:r>
      <w:r w:rsidR="00E6382A">
        <w:rPr>
          <w:rFonts w:asciiTheme="minorHAnsi" w:hAnsiTheme="minorHAnsi" w:cstheme="minorHAnsi"/>
          <w:sz w:val="24"/>
          <w:szCs w:val="24"/>
        </w:rPr>
        <w:t xml:space="preserve"> </w:t>
      </w:r>
      <w:r w:rsidRPr="00F97A36">
        <w:rPr>
          <w:rFonts w:cs="Calibri"/>
          <w:sz w:val="24"/>
          <w:szCs w:val="24"/>
          <w:lang w:eastAsia="pl-PL"/>
        </w:rPr>
        <w:t>z właściwymi organami, został następnie uzupełniony o inne niezbędne elementy wynikające z przepisów Federacji Rosyjskiej.</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Zgodnie z przepisami i uzgodnieniami podczas opracowywania Prognozy przeprowadzono analizę oddziaływania na wszystkie elementy środowiska.</w:t>
      </w:r>
    </w:p>
    <w:p w:rsidR="005608F6" w:rsidRPr="008D5BE7" w:rsidRDefault="005608F6" w:rsidP="005608F6">
      <w:pPr>
        <w:autoSpaceDE w:val="0"/>
        <w:autoSpaceDN w:val="0"/>
        <w:adjustRightInd w:val="0"/>
        <w:spacing w:before="100" w:beforeAutospacing="1" w:after="100" w:afterAutospacing="1"/>
        <w:jc w:val="both"/>
        <w:rPr>
          <w:rStyle w:val="Wyrnienieintensywne"/>
          <w:rFonts w:asciiTheme="minorHAnsi" w:hAnsiTheme="minorHAnsi" w:cstheme="minorHAnsi"/>
          <w:b/>
          <w:i/>
          <w:szCs w:val="24"/>
        </w:rPr>
      </w:pPr>
      <w:r w:rsidRPr="008D5BE7">
        <w:rPr>
          <w:rStyle w:val="Wyrnienieintensywne"/>
          <w:rFonts w:asciiTheme="minorHAnsi" w:hAnsiTheme="minorHAnsi" w:cstheme="minorHAnsi"/>
          <w:b/>
          <w:i/>
          <w:szCs w:val="24"/>
        </w:rPr>
        <w:t>Analiza programu współpracy PL-RU 2014–2020</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Analiza Programu była punktem wyjściowym prac. Objęła ona podstawową strukturę Programu, na podstawie czego</w:t>
      </w:r>
      <w:r w:rsidR="00B85FF4">
        <w:rPr>
          <w:rFonts w:cs="Calibri"/>
          <w:sz w:val="24"/>
          <w:szCs w:val="24"/>
          <w:lang w:eastAsia="pl-PL"/>
        </w:rPr>
        <w:t xml:space="preserve"> </w:t>
      </w:r>
      <w:r w:rsidRPr="00F97A36">
        <w:rPr>
          <w:rFonts w:cs="Calibri"/>
          <w:sz w:val="24"/>
          <w:szCs w:val="24"/>
          <w:lang w:eastAsia="pl-PL"/>
        </w:rPr>
        <w:t>z ogólnych sformułowań obszarów wsparcia wyciągnięto wnioski odnośnie do konkretnych działań, które mogą być wspierane w oparciu o ten dokument, w celu sprecyzowania ich możliwego oddziaływania na środowisko.</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Analiza Programu uwzględnia również ocenę wewnętrznej spójności Programu. W analizie tej wykazano ogólną spójność Programu z różnym stopniem zgodności.</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lastRenderedPageBreak/>
        <w:t>W oparciu o analizę podstawowych dokumentów UE związanych z Programem można stwierdzić, że cele określone w tych dokumentach są realizowane w ramach Programu w stopniu, w jakim pozwala na to jego zakres finansowy.</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Na podstawie analizy wykazano również, że cele i działania przewidziane w Programie są zgodne z podstawowymi dokumentami strategicznymi państw uczestniczących w Programie.</w:t>
      </w:r>
    </w:p>
    <w:p w:rsidR="005608F6" w:rsidRPr="008D5BE7" w:rsidRDefault="005608F6" w:rsidP="005608F6">
      <w:pPr>
        <w:autoSpaceDE w:val="0"/>
        <w:autoSpaceDN w:val="0"/>
        <w:adjustRightInd w:val="0"/>
        <w:spacing w:before="100" w:beforeAutospacing="1" w:after="100" w:afterAutospacing="1"/>
        <w:jc w:val="both"/>
        <w:rPr>
          <w:rStyle w:val="Wyrnienieintensywne"/>
          <w:rFonts w:asciiTheme="minorHAnsi" w:hAnsiTheme="minorHAnsi" w:cstheme="minorHAnsi"/>
          <w:b/>
          <w:i/>
          <w:szCs w:val="24"/>
        </w:rPr>
      </w:pPr>
      <w:r w:rsidRPr="008D5BE7">
        <w:rPr>
          <w:rStyle w:val="Wyrnienieintensywne"/>
          <w:rFonts w:asciiTheme="minorHAnsi" w:hAnsiTheme="minorHAnsi" w:cstheme="minorHAnsi"/>
          <w:b/>
          <w:i/>
          <w:szCs w:val="24"/>
        </w:rPr>
        <w:t>Analiza stanu środowiska na obszarze kwalifikowalnym Programu</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W trakcie analizy ustalono główne problemy i zagrożenia dla środowiska występujące na obszarze kwalifikowalnym Programu. Określono również aktualny stan środowiska. Powinno to pomóc w sformułowaniu Programu w taki sposób, aby z jednej strony w jak największym stopniu wykorzystać go do poprawy stanu środowiska, a z drugiej strony umożliwić ocenę oddziaływania na środowisko i określenie znaczącego negatywnego wpływu, a także zaproponować działania minimalizujące ten wpływ, wskazać rozwiązania alternatywne i ewentualne działania kompensacyjne. Analizę wykorzystano również do określenia kryteriów wyboru projektów, które miałyby uzyskać wsparcie w ramach Programu.</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Analiza stanu środowiska objęła wszystkie jego elementy, w szczególności: przyrodę i różnorodność biologiczną, zmianę klimatu, zasoby, odpady i glebę, jakość powietrza, wody i gleby, wpływ na zdrowie ludzkie, problematykę ochrony przeciwpowodziowej i przeciwdziałania suszom oraz obiekty dziedzictwa historycznego.</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Ogólnie rzecz ujmując, można stwierdzić, że pod względem walorów przyrodniczych i krajobrazowych obszar kwalifikowalny Programu obejmuje najcenniejsze regiony państw uczestniczących w Programie, w których to regionach znajdują się liczne obszary Natura 2000, bałtyckie obszary chronione (BSPA), parki narodowe i krajobrazowe oraz rezerwaty biosfery UNESCO. Obszar ten jest również bogaty pod względem liczby obiektów dziedzictwa historycznego.</w:t>
      </w:r>
    </w:p>
    <w:p w:rsidR="005608F6" w:rsidRPr="008D5BE7" w:rsidRDefault="005608F6" w:rsidP="005608F6">
      <w:pPr>
        <w:autoSpaceDE w:val="0"/>
        <w:autoSpaceDN w:val="0"/>
        <w:adjustRightInd w:val="0"/>
        <w:spacing w:before="100" w:beforeAutospacing="1" w:after="100" w:afterAutospacing="1"/>
        <w:jc w:val="both"/>
        <w:rPr>
          <w:rStyle w:val="Wyrnienieintensywne"/>
          <w:rFonts w:asciiTheme="minorHAnsi" w:hAnsiTheme="minorHAnsi" w:cstheme="minorHAnsi"/>
          <w:b/>
          <w:i/>
          <w:szCs w:val="24"/>
        </w:rPr>
      </w:pPr>
      <w:r w:rsidRPr="008D5BE7">
        <w:rPr>
          <w:rStyle w:val="Wyrnienieintensywne"/>
          <w:rFonts w:asciiTheme="minorHAnsi" w:hAnsiTheme="minorHAnsi" w:cstheme="minorHAnsi"/>
          <w:b/>
          <w:i/>
          <w:szCs w:val="24"/>
        </w:rPr>
        <w:t>Sprawozdanie dotyczące środowiska („Prognoza”)</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W ramach analiz przeprowadzono szczegółową ocenę możliwego oddziaływania wszystkich przewidzianych w Programie obszarów wsparcia na poszczególne elementy środowiska, w tym na: ludzi, faunę, florę, wodę, powietrze, glebę, krajobraz, klimat, zasoby naturalne, obiekty dziedzictwa historycznego i dobra materialne. Ocenę przeprowadzono w oparciu</w:t>
      </w:r>
      <w:r w:rsidR="00B85FF4">
        <w:rPr>
          <w:rFonts w:cs="Calibri"/>
          <w:sz w:val="24"/>
          <w:szCs w:val="24"/>
          <w:lang w:eastAsia="pl-PL"/>
        </w:rPr>
        <w:t xml:space="preserve"> </w:t>
      </w:r>
      <w:r w:rsidRPr="00F97A36">
        <w:rPr>
          <w:rFonts w:cs="Calibri"/>
          <w:sz w:val="24"/>
          <w:szCs w:val="24"/>
          <w:lang w:eastAsia="pl-PL"/>
        </w:rPr>
        <w:t>o opracowane wcześniej kryteria, w których uwzględniono stan środowiska i największe problemy dotykające środowisko, charakterystykę i możliwy negatywny wpływ projektów, które mogą uzyskać wsparcie w ramach Programu, jak również cele dokumentów strategicznych UE oraz państw uczestniczących w Programie.</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Szczegółowe analizy przeprowadzono dla każdego rodzaju projektu, który uznano za możliwy do realizacji w ramach Programu.</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 xml:space="preserve">Należy podkreślić, że z uwagi na ogólny charakter Programu przedstawiony hipotetyczny wpływ można scharakteryzować jedynie w sposób ogólny, natomiast konkretne </w:t>
      </w:r>
      <w:r w:rsidRPr="00F97A36">
        <w:rPr>
          <w:rFonts w:cs="Calibri"/>
          <w:sz w:val="24"/>
          <w:szCs w:val="24"/>
          <w:lang w:eastAsia="pl-PL"/>
        </w:rPr>
        <w:lastRenderedPageBreak/>
        <w:t>oddziaływanie będzie zależało od lokalizacji i charakterystyki projektów proponowanych do uzyskania wsparcia w ramach Programu.</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W wyniku analiz stwierdzono, że Program może mieć negatywny wpływ na środowisko w związku z realizacją projektów dotyczących odnawialnych źródeł energii oraz realizacją inwestycji infrastrukturalnych (w zakresie dróg, gospodarki wodnej i gospodarki odpadami), co nie oznacza jednak, że taki wpływ rzeczywiście będzie odnotowany. Będzie to można stwierdzić dopiero na podstawie analiz konkretnego projektu. Ponieważ zgodnie z Programem projekty będą realizowane na małą skalę, ich oddziaływanie na środowisko również może być niewielkie. Projekty te mogą oddziaływać na środowisko morskie i lądowe, a zwłaszcza na różnorodność biologiczną, faunę i florę, oraz mogą mieć wpływ na integralność obszarów chronionych. Co się tyczy wpływu na jakość powietrza, klimat i zdrowie ludzkie, tego typu projekty będą miały głównie pozytywny wpływ. Będzie on związany z procesem zastępowania energetyki konwencjonalnej opartej na paliwach kopalnych, który prowadzi do zmniejszenia emisji, w tym emisji gazów cieplarnianych. Negatywny wpływ może wiązać się</w:t>
      </w:r>
      <w:r w:rsidR="00B85FF4">
        <w:rPr>
          <w:rFonts w:cs="Calibri"/>
          <w:sz w:val="24"/>
          <w:szCs w:val="24"/>
          <w:lang w:eastAsia="pl-PL"/>
        </w:rPr>
        <w:t xml:space="preserve"> </w:t>
      </w:r>
      <w:r w:rsidRPr="00F97A36">
        <w:rPr>
          <w:rFonts w:cs="Calibri"/>
          <w:sz w:val="24"/>
          <w:szCs w:val="24"/>
          <w:lang w:eastAsia="pl-PL"/>
        </w:rPr>
        <w:t>w szczególności z oddziaływaniem na ekosystemy morskie i lądowe.</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Pozytywny wpływ będzie charakteryzował projekty mające na celu zwiększenie efektywności energetycznej, co będzie służyć przede wszystkim ludziom. Wskutek usprawnienia i zwiększenia atrakcyjności transportu publicznego projekty te mogą jednak mieć wpływ na zużycie paliwa i tym samym przyczyniać się do ograniczenia szkodliwych emisji zanieczyszczeń powietrza i gazów cieplarnianych. Zwiększenie mobilności w regionie i związany z tym rozwój turystyki mogą prowadzić do większej presji na środowisko.</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Wiele projektów będzie jednak miało wpływ na zwiększenie świadomości ekologicznej przedsiębiorców, administracji publicznej i społeczeństwa, co będzie pozytywną konsekwencją. Należy jednak zwrócić uwagę na ten aspekt na etapie wyboru projektów, aby w jak największym stopniu wykorzystać je dla dobra regionu.</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Inna grupa projektów realizowanych w ramach Programu będzie dotyczyła ochrony i promowania dziedzictwa przyrodniczego i kulturowego. Będą one miały pozytywny wpływ związany ze zwiększeniem świadomości ekologicznej, zarządzaniem obszarami chronionymi i obszarami dziedzictwa kulturowego oraz zwiększeniem aktywności mieszkańców regionu. Z drugiej strony rozwój turystyki, który będzie naturalną konsekwencją tych działań, może prowadzić do zwiększenia presji na środowisko.</w:t>
      </w:r>
    </w:p>
    <w:p w:rsidR="005608F6" w:rsidRPr="008D5BE7" w:rsidRDefault="005608F6" w:rsidP="005608F6">
      <w:pPr>
        <w:autoSpaceDE w:val="0"/>
        <w:autoSpaceDN w:val="0"/>
        <w:adjustRightInd w:val="0"/>
        <w:spacing w:before="100" w:beforeAutospacing="1" w:after="100" w:afterAutospacing="1"/>
        <w:jc w:val="both"/>
        <w:rPr>
          <w:rStyle w:val="Wyrnienieintensywne"/>
          <w:rFonts w:asciiTheme="minorHAnsi" w:hAnsiTheme="minorHAnsi" w:cstheme="minorHAnsi"/>
          <w:b/>
          <w:i/>
          <w:szCs w:val="24"/>
        </w:rPr>
      </w:pPr>
      <w:r w:rsidRPr="008D5BE7">
        <w:rPr>
          <w:rStyle w:val="Wyrnienieintensywne"/>
          <w:rFonts w:asciiTheme="minorHAnsi" w:hAnsiTheme="minorHAnsi" w:cstheme="minorHAnsi"/>
          <w:b/>
          <w:i/>
          <w:szCs w:val="24"/>
        </w:rPr>
        <w:t>Wyniki analiz problemów badawczych</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W celu określenia wpływu Programu na poszczególne elementy środowiska oraz ogólnego wpływu Programu na realizację polityki zrównoważonego rozwoju przeprowadzono cały szereg szczegółowych badań.</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 xml:space="preserve">Dotyczyły one przede wszystkim oceny Programu z punktu widzenia: komplementarności, zgodności z zasadami zrównoważonego rozwoju, adekwatności do potrzeb (szczególnie w zakresie ochrony środowiska), ograniczania negatywnego wpływu do minimum, właściwych </w:t>
      </w:r>
      <w:r w:rsidRPr="00F97A36">
        <w:rPr>
          <w:rFonts w:cs="Calibri"/>
          <w:sz w:val="24"/>
          <w:szCs w:val="24"/>
          <w:lang w:eastAsia="pl-PL"/>
        </w:rPr>
        <w:lastRenderedPageBreak/>
        <w:t>kryteriów wyboru projektów, zgodności z celami polityk krajowych</w:t>
      </w:r>
      <w:r w:rsidR="00B85FF4">
        <w:rPr>
          <w:rFonts w:cs="Calibri"/>
          <w:sz w:val="24"/>
          <w:szCs w:val="24"/>
          <w:lang w:eastAsia="pl-PL"/>
        </w:rPr>
        <w:t xml:space="preserve"> </w:t>
      </w:r>
      <w:r w:rsidRPr="00F97A36">
        <w:rPr>
          <w:rFonts w:cs="Calibri"/>
          <w:sz w:val="24"/>
          <w:szCs w:val="24"/>
          <w:lang w:eastAsia="pl-PL"/>
        </w:rPr>
        <w:t>i unijnych, skuteczności proponowanych działań, synergii itp. Wyniki tych analiz uwzględniono w ocenie Programu.</w:t>
      </w:r>
    </w:p>
    <w:p w:rsidR="005608F6" w:rsidRPr="008D5BE7" w:rsidRDefault="005608F6" w:rsidP="005608F6">
      <w:pPr>
        <w:autoSpaceDE w:val="0"/>
        <w:autoSpaceDN w:val="0"/>
        <w:adjustRightInd w:val="0"/>
        <w:spacing w:before="100" w:beforeAutospacing="1" w:after="100" w:afterAutospacing="1"/>
        <w:jc w:val="both"/>
        <w:rPr>
          <w:rStyle w:val="Wyrnienieintensywne"/>
          <w:rFonts w:asciiTheme="minorHAnsi" w:hAnsiTheme="minorHAnsi" w:cstheme="minorHAnsi"/>
          <w:b/>
          <w:i/>
          <w:szCs w:val="24"/>
        </w:rPr>
      </w:pPr>
      <w:r w:rsidRPr="008D5BE7">
        <w:rPr>
          <w:rStyle w:val="Wyrnienieintensywne"/>
          <w:rFonts w:asciiTheme="minorHAnsi" w:hAnsiTheme="minorHAnsi" w:cstheme="minorHAnsi"/>
          <w:b/>
          <w:i/>
          <w:szCs w:val="24"/>
        </w:rPr>
        <w:t>Proponowane metody oceny skutków realizacji Programu</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W trakcie realizacji Programu do najważniejszych kwestii należy kontrola przebiegu tego procesu oraz ocena skutków realizacji zadań objętych wsparciem finansowym. Dlatego też niezbędne jest zaproponowanie metod analizy, które umożliwią ocenę procesu wdrażania oraz kontrolę realizacji przewidzianych w Programie celów, m.in. poprzez monitorowanie wpływu na środowisko oraz zmian w środowisku. Program charakteryzuje się jednak dużym poziomem ogólności i w większości przypadków nie sprecyzowano w nim projektów, które będą objęte wsparciem, ani ich dokładnej lokalizacji. Ponadto należy zauważyć, że Program ten ma ograniczony potencjał, jeśli chodzi o rozwiązywanie problemów środowiskowych, ze względu na ograniczone możliwości finansowe. W związku z tym proponuje się, aby oddziaływanie Programu na środowisko było monitorowane na poziomie realizacji poszczególnych projektów, z wykorzystaniem systemów monitorowania istniejących w obu krajach.</w:t>
      </w:r>
    </w:p>
    <w:p w:rsidR="005608F6" w:rsidRPr="008D5BE7" w:rsidRDefault="005608F6" w:rsidP="005608F6">
      <w:pPr>
        <w:autoSpaceDE w:val="0"/>
        <w:autoSpaceDN w:val="0"/>
        <w:adjustRightInd w:val="0"/>
        <w:spacing w:before="100" w:beforeAutospacing="1" w:after="100" w:afterAutospacing="1"/>
        <w:jc w:val="both"/>
        <w:rPr>
          <w:rFonts w:asciiTheme="minorHAnsi" w:hAnsiTheme="minorHAnsi" w:cstheme="minorHAnsi"/>
          <w:b/>
          <w:i/>
          <w:sz w:val="24"/>
          <w:szCs w:val="24"/>
          <w:u w:val="single"/>
        </w:rPr>
      </w:pPr>
      <w:r w:rsidRPr="008D5BE7">
        <w:rPr>
          <w:rFonts w:asciiTheme="minorHAnsi" w:hAnsiTheme="minorHAnsi" w:cstheme="minorHAnsi"/>
          <w:b/>
          <w:i/>
          <w:sz w:val="24"/>
          <w:szCs w:val="24"/>
          <w:u w:val="single"/>
        </w:rPr>
        <w:t>Konsultacje społeczne</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Zgodnie z dyrektywą 2001/42/WE Parlamentu Europejskiego i Rady w sprawie oceny wpływu niektórych planów</w:t>
      </w:r>
      <w:r w:rsidR="00B85FF4">
        <w:rPr>
          <w:rFonts w:cs="Calibri"/>
          <w:sz w:val="24"/>
          <w:szCs w:val="24"/>
          <w:lang w:eastAsia="pl-PL"/>
        </w:rPr>
        <w:t xml:space="preserve"> </w:t>
      </w:r>
      <w:r w:rsidRPr="00F97A36">
        <w:rPr>
          <w:rFonts w:cs="Calibri"/>
          <w:sz w:val="24"/>
          <w:szCs w:val="24"/>
          <w:lang w:eastAsia="pl-PL"/>
        </w:rPr>
        <w:t>i programów na środowisko sprawozdanie ze strategicznej oceny oddziaływania na środowisko (SOOŚ) zostało udostępnione do publicznej wiadomości. Procedury SOOŚ przeprowadzono zgodnie z przepisami krajowymi. Odbyły się dwie tury konsultacji społecznych dotyczących SOOŚ. Pierwsza miała miejsce w okresie od 17 lipca 2015 r. do 10 sierpnia 2015 r. Streszczenia sprawozdania SOOŚ opublikowano w języku polskim i angielskim i były one dostępne na stronach internetowych Programu i Instytucji Zarządzającej. Podczas pierwszych konsultacji nie przedłożono żadnych komentarzy na temat SOOŚ.</w:t>
      </w:r>
    </w:p>
    <w:p w:rsidR="005608F6" w:rsidRPr="00F97A36" w:rsidRDefault="005608F6" w:rsidP="00F97A36">
      <w:pPr>
        <w:autoSpaceDE w:val="0"/>
        <w:autoSpaceDN w:val="0"/>
        <w:adjustRightInd w:val="0"/>
        <w:spacing w:before="100" w:beforeAutospacing="1" w:after="100" w:afterAutospacing="1" w:line="240" w:lineRule="auto"/>
        <w:jc w:val="both"/>
        <w:rPr>
          <w:rFonts w:cs="Calibri"/>
          <w:sz w:val="24"/>
          <w:szCs w:val="24"/>
          <w:lang w:eastAsia="pl-PL"/>
        </w:rPr>
      </w:pPr>
      <w:r w:rsidRPr="00F97A36">
        <w:rPr>
          <w:rFonts w:cs="Calibri"/>
          <w:sz w:val="24"/>
          <w:szCs w:val="24"/>
          <w:lang w:eastAsia="pl-PL"/>
        </w:rPr>
        <w:t>Kolejna tura konsultacji społecznych odbyła się w maju-czerwcu 2016 r. Streszczenia sprawozdania SOOŚ ponownie były dostępne na stronach internetowych Programu i Instytucji Zarządzającej. Komentarze otrzymane w trakcie tych konsultacji społecznych zostały wzięte pod uwagę. Sprawozdanie z konsultacji społecznych zawiera wszystkie komentarze wraz</w:t>
      </w:r>
      <w:r w:rsidR="00B85FF4">
        <w:rPr>
          <w:rFonts w:cs="Calibri"/>
          <w:sz w:val="24"/>
          <w:szCs w:val="24"/>
          <w:lang w:eastAsia="pl-PL"/>
        </w:rPr>
        <w:t xml:space="preserve"> </w:t>
      </w:r>
      <w:r w:rsidRPr="00F97A36">
        <w:rPr>
          <w:rFonts w:cs="Calibri"/>
          <w:sz w:val="24"/>
          <w:szCs w:val="24"/>
          <w:lang w:eastAsia="pl-PL"/>
        </w:rPr>
        <w:t>z odpowiedziami.</w:t>
      </w:r>
    </w:p>
    <w:p w:rsidR="000B24C8" w:rsidRPr="001268E7" w:rsidRDefault="005608F6" w:rsidP="00002973">
      <w:pPr>
        <w:autoSpaceDE w:val="0"/>
        <w:autoSpaceDN w:val="0"/>
        <w:adjustRightInd w:val="0"/>
        <w:spacing w:before="100" w:beforeAutospacing="1" w:after="100" w:afterAutospacing="1" w:line="240" w:lineRule="auto"/>
        <w:jc w:val="both"/>
        <w:rPr>
          <w:rFonts w:eastAsia="Times New Roman"/>
          <w:sz w:val="24"/>
          <w:szCs w:val="24"/>
          <w:lang w:eastAsia="en-GB"/>
        </w:rPr>
      </w:pPr>
      <w:r w:rsidRPr="00F97A36">
        <w:rPr>
          <w:rFonts w:cs="Calibri"/>
          <w:sz w:val="24"/>
          <w:szCs w:val="24"/>
          <w:lang w:eastAsia="pl-PL"/>
        </w:rPr>
        <w:t>Ustawodawstwo Federacji Rosyjskiej nie zawiera przepisów, które wymagałyby przeprowadzenia konsultacji społecznych</w:t>
      </w:r>
      <w:r w:rsidR="00B85FF4">
        <w:rPr>
          <w:rFonts w:cs="Calibri"/>
          <w:sz w:val="24"/>
          <w:szCs w:val="24"/>
          <w:lang w:eastAsia="pl-PL"/>
        </w:rPr>
        <w:t xml:space="preserve"> </w:t>
      </w:r>
      <w:r w:rsidRPr="00F97A36">
        <w:rPr>
          <w:rFonts w:cs="Calibri"/>
          <w:sz w:val="24"/>
          <w:szCs w:val="24"/>
          <w:lang w:eastAsia="pl-PL"/>
        </w:rPr>
        <w:t>w sprawie SOOŚ, ani szczegółowych przepisów dotyczących przeprowadzania SOOŚ na terytorium Federacji Rosyjskiej dla celów realizacji programu współpracy transgranicznej.</w:t>
      </w:r>
    </w:p>
    <w:p w:rsidR="004B654C" w:rsidRPr="001268E7" w:rsidRDefault="00BE7E0C" w:rsidP="00BE7E0C">
      <w:pPr>
        <w:pStyle w:val="Nagwek2"/>
        <w:rPr>
          <w:rFonts w:eastAsia="Calibri"/>
        </w:rPr>
      </w:pPr>
      <w:bookmarkStart w:id="61" w:name="_Toc530737593"/>
      <w:bookmarkEnd w:id="59"/>
      <w:r w:rsidRPr="001268E7">
        <w:rPr>
          <w:rFonts w:eastAsia="Calibri"/>
        </w:rPr>
        <w:t>4.11 Strategia komunikacyjna</w:t>
      </w:r>
      <w:bookmarkEnd w:id="61"/>
    </w:p>
    <w:p w:rsidR="004B654C" w:rsidRPr="001268E7" w:rsidRDefault="00D57296" w:rsidP="00404047">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 xml:space="preserve">IZ odpowiada za tworzenie i wdrażanie Strategii Komunikacyjnej Programu (zatwierdzonej przez WKM), </w:t>
      </w:r>
      <w:r w:rsidR="000306B8" w:rsidRPr="001268E7">
        <w:rPr>
          <w:rFonts w:cs="Calibri"/>
          <w:sz w:val="24"/>
          <w:szCs w:val="24"/>
          <w:lang w:eastAsia="pl-PL"/>
        </w:rPr>
        <w:t xml:space="preserve">zwiększającej świadomość </w:t>
      </w:r>
      <w:r w:rsidRPr="001268E7">
        <w:rPr>
          <w:rFonts w:cs="Calibri"/>
          <w:sz w:val="24"/>
          <w:szCs w:val="24"/>
          <w:lang w:eastAsia="pl-PL"/>
        </w:rPr>
        <w:t xml:space="preserve">społeczeństwa </w:t>
      </w:r>
      <w:r w:rsidR="000306B8" w:rsidRPr="001268E7">
        <w:rPr>
          <w:rFonts w:cs="Calibri"/>
          <w:sz w:val="24"/>
          <w:szCs w:val="24"/>
          <w:lang w:eastAsia="pl-PL"/>
        </w:rPr>
        <w:t>na temat Programu</w:t>
      </w:r>
      <w:r w:rsidR="00404047" w:rsidRPr="001268E7">
        <w:rPr>
          <w:rFonts w:cs="Calibri"/>
          <w:sz w:val="24"/>
          <w:szCs w:val="24"/>
          <w:lang w:eastAsia="pl-PL"/>
        </w:rPr>
        <w:t xml:space="preserve"> </w:t>
      </w:r>
      <w:r w:rsidR="000306B8" w:rsidRPr="001268E7">
        <w:rPr>
          <w:rFonts w:cs="Calibri"/>
          <w:sz w:val="24"/>
          <w:szCs w:val="24"/>
          <w:lang w:eastAsia="pl-PL"/>
        </w:rPr>
        <w:t>i zapewniającej</w:t>
      </w:r>
      <w:r w:rsidRPr="001268E7">
        <w:rPr>
          <w:rFonts w:cs="Calibri"/>
          <w:sz w:val="24"/>
          <w:szCs w:val="24"/>
          <w:lang w:eastAsia="pl-PL"/>
        </w:rPr>
        <w:t xml:space="preserve"> </w:t>
      </w:r>
      <w:r w:rsidR="00404047" w:rsidRPr="001268E7">
        <w:rPr>
          <w:rFonts w:cs="Calibri"/>
          <w:sz w:val="24"/>
          <w:szCs w:val="24"/>
          <w:lang w:eastAsia="pl-PL"/>
        </w:rPr>
        <w:t xml:space="preserve">jego </w:t>
      </w:r>
      <w:r w:rsidR="000306B8" w:rsidRPr="001268E7">
        <w:rPr>
          <w:rFonts w:cs="Calibri"/>
          <w:sz w:val="24"/>
          <w:szCs w:val="24"/>
          <w:lang w:eastAsia="pl-PL"/>
        </w:rPr>
        <w:t>jak najszersze uczestnictwo</w:t>
      </w:r>
      <w:r w:rsidRPr="001268E7">
        <w:rPr>
          <w:rFonts w:cs="Calibri"/>
          <w:sz w:val="24"/>
          <w:szCs w:val="24"/>
          <w:lang w:eastAsia="pl-PL"/>
        </w:rPr>
        <w:t xml:space="preserve"> </w:t>
      </w:r>
      <w:r w:rsidR="000306B8" w:rsidRPr="001268E7">
        <w:rPr>
          <w:rFonts w:cs="Calibri"/>
          <w:sz w:val="24"/>
          <w:szCs w:val="24"/>
          <w:lang w:eastAsia="pl-PL"/>
        </w:rPr>
        <w:t>oraz widoczność</w:t>
      </w:r>
      <w:r w:rsidR="00404047" w:rsidRPr="001268E7">
        <w:rPr>
          <w:rFonts w:cs="Calibri"/>
          <w:sz w:val="24"/>
          <w:szCs w:val="24"/>
          <w:lang w:eastAsia="pl-PL"/>
        </w:rPr>
        <w:t xml:space="preserve"> działań.</w:t>
      </w:r>
      <w:r w:rsidR="004B654C" w:rsidRPr="001268E7">
        <w:rPr>
          <w:rFonts w:cs="Calibri"/>
          <w:sz w:val="24"/>
          <w:szCs w:val="24"/>
        </w:rPr>
        <w:t xml:space="preserve"> </w:t>
      </w:r>
      <w:r w:rsidR="00404047" w:rsidRPr="001268E7">
        <w:rPr>
          <w:rFonts w:cs="Calibri"/>
          <w:sz w:val="24"/>
          <w:szCs w:val="24"/>
          <w:lang w:eastAsia="pl-PL"/>
        </w:rPr>
        <w:t xml:space="preserve">Strategia Komunikacyjna Programu zostanie opracowana w celu określenia celów i grup docelowych, a także </w:t>
      </w:r>
      <w:r w:rsidR="00404047" w:rsidRPr="001268E7">
        <w:rPr>
          <w:rFonts w:cs="Calibri"/>
          <w:sz w:val="24"/>
          <w:szCs w:val="24"/>
          <w:lang w:eastAsia="pl-PL"/>
        </w:rPr>
        <w:lastRenderedPageBreak/>
        <w:t>zdefiniowania planu określonych działań.</w:t>
      </w:r>
      <w:r w:rsidR="004B654C" w:rsidRPr="001268E7">
        <w:rPr>
          <w:rFonts w:cs="Calibri"/>
          <w:sz w:val="24"/>
          <w:szCs w:val="24"/>
        </w:rPr>
        <w:t xml:space="preserve"> </w:t>
      </w:r>
      <w:r w:rsidR="00404047" w:rsidRPr="001268E7">
        <w:rPr>
          <w:rFonts w:cs="Calibri"/>
          <w:sz w:val="24"/>
          <w:szCs w:val="24"/>
          <w:lang w:eastAsia="pl-PL"/>
        </w:rPr>
        <w:t>W odniesieniu do tych działań przygotowany zostanie orientacyjny budżet w ramach przydziału środków na PT.</w:t>
      </w:r>
      <w:r w:rsidR="004B654C" w:rsidRPr="001268E7">
        <w:rPr>
          <w:rFonts w:cs="Calibri"/>
          <w:sz w:val="24"/>
          <w:szCs w:val="24"/>
        </w:rPr>
        <w:t xml:space="preserve"> </w:t>
      </w:r>
      <w:r w:rsidR="000306B8" w:rsidRPr="001268E7">
        <w:rPr>
          <w:rFonts w:cs="Calibri"/>
          <w:sz w:val="24"/>
          <w:szCs w:val="24"/>
          <w:lang w:eastAsia="pl-PL"/>
        </w:rPr>
        <w:t>W raportach rocznych zawarty zostanie</w:t>
      </w:r>
      <w:r w:rsidR="00404047" w:rsidRPr="001268E7">
        <w:rPr>
          <w:rFonts w:cs="Calibri"/>
          <w:sz w:val="24"/>
          <w:szCs w:val="24"/>
          <w:lang w:eastAsia="pl-PL"/>
        </w:rPr>
        <w:t xml:space="preserve"> odpowiedni rozdział poświęcony zagadnieniu działań</w:t>
      </w:r>
      <w:r w:rsidR="00650AC0" w:rsidRPr="001268E7">
        <w:rPr>
          <w:rFonts w:cs="Calibri"/>
          <w:sz w:val="24"/>
          <w:szCs w:val="24"/>
          <w:lang w:eastAsia="pl-PL"/>
        </w:rPr>
        <w:t xml:space="preserve"> </w:t>
      </w:r>
      <w:r w:rsidR="00404047" w:rsidRPr="001268E7">
        <w:rPr>
          <w:rFonts w:cs="Calibri"/>
          <w:sz w:val="24"/>
          <w:szCs w:val="24"/>
          <w:lang w:eastAsia="pl-PL"/>
        </w:rPr>
        <w:t>komunikacyjnych.</w:t>
      </w:r>
      <w:r w:rsidR="004B654C" w:rsidRPr="001268E7">
        <w:rPr>
          <w:rFonts w:cs="Calibri"/>
          <w:sz w:val="24"/>
          <w:szCs w:val="24"/>
        </w:rPr>
        <w:t xml:space="preserve"> </w:t>
      </w:r>
    </w:p>
    <w:p w:rsidR="004B654C" w:rsidRPr="001268E7" w:rsidRDefault="00404047" w:rsidP="00404047">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Główny cel Strategii Komunikacyjnej</w:t>
      </w:r>
      <w:r w:rsidR="004B654C" w:rsidRPr="001268E7">
        <w:rPr>
          <w:rFonts w:cs="Calibri"/>
          <w:b/>
          <w:i/>
          <w:sz w:val="24"/>
          <w:szCs w:val="24"/>
          <w:u w:val="single"/>
        </w:rPr>
        <w:t xml:space="preserve"> </w:t>
      </w:r>
    </w:p>
    <w:p w:rsidR="004B654C" w:rsidRPr="001268E7" w:rsidRDefault="00404047" w:rsidP="00404047">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 xml:space="preserve">Głównym celem wszystkich działań komunikacyjnych jest zapewnienie szerokiego dostępu do informacji na temat Programu i jego </w:t>
      </w:r>
      <w:r w:rsidR="004F16AB" w:rsidRPr="001268E7">
        <w:rPr>
          <w:rFonts w:cs="Calibri"/>
          <w:sz w:val="24"/>
          <w:szCs w:val="24"/>
          <w:lang w:eastAsia="pl-PL"/>
        </w:rPr>
        <w:t xml:space="preserve">źródeł finansowania </w:t>
      </w:r>
      <w:r w:rsidRPr="001268E7">
        <w:rPr>
          <w:rFonts w:cs="Calibri"/>
          <w:sz w:val="24"/>
          <w:szCs w:val="24"/>
          <w:lang w:eastAsia="pl-PL"/>
        </w:rPr>
        <w:t>potencjalnym wnioskodawcom, beneficjentom, interesariuszom i opinii publicznej.</w:t>
      </w:r>
      <w:r w:rsidR="004B654C" w:rsidRPr="001268E7">
        <w:rPr>
          <w:rFonts w:cs="Calibri"/>
          <w:sz w:val="24"/>
          <w:szCs w:val="24"/>
        </w:rPr>
        <w:t xml:space="preserve"> </w:t>
      </w:r>
      <w:r w:rsidRPr="001268E7">
        <w:rPr>
          <w:rFonts w:cs="Calibri"/>
          <w:sz w:val="24"/>
          <w:szCs w:val="24"/>
        </w:rPr>
        <w:t>Wszystkie wyżej wymienione grupy docelowe muszą być odpowiednio poinformowane przez IZ, WST i Oddział o celach Programu, warunkach ubiegania się o współfinansowanie oraz poszczególnych procedurach, których należy przestrzegać.</w:t>
      </w:r>
      <w:r w:rsidR="004B654C" w:rsidRPr="001268E7">
        <w:rPr>
          <w:rFonts w:cs="Calibri"/>
          <w:sz w:val="24"/>
          <w:szCs w:val="24"/>
        </w:rPr>
        <w:t xml:space="preserve"> </w:t>
      </w:r>
    </w:p>
    <w:p w:rsidR="004B654C" w:rsidRPr="001268E7" w:rsidRDefault="00404047" w:rsidP="00404047">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Jednocześnie zaś, działania informacyjne i promocyjne Programu mają na celu wzmocnienie współpracy pomiędzy partnerami i państwami uczestniczącymi w realizacji Programu oraz zapewnienie bardziej skutecznego wdrożenia tego Programu.</w:t>
      </w:r>
      <w:r w:rsidR="004B654C" w:rsidRPr="001268E7">
        <w:rPr>
          <w:rFonts w:cs="Calibri"/>
          <w:sz w:val="24"/>
          <w:szCs w:val="24"/>
        </w:rPr>
        <w:t xml:space="preserve"> </w:t>
      </w:r>
      <w:r w:rsidRPr="001268E7">
        <w:rPr>
          <w:rFonts w:cs="Calibri"/>
          <w:sz w:val="24"/>
          <w:szCs w:val="24"/>
          <w:lang w:eastAsia="pl-PL"/>
        </w:rPr>
        <w:t>Cel ten osiągnięty zostanie przy użyciu następujących środków:</w:t>
      </w:r>
      <w:r w:rsidR="004B654C" w:rsidRPr="001268E7">
        <w:rPr>
          <w:rFonts w:cs="Calibri"/>
          <w:sz w:val="24"/>
          <w:szCs w:val="24"/>
        </w:rPr>
        <w:t xml:space="preserve"> </w:t>
      </w:r>
    </w:p>
    <w:p w:rsidR="00404047" w:rsidRPr="001268E7" w:rsidRDefault="00404047" w:rsidP="00246345">
      <w:pPr>
        <w:pStyle w:val="Akapitzlist1"/>
        <w:numPr>
          <w:ilvl w:val="0"/>
          <w:numId w:val="93"/>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 xml:space="preserve">stałe przekazywanie </w:t>
      </w:r>
      <w:r w:rsidR="004F16AB" w:rsidRPr="001268E7">
        <w:rPr>
          <w:rFonts w:cs="Calibri"/>
          <w:sz w:val="24"/>
          <w:szCs w:val="24"/>
          <w:lang w:eastAsia="pl-PL"/>
        </w:rPr>
        <w:t xml:space="preserve">licznych </w:t>
      </w:r>
      <w:r w:rsidRPr="001268E7">
        <w:rPr>
          <w:rFonts w:cs="Calibri"/>
          <w:sz w:val="24"/>
          <w:szCs w:val="24"/>
          <w:lang w:eastAsia="pl-PL"/>
        </w:rPr>
        <w:t xml:space="preserve">informacji na temat możliwości uzyskania finansowania, jak również celów </w:t>
      </w:r>
      <w:r w:rsidR="004F16AB" w:rsidRPr="001268E7">
        <w:rPr>
          <w:rFonts w:cs="Calibri"/>
          <w:sz w:val="24"/>
          <w:szCs w:val="24"/>
          <w:lang w:eastAsia="pl-PL"/>
        </w:rPr>
        <w:t xml:space="preserve">tematycznych </w:t>
      </w:r>
      <w:r w:rsidRPr="001268E7">
        <w:rPr>
          <w:rFonts w:cs="Calibri"/>
          <w:sz w:val="24"/>
          <w:szCs w:val="24"/>
          <w:lang w:eastAsia="pl-PL"/>
        </w:rPr>
        <w:t>i priorytetów Programu oraz kroków, jakie należy podjąć w celu ubiegania się o fundusze, a także kryteria wyboru projektów;</w:t>
      </w:r>
      <w:r w:rsidRPr="001268E7">
        <w:rPr>
          <w:rFonts w:cs="Calibri"/>
          <w:sz w:val="24"/>
          <w:szCs w:val="24"/>
        </w:rPr>
        <w:t xml:space="preserve"> </w:t>
      </w:r>
    </w:p>
    <w:p w:rsidR="00404047" w:rsidRPr="001268E7" w:rsidRDefault="00404047" w:rsidP="00246345">
      <w:pPr>
        <w:pStyle w:val="Akapitzlist1"/>
        <w:numPr>
          <w:ilvl w:val="0"/>
          <w:numId w:val="93"/>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regularne informowanie opinii publicznej na temat stanu realizacji Programu, w tym w szczególności na temat wyników projektów wdrażanych w ramach Programu,</w:t>
      </w:r>
      <w:r w:rsidRPr="001268E7">
        <w:rPr>
          <w:rFonts w:cs="Calibri"/>
          <w:sz w:val="24"/>
          <w:szCs w:val="24"/>
        </w:rPr>
        <w:t xml:space="preserve"> </w:t>
      </w:r>
    </w:p>
    <w:p w:rsidR="00404047" w:rsidRPr="001268E7" w:rsidRDefault="00403344" w:rsidP="00246345">
      <w:pPr>
        <w:pStyle w:val="Akapitzlist1"/>
        <w:numPr>
          <w:ilvl w:val="0"/>
          <w:numId w:val="93"/>
        </w:numPr>
        <w:spacing w:before="100" w:beforeAutospacing="1" w:after="100" w:afterAutospacing="1" w:line="240" w:lineRule="auto"/>
        <w:contextualSpacing w:val="0"/>
        <w:jc w:val="both"/>
        <w:rPr>
          <w:rFonts w:cs="Calibri"/>
          <w:sz w:val="24"/>
          <w:szCs w:val="24"/>
        </w:rPr>
      </w:pPr>
      <w:r w:rsidRPr="001268E7">
        <w:rPr>
          <w:rFonts w:cs="Calibri"/>
          <w:sz w:val="24"/>
          <w:szCs w:val="24"/>
        </w:rPr>
        <w:t>tworzenie spójnego obrazu</w:t>
      </w:r>
      <w:r w:rsidR="00404047" w:rsidRPr="001268E7">
        <w:rPr>
          <w:rFonts w:cs="Calibri"/>
          <w:sz w:val="24"/>
          <w:szCs w:val="24"/>
        </w:rPr>
        <w:t xml:space="preserve"> współfinansowania UE oraz roli odgrywanej przez państwa uczestniczące, na przykład w zakresie poziomu </w:t>
      </w:r>
      <w:r w:rsidR="004F16AB" w:rsidRPr="001268E7">
        <w:rPr>
          <w:rFonts w:cs="Calibri"/>
          <w:sz w:val="24"/>
          <w:szCs w:val="24"/>
        </w:rPr>
        <w:t xml:space="preserve">ich </w:t>
      </w:r>
      <w:r w:rsidR="00404047" w:rsidRPr="001268E7">
        <w:rPr>
          <w:rFonts w:cs="Calibri"/>
          <w:sz w:val="24"/>
          <w:szCs w:val="24"/>
        </w:rPr>
        <w:t>współfinan</w:t>
      </w:r>
      <w:r w:rsidR="004F16AB" w:rsidRPr="001268E7">
        <w:rPr>
          <w:rFonts w:cs="Calibri"/>
          <w:sz w:val="24"/>
          <w:szCs w:val="24"/>
        </w:rPr>
        <w:t>sowania</w:t>
      </w:r>
      <w:r w:rsidR="00404047" w:rsidRPr="001268E7">
        <w:rPr>
          <w:rFonts w:cs="Calibri"/>
          <w:sz w:val="24"/>
          <w:szCs w:val="24"/>
        </w:rPr>
        <w:t xml:space="preserve">, </w:t>
      </w:r>
    </w:p>
    <w:p w:rsidR="00404047" w:rsidRPr="001268E7" w:rsidRDefault="00404047" w:rsidP="00246345">
      <w:pPr>
        <w:pStyle w:val="Akapitzlist1"/>
        <w:numPr>
          <w:ilvl w:val="0"/>
          <w:numId w:val="93"/>
        </w:numPr>
        <w:spacing w:before="100" w:beforeAutospacing="1" w:after="100" w:afterAutospacing="1" w:line="240" w:lineRule="auto"/>
        <w:contextualSpacing w:val="0"/>
        <w:jc w:val="both"/>
        <w:rPr>
          <w:rFonts w:cs="Calibri"/>
          <w:sz w:val="24"/>
          <w:szCs w:val="24"/>
        </w:rPr>
      </w:pPr>
      <w:r w:rsidRPr="001268E7">
        <w:rPr>
          <w:rFonts w:cs="Calibri"/>
          <w:sz w:val="24"/>
          <w:szCs w:val="24"/>
        </w:rPr>
        <w:t>podkreślanie znaczenia współpracy pomiędzy wszystkimi stronami zaan</w:t>
      </w:r>
      <w:r w:rsidR="004F16AB" w:rsidRPr="001268E7">
        <w:rPr>
          <w:rFonts w:cs="Calibri"/>
          <w:sz w:val="24"/>
          <w:szCs w:val="24"/>
        </w:rPr>
        <w:t>gażowanym w realizację Programu,</w:t>
      </w:r>
    </w:p>
    <w:p w:rsidR="00404047" w:rsidRPr="001268E7" w:rsidRDefault="00404047" w:rsidP="00246345">
      <w:pPr>
        <w:pStyle w:val="Akapitzlist1"/>
        <w:numPr>
          <w:ilvl w:val="0"/>
          <w:numId w:val="93"/>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wszystkie działania komunikacyjne na terytorium Federacji Rosyjskiej powinny być prowadzone zgodnie z zasadą równej widoczności stron współfinansujących w ramach Programu, obowiązującymi regulacjami Federacji Rosyjskiej oraz Podręcznikiem dotyczącym Komunikacji i Widoczności </w:t>
      </w:r>
      <w:r w:rsidR="004F16AB" w:rsidRPr="001268E7">
        <w:rPr>
          <w:rFonts w:cs="Calibri"/>
          <w:sz w:val="24"/>
          <w:szCs w:val="24"/>
        </w:rPr>
        <w:t xml:space="preserve">Działań Zewnętrznych </w:t>
      </w:r>
      <w:r w:rsidRPr="001268E7">
        <w:rPr>
          <w:rFonts w:cs="Calibri"/>
          <w:sz w:val="24"/>
          <w:szCs w:val="24"/>
        </w:rPr>
        <w:t>UE.</w:t>
      </w:r>
    </w:p>
    <w:p w:rsidR="004B654C" w:rsidRPr="001268E7" w:rsidRDefault="00404047" w:rsidP="00A7509F">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 xml:space="preserve">Grupy </w:t>
      </w:r>
      <w:r w:rsidR="00A7509F" w:rsidRPr="001268E7">
        <w:rPr>
          <w:rFonts w:cs="Calibri"/>
          <w:b/>
          <w:i/>
          <w:sz w:val="24"/>
          <w:szCs w:val="24"/>
          <w:u w:val="single"/>
        </w:rPr>
        <w:t>docelowe i poziom rozpowszechniania informacji</w:t>
      </w:r>
      <w:r w:rsidR="00650AC0" w:rsidRPr="001268E7">
        <w:rPr>
          <w:rFonts w:cs="Calibri"/>
          <w:b/>
          <w:i/>
          <w:sz w:val="24"/>
          <w:szCs w:val="24"/>
          <w:u w:val="single"/>
        </w:rPr>
        <w:t xml:space="preserve"> </w:t>
      </w:r>
    </w:p>
    <w:p w:rsidR="004B654C" w:rsidRPr="001268E7" w:rsidRDefault="000E2F3F" w:rsidP="000E2F3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W celu podniesienia efektywności przepływu informacji i podniesienia jakości i skuteczności realizacji Programu, działania komunikacyjne należy prowadzić na dwóch poziomach: zewnętrznymi</w:t>
      </w:r>
      <w:r w:rsidR="00BE083B" w:rsidRPr="001268E7">
        <w:rPr>
          <w:rFonts w:cs="Calibri"/>
          <w:sz w:val="24"/>
          <w:szCs w:val="24"/>
          <w:lang w:eastAsia="pl-PL"/>
        </w:rPr>
        <w:t xml:space="preserve"> i</w:t>
      </w:r>
      <w:r w:rsidRPr="001268E7">
        <w:rPr>
          <w:rFonts w:cs="Calibri"/>
          <w:sz w:val="24"/>
          <w:szCs w:val="24"/>
          <w:lang w:eastAsia="pl-PL"/>
        </w:rPr>
        <w:t xml:space="preserve"> wewnętrznym.</w:t>
      </w:r>
      <w:r w:rsidR="004B654C" w:rsidRPr="001268E7">
        <w:rPr>
          <w:rFonts w:cs="Calibri"/>
          <w:sz w:val="24"/>
          <w:szCs w:val="24"/>
        </w:rPr>
        <w:t xml:space="preserve"> </w:t>
      </w:r>
      <w:r w:rsidRPr="001268E7">
        <w:rPr>
          <w:rFonts w:cs="Calibri"/>
          <w:sz w:val="24"/>
          <w:szCs w:val="24"/>
          <w:lang w:eastAsia="pl-PL"/>
        </w:rPr>
        <w:t>Poziom zewnętrzny dotyczy relacji z potencjalnymi wnioskodawcami, beneficjentami, interesariuszami oraz szerszym kręgiem odbiorców Programu, w szczególności:</w:t>
      </w:r>
      <w:r w:rsidR="004B654C" w:rsidRPr="001268E7">
        <w:rPr>
          <w:rFonts w:cs="Calibri"/>
          <w:sz w:val="24"/>
          <w:szCs w:val="24"/>
        </w:rPr>
        <w:t xml:space="preserve"> </w:t>
      </w:r>
    </w:p>
    <w:p w:rsidR="000E2F3F" w:rsidRPr="001268E7" w:rsidRDefault="000E2F3F" w:rsidP="00246345">
      <w:pPr>
        <w:pStyle w:val="Akapitzlist1"/>
        <w:numPr>
          <w:ilvl w:val="0"/>
          <w:numId w:val="9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władzami regionalnymi i lokalnymi oraz innymi właściwymi instytucjami publicznymi;</w:t>
      </w:r>
      <w:r w:rsidRPr="001268E7">
        <w:rPr>
          <w:rFonts w:cs="Calibri"/>
          <w:sz w:val="24"/>
          <w:szCs w:val="24"/>
        </w:rPr>
        <w:t xml:space="preserve"> </w:t>
      </w:r>
    </w:p>
    <w:p w:rsidR="000E2F3F" w:rsidRPr="001268E7" w:rsidRDefault="000E2F3F" w:rsidP="00246345">
      <w:pPr>
        <w:pStyle w:val="Akapitzlist1"/>
        <w:numPr>
          <w:ilvl w:val="0"/>
          <w:numId w:val="9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podmiotami o zasięgu regionalnym i lokalnym,</w:t>
      </w:r>
      <w:r w:rsidRPr="001268E7">
        <w:rPr>
          <w:rFonts w:cs="Calibri"/>
          <w:sz w:val="24"/>
          <w:szCs w:val="24"/>
        </w:rPr>
        <w:t xml:space="preserve"> </w:t>
      </w:r>
    </w:p>
    <w:p w:rsidR="000E2F3F" w:rsidRPr="001268E7" w:rsidRDefault="000E2F3F" w:rsidP="00246345">
      <w:pPr>
        <w:pStyle w:val="Akapitzlist1"/>
        <w:numPr>
          <w:ilvl w:val="0"/>
          <w:numId w:val="9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euroregionami,</w:t>
      </w:r>
      <w:r w:rsidRPr="001268E7">
        <w:rPr>
          <w:rFonts w:cs="Calibri"/>
          <w:sz w:val="24"/>
          <w:szCs w:val="24"/>
        </w:rPr>
        <w:t xml:space="preserve"> </w:t>
      </w:r>
    </w:p>
    <w:p w:rsidR="000E2F3F" w:rsidRPr="001268E7" w:rsidRDefault="000E2F3F" w:rsidP="00246345">
      <w:pPr>
        <w:pStyle w:val="Akapitzlist1"/>
        <w:numPr>
          <w:ilvl w:val="0"/>
          <w:numId w:val="9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organizacjami pozarządowymi i o charakterze non-profit,</w:t>
      </w:r>
      <w:r w:rsidRPr="001268E7">
        <w:rPr>
          <w:rFonts w:cs="Calibri"/>
          <w:sz w:val="24"/>
          <w:szCs w:val="24"/>
        </w:rPr>
        <w:t xml:space="preserve"> </w:t>
      </w:r>
    </w:p>
    <w:p w:rsidR="000E2F3F" w:rsidRPr="001268E7" w:rsidRDefault="000E2F3F" w:rsidP="00246345">
      <w:pPr>
        <w:pStyle w:val="Akapitzlist1"/>
        <w:numPr>
          <w:ilvl w:val="0"/>
          <w:numId w:val="94"/>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a także opinią publiczną, łącznie z mediami i osobami zainteresowanymi Programem z punktu widzenia badań naukowych.</w:t>
      </w:r>
      <w:r w:rsidRPr="001268E7">
        <w:rPr>
          <w:rFonts w:cs="Calibri"/>
          <w:sz w:val="24"/>
          <w:szCs w:val="24"/>
        </w:rPr>
        <w:t xml:space="preserve"> </w:t>
      </w:r>
    </w:p>
    <w:p w:rsidR="004B654C" w:rsidRPr="001268E7" w:rsidRDefault="00BE083B" w:rsidP="000E2F3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lastRenderedPageBreak/>
        <w:t xml:space="preserve">Wewnętrzny poziom komunikacji </w:t>
      </w:r>
      <w:r w:rsidR="000E2F3F" w:rsidRPr="001268E7">
        <w:rPr>
          <w:rFonts w:cs="Calibri"/>
          <w:sz w:val="24"/>
          <w:szCs w:val="24"/>
          <w:lang w:eastAsia="pl-PL"/>
        </w:rPr>
        <w:t>dotyczy głównie skutecznego przepływu informacji pomiędzy instytucjami zaangażowanymi w realizację Programu (or</w:t>
      </w:r>
      <w:r w:rsidRPr="001268E7">
        <w:rPr>
          <w:rFonts w:cs="Calibri"/>
          <w:sz w:val="24"/>
          <w:szCs w:val="24"/>
          <w:lang w:eastAsia="pl-PL"/>
        </w:rPr>
        <w:t>g</w:t>
      </w:r>
      <w:r w:rsidR="000E2F3F" w:rsidRPr="001268E7">
        <w:rPr>
          <w:rFonts w:cs="Calibri"/>
          <w:sz w:val="24"/>
          <w:szCs w:val="24"/>
          <w:lang w:eastAsia="pl-PL"/>
        </w:rPr>
        <w:t>any Programu), jak również w zakresie innych programów.</w:t>
      </w:r>
      <w:r w:rsidR="004B654C" w:rsidRPr="001268E7">
        <w:rPr>
          <w:rFonts w:cs="Calibri"/>
          <w:sz w:val="24"/>
          <w:szCs w:val="24"/>
        </w:rPr>
        <w:t xml:space="preserve"> </w:t>
      </w:r>
    </w:p>
    <w:p w:rsidR="004B654C" w:rsidRPr="001268E7" w:rsidRDefault="000E2F3F" w:rsidP="000E2F3F">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asciiTheme="minorHAnsi" w:hAnsiTheme="minorHAnsi" w:cs="Calibri,Bold"/>
          <w:b/>
          <w:bCs/>
          <w:i/>
          <w:sz w:val="24"/>
          <w:szCs w:val="24"/>
          <w:u w:val="single"/>
          <w:lang w:eastAsia="pl-PL"/>
        </w:rPr>
        <w:t>Instytucje zaangażowane w prowadzenie i koordynowanie</w:t>
      </w:r>
      <w:r w:rsidR="00D5026E" w:rsidRPr="001268E7">
        <w:rPr>
          <w:rFonts w:asciiTheme="minorHAnsi" w:hAnsiTheme="minorHAnsi" w:cs="Calibri,Bold"/>
          <w:b/>
          <w:bCs/>
          <w:i/>
          <w:sz w:val="24"/>
          <w:szCs w:val="24"/>
          <w:u w:val="single"/>
          <w:lang w:eastAsia="pl-PL"/>
        </w:rPr>
        <w:t xml:space="preserve"> Strategii Komunikacyjnej</w:t>
      </w:r>
    </w:p>
    <w:p w:rsidR="004B654C" w:rsidRPr="001268E7" w:rsidRDefault="000E2F3F" w:rsidP="000E2F3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Instytucja Zarządzają odpowiada za koordynację Strategii Komunikacyjnej.</w:t>
      </w:r>
      <w:r w:rsidR="004B654C" w:rsidRPr="001268E7">
        <w:rPr>
          <w:rFonts w:cs="Calibri"/>
          <w:sz w:val="24"/>
          <w:szCs w:val="24"/>
        </w:rPr>
        <w:t xml:space="preserve"> </w:t>
      </w:r>
      <w:r w:rsidRPr="001268E7">
        <w:rPr>
          <w:rFonts w:cs="Calibri"/>
          <w:sz w:val="24"/>
          <w:szCs w:val="24"/>
          <w:lang w:eastAsia="pl-PL"/>
        </w:rPr>
        <w:t>IZ powierzy część swoich kompetencji WST, powołanemu jako instytucja pośrednicząca</w:t>
      </w:r>
      <w:r w:rsidR="002E4F70" w:rsidRPr="001268E7">
        <w:rPr>
          <w:rFonts w:cs="Calibri"/>
          <w:sz w:val="24"/>
          <w:szCs w:val="24"/>
          <w:lang w:eastAsia="pl-PL"/>
        </w:rPr>
        <w:t>, o której mowa w art. 20(3) R</w:t>
      </w:r>
      <w:r w:rsidRPr="001268E7">
        <w:rPr>
          <w:rFonts w:cs="Calibri"/>
          <w:sz w:val="24"/>
          <w:szCs w:val="24"/>
          <w:lang w:eastAsia="pl-PL"/>
        </w:rPr>
        <w:t xml:space="preserve">W, która będzie odpowiedzialna za przekazywanie informacji i działania promocyjne w odniesieniu do Programu, a także za prezentowanie informacji na temat postępów w realizacji </w:t>
      </w:r>
      <w:r w:rsidR="00D5026E" w:rsidRPr="001268E7">
        <w:rPr>
          <w:rFonts w:cs="Calibri"/>
          <w:sz w:val="24"/>
          <w:szCs w:val="24"/>
          <w:lang w:eastAsia="pl-PL"/>
        </w:rPr>
        <w:t xml:space="preserve">strategii </w:t>
      </w:r>
      <w:r w:rsidRPr="001268E7">
        <w:rPr>
          <w:rFonts w:cs="Calibri"/>
          <w:sz w:val="24"/>
          <w:szCs w:val="24"/>
          <w:lang w:eastAsia="pl-PL"/>
        </w:rPr>
        <w:t>w postaci corocznego raportu.</w:t>
      </w:r>
      <w:r w:rsidR="004B654C" w:rsidRPr="001268E7">
        <w:rPr>
          <w:rFonts w:cs="Calibri"/>
          <w:sz w:val="24"/>
          <w:szCs w:val="24"/>
        </w:rPr>
        <w:t xml:space="preserve"> </w:t>
      </w:r>
      <w:r w:rsidR="00D5026E" w:rsidRPr="001268E7">
        <w:rPr>
          <w:rFonts w:cs="Calibri"/>
          <w:sz w:val="24"/>
          <w:szCs w:val="24"/>
          <w:lang w:eastAsia="pl-PL"/>
        </w:rPr>
        <w:t>Odrębne inicjatywy</w:t>
      </w:r>
      <w:r w:rsidRPr="001268E7">
        <w:rPr>
          <w:rFonts w:cs="Calibri"/>
          <w:sz w:val="24"/>
          <w:szCs w:val="24"/>
          <w:lang w:eastAsia="pl-PL"/>
        </w:rPr>
        <w:t xml:space="preserve"> </w:t>
      </w:r>
      <w:r w:rsidR="00D5026E" w:rsidRPr="001268E7">
        <w:rPr>
          <w:rFonts w:cs="Calibri"/>
          <w:sz w:val="24"/>
          <w:szCs w:val="24"/>
          <w:lang w:eastAsia="pl-PL"/>
        </w:rPr>
        <w:t>informacyjne i promocyjne</w:t>
      </w:r>
      <w:r w:rsidRPr="001268E7">
        <w:rPr>
          <w:rFonts w:cs="Calibri"/>
          <w:sz w:val="24"/>
          <w:szCs w:val="24"/>
          <w:lang w:eastAsia="pl-PL"/>
        </w:rPr>
        <w:t xml:space="preserve"> powinny być realizowane we współpracy z WST.</w:t>
      </w:r>
      <w:r w:rsidR="004B654C" w:rsidRPr="001268E7">
        <w:rPr>
          <w:rFonts w:cs="Calibri"/>
          <w:sz w:val="24"/>
          <w:szCs w:val="24"/>
        </w:rPr>
        <w:t xml:space="preserve"> </w:t>
      </w:r>
    </w:p>
    <w:p w:rsidR="004B654C" w:rsidRPr="001268E7" w:rsidRDefault="000E2F3F" w:rsidP="000E2F3F">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Strategia i treść Strategii Komunikacyjnej</w:t>
      </w:r>
      <w:r w:rsidR="004B654C" w:rsidRPr="001268E7">
        <w:rPr>
          <w:rFonts w:cs="Calibri"/>
          <w:b/>
          <w:i/>
          <w:sz w:val="24"/>
          <w:szCs w:val="24"/>
          <w:u w:val="single"/>
        </w:rPr>
        <w:t xml:space="preserve"> </w:t>
      </w:r>
    </w:p>
    <w:p w:rsidR="004B654C" w:rsidRPr="001268E7" w:rsidRDefault="000E2F3F" w:rsidP="000E2F3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Strategia Komunikacyjna powinna przede wszystkim zapewniać przejrzystość procedur wsparcia w ramach Programu, a także przekazywać, w sposób obiektywny i kompleksowy, informacje na temat następujących zagadnień dotyczących funkcjonowania Programu:</w:t>
      </w:r>
      <w:r w:rsidR="004B654C" w:rsidRPr="001268E7">
        <w:rPr>
          <w:rFonts w:cs="Calibri"/>
          <w:sz w:val="24"/>
          <w:szCs w:val="24"/>
        </w:rPr>
        <w:t xml:space="preserve">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cele tematyczne,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priorytety,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możliwe działania, dla których można uzyskać wsparcie,</w:t>
      </w:r>
      <w:r w:rsidRPr="001268E7">
        <w:rPr>
          <w:rFonts w:cs="Calibri"/>
          <w:sz w:val="24"/>
          <w:szCs w:val="24"/>
        </w:rPr>
        <w:t xml:space="preserve">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zasady kwalifikowalności wydatków,</w:t>
      </w:r>
      <w:r w:rsidRPr="001268E7">
        <w:rPr>
          <w:rFonts w:cs="Calibri"/>
          <w:sz w:val="24"/>
          <w:szCs w:val="24"/>
        </w:rPr>
        <w:t xml:space="preserve">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finansowy wkład UE i Federacji Rosyjskiej,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lang w:eastAsia="pl-PL"/>
        </w:rPr>
        <w:t>procedury oceny wniosków,</w:t>
      </w:r>
      <w:r w:rsidRPr="001268E7">
        <w:rPr>
          <w:rFonts w:cs="Calibri"/>
          <w:sz w:val="24"/>
          <w:szCs w:val="24"/>
        </w:rPr>
        <w:t xml:space="preserve">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kryteria wyboru projektów,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zaproszenia do składania wniosków,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rPr>
        <w:t xml:space="preserve">wyniki osiągane przez projekty poprzez wdrożenie Programu, </w:t>
      </w:r>
    </w:p>
    <w:p w:rsidR="000E2F3F" w:rsidRPr="001268E7" w:rsidRDefault="000E2F3F" w:rsidP="00246345">
      <w:pPr>
        <w:pStyle w:val="Akapitzlist1"/>
        <w:numPr>
          <w:ilvl w:val="0"/>
          <w:numId w:val="95"/>
        </w:numPr>
        <w:spacing w:before="100" w:beforeAutospacing="1" w:after="100" w:afterAutospacing="1" w:line="240" w:lineRule="auto"/>
        <w:contextualSpacing w:val="0"/>
        <w:jc w:val="both"/>
        <w:rPr>
          <w:rFonts w:cs="Calibri"/>
          <w:sz w:val="24"/>
          <w:szCs w:val="24"/>
        </w:rPr>
      </w:pPr>
      <w:r w:rsidRPr="001268E7">
        <w:rPr>
          <w:rFonts w:cs="Calibri"/>
          <w:sz w:val="24"/>
          <w:szCs w:val="24"/>
        </w:rPr>
        <w:t>instytucje na szczeblu krajowym i regionalnym mogące udzielić informacji na temat Programu.</w:t>
      </w:r>
    </w:p>
    <w:p w:rsidR="004B654C" w:rsidRPr="001268E7" w:rsidRDefault="000E2F3F" w:rsidP="000E2F3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Co więcej, opinia publiczna powinna być regularnie informowana o postępach w zakresie realizacji Programu i o przykładach najlepiej zrealizowanych projektów.</w:t>
      </w:r>
      <w:r w:rsidR="004B654C" w:rsidRPr="001268E7">
        <w:rPr>
          <w:rFonts w:cs="Calibri"/>
          <w:sz w:val="24"/>
          <w:szCs w:val="24"/>
        </w:rPr>
        <w:t xml:space="preserve"> </w:t>
      </w:r>
    </w:p>
    <w:p w:rsidR="004B654C" w:rsidRPr="001268E7" w:rsidRDefault="000E2F3F" w:rsidP="000E2F3F">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Logo Programu</w:t>
      </w:r>
      <w:r w:rsidR="004B654C" w:rsidRPr="001268E7">
        <w:rPr>
          <w:rFonts w:cs="Calibri"/>
          <w:b/>
          <w:i/>
          <w:sz w:val="24"/>
          <w:szCs w:val="24"/>
          <w:u w:val="single"/>
        </w:rPr>
        <w:t xml:space="preserve"> </w:t>
      </w:r>
    </w:p>
    <w:p w:rsidR="004B654C" w:rsidRPr="001268E7" w:rsidRDefault="000E2F3F" w:rsidP="000E2F3F">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W celu zapewnienia większego poziomu identyfikacji z Programem, zaprojektowane zostanie logo P</w:t>
      </w:r>
      <w:r w:rsidR="00D5026E" w:rsidRPr="001268E7">
        <w:rPr>
          <w:rFonts w:cs="Calibri"/>
          <w:sz w:val="24"/>
          <w:szCs w:val="24"/>
          <w:lang w:eastAsia="pl-PL"/>
        </w:rPr>
        <w:t>rogramu symbolizujące współpracę</w:t>
      </w:r>
      <w:r w:rsidRPr="001268E7">
        <w:rPr>
          <w:rFonts w:cs="Calibri"/>
          <w:sz w:val="24"/>
          <w:szCs w:val="24"/>
          <w:lang w:eastAsia="pl-PL"/>
        </w:rPr>
        <w:t xml:space="preserve"> pomiędzy krajami uczestniczącymi w ramach Programu.</w:t>
      </w:r>
      <w:r w:rsidR="004B654C" w:rsidRPr="001268E7">
        <w:rPr>
          <w:rFonts w:cs="Calibri"/>
          <w:sz w:val="24"/>
          <w:szCs w:val="24"/>
        </w:rPr>
        <w:t xml:space="preserve"> </w:t>
      </w:r>
      <w:r w:rsidRPr="001268E7">
        <w:rPr>
          <w:rFonts w:cs="Calibri"/>
          <w:sz w:val="24"/>
          <w:szCs w:val="24"/>
          <w:lang w:eastAsia="pl-PL"/>
        </w:rPr>
        <w:t>Wspólne logo Programu umieszczane będzie na wszystkich materiałach informacyjnych i promocyjnych, na stronie internetowej</w:t>
      </w:r>
      <w:r w:rsidR="00D5026E" w:rsidRPr="001268E7">
        <w:rPr>
          <w:rFonts w:cs="Calibri"/>
          <w:sz w:val="24"/>
          <w:szCs w:val="24"/>
          <w:lang w:eastAsia="pl-PL"/>
        </w:rPr>
        <w:t xml:space="preserve"> Programu</w:t>
      </w:r>
      <w:r w:rsidRPr="001268E7">
        <w:rPr>
          <w:rFonts w:cs="Calibri"/>
          <w:sz w:val="24"/>
          <w:szCs w:val="24"/>
          <w:lang w:eastAsia="pl-PL"/>
        </w:rPr>
        <w:t xml:space="preserve"> oraz w biurach instytucji zajmujących się rozpowszechnianiem wszelkich zewnętrznych informacji na temat Programu (np. wśród beneficjentów, partnerów itd.).</w:t>
      </w:r>
      <w:r w:rsidR="004B654C" w:rsidRPr="001268E7">
        <w:rPr>
          <w:rFonts w:cs="Calibri"/>
          <w:sz w:val="24"/>
          <w:szCs w:val="24"/>
        </w:rPr>
        <w:t xml:space="preserve"> </w:t>
      </w:r>
      <w:r w:rsidRPr="001268E7">
        <w:rPr>
          <w:rFonts w:cs="Calibri"/>
          <w:sz w:val="24"/>
          <w:szCs w:val="24"/>
          <w:lang w:eastAsia="pl-PL"/>
        </w:rPr>
        <w:t xml:space="preserve">Logo wykorzystywane będzie również na potrzeby promocji konkretnych projektów wdrażanych w ramach </w:t>
      </w:r>
      <w:r w:rsidR="00D5026E" w:rsidRPr="001268E7">
        <w:rPr>
          <w:rFonts w:cs="Calibri"/>
          <w:sz w:val="24"/>
          <w:szCs w:val="24"/>
          <w:lang w:eastAsia="pl-PL"/>
        </w:rPr>
        <w:t>Programu</w:t>
      </w:r>
      <w:r w:rsidRPr="001268E7">
        <w:rPr>
          <w:rFonts w:cs="Calibri"/>
          <w:sz w:val="24"/>
          <w:szCs w:val="24"/>
          <w:lang w:eastAsia="pl-PL"/>
        </w:rPr>
        <w:t>.</w:t>
      </w:r>
      <w:r w:rsidR="004B654C" w:rsidRPr="001268E7">
        <w:rPr>
          <w:rFonts w:cs="Calibri"/>
          <w:sz w:val="24"/>
          <w:szCs w:val="24"/>
        </w:rPr>
        <w:t xml:space="preserve"> </w:t>
      </w:r>
      <w:r w:rsidR="00D5026E" w:rsidRPr="001268E7">
        <w:rPr>
          <w:rFonts w:cs="Calibri"/>
          <w:sz w:val="24"/>
          <w:szCs w:val="24"/>
        </w:rPr>
        <w:t>Przy logo</w:t>
      </w:r>
      <w:r w:rsidRPr="001268E7">
        <w:rPr>
          <w:rFonts w:cs="Calibri"/>
          <w:sz w:val="24"/>
          <w:szCs w:val="24"/>
        </w:rPr>
        <w:t xml:space="preserve"> widoczne będą następujące słowa: "Współfinansowane przez Unię Europejską". </w:t>
      </w:r>
    </w:p>
    <w:p w:rsidR="004B654C" w:rsidRPr="001268E7" w:rsidRDefault="000E2F3F" w:rsidP="001B3BFB">
      <w:pPr>
        <w:spacing w:after="0" w:line="240" w:lineRule="auto"/>
        <w:jc w:val="both"/>
        <w:rPr>
          <w:rFonts w:cs="Calibri"/>
          <w:sz w:val="24"/>
          <w:szCs w:val="24"/>
        </w:rPr>
      </w:pPr>
      <w:r w:rsidRPr="001268E7">
        <w:rPr>
          <w:rFonts w:cs="Calibri"/>
          <w:sz w:val="24"/>
          <w:szCs w:val="24"/>
        </w:rPr>
        <w:t>Na terytorium Rosji wizualne przestawienie finansowego udziału Rosji w Programie będzie wyrażone ros</w:t>
      </w:r>
      <w:r w:rsidR="00D5026E" w:rsidRPr="001268E7">
        <w:rPr>
          <w:rFonts w:cs="Calibri"/>
          <w:sz w:val="24"/>
          <w:szCs w:val="24"/>
        </w:rPr>
        <w:t>yjską i unijną flagą wraz z logiem</w:t>
      </w:r>
      <w:r w:rsidRPr="001268E7">
        <w:rPr>
          <w:rFonts w:cs="Calibri"/>
          <w:sz w:val="24"/>
          <w:szCs w:val="24"/>
        </w:rPr>
        <w:t xml:space="preserve"> Programu.</w:t>
      </w:r>
      <w:r w:rsidR="004B654C" w:rsidRPr="001268E7">
        <w:rPr>
          <w:rFonts w:cs="Calibri"/>
          <w:sz w:val="24"/>
          <w:szCs w:val="24"/>
        </w:rPr>
        <w:t xml:space="preserve"> </w:t>
      </w:r>
      <w:r w:rsidRPr="001268E7">
        <w:rPr>
          <w:rFonts w:cs="Calibri"/>
          <w:sz w:val="24"/>
          <w:szCs w:val="24"/>
        </w:rPr>
        <w:t xml:space="preserve">Taka wizualizacja będzie dotyczyć </w:t>
      </w:r>
      <w:r w:rsidRPr="001268E7">
        <w:rPr>
          <w:rFonts w:cs="Calibri"/>
          <w:sz w:val="24"/>
          <w:szCs w:val="24"/>
        </w:rPr>
        <w:lastRenderedPageBreak/>
        <w:t>projektów wdrażanych na terytorium Rosji.</w:t>
      </w:r>
      <w:r w:rsidR="004B654C" w:rsidRPr="001268E7">
        <w:rPr>
          <w:rFonts w:cs="Calibri"/>
          <w:sz w:val="24"/>
          <w:szCs w:val="24"/>
        </w:rPr>
        <w:t xml:space="preserve"> </w:t>
      </w:r>
      <w:r w:rsidR="001B3BFB" w:rsidRPr="001268E7">
        <w:rPr>
          <w:rFonts w:cs="Calibri"/>
          <w:sz w:val="24"/>
          <w:szCs w:val="24"/>
        </w:rPr>
        <w:t>Każdej wzm</w:t>
      </w:r>
      <w:r w:rsidR="00D5026E" w:rsidRPr="001268E7">
        <w:rPr>
          <w:rFonts w:cs="Calibri"/>
          <w:sz w:val="24"/>
          <w:szCs w:val="24"/>
        </w:rPr>
        <w:t>iance na temat współfinansowania</w:t>
      </w:r>
      <w:r w:rsidR="001B3BFB" w:rsidRPr="001268E7">
        <w:rPr>
          <w:rFonts w:cs="Calibri"/>
          <w:sz w:val="24"/>
          <w:szCs w:val="24"/>
        </w:rPr>
        <w:t xml:space="preserve"> projektu przez UE na terytorium Rosji będzie towarzyszyć identyczna wzmianka o współfinansowaniu przez Rosję.</w:t>
      </w:r>
      <w:r w:rsidR="004B654C" w:rsidRPr="001268E7">
        <w:rPr>
          <w:rFonts w:cs="Calibri"/>
          <w:sz w:val="24"/>
          <w:szCs w:val="24"/>
        </w:rPr>
        <w:t xml:space="preserve"> </w:t>
      </w:r>
    </w:p>
    <w:p w:rsidR="004B654C" w:rsidRPr="001268E7" w:rsidRDefault="001B3BFB" w:rsidP="001B3BFB">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Główne kanały komunikacji</w:t>
      </w:r>
      <w:r w:rsidR="004B654C" w:rsidRPr="001268E7">
        <w:rPr>
          <w:rFonts w:cs="Calibri"/>
          <w:b/>
          <w:i/>
          <w:sz w:val="24"/>
          <w:szCs w:val="24"/>
          <w:u w:val="single"/>
        </w:rPr>
        <w:t xml:space="preserve"> </w:t>
      </w:r>
    </w:p>
    <w:p w:rsidR="004B654C" w:rsidRPr="001268E7" w:rsidRDefault="001B3BFB" w:rsidP="001B3BF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W celu rozpowszechniania informacji dotyczących Programu wykorzystywane będą następujące kanały komunikacji:</w:t>
      </w:r>
      <w:r w:rsidR="004B654C" w:rsidRPr="001268E7">
        <w:rPr>
          <w:rFonts w:cs="Calibri"/>
          <w:sz w:val="24"/>
          <w:szCs w:val="24"/>
        </w:rPr>
        <w:t xml:space="preserve"> </w:t>
      </w:r>
    </w:p>
    <w:p w:rsidR="001B3BFB" w:rsidRPr="001268E7" w:rsidRDefault="001B3BFB" w:rsidP="00246345">
      <w:pPr>
        <w:pStyle w:val="Akapitzlist"/>
        <w:numPr>
          <w:ilvl w:val="0"/>
          <w:numId w:val="96"/>
        </w:numPr>
        <w:jc w:val="both"/>
        <w:rPr>
          <w:rFonts w:cs="Calibri"/>
          <w:sz w:val="24"/>
          <w:szCs w:val="24"/>
        </w:rPr>
      </w:pPr>
      <w:r w:rsidRPr="001268E7">
        <w:rPr>
          <w:rFonts w:cs="Calibri"/>
          <w:sz w:val="24"/>
          <w:szCs w:val="24"/>
        </w:rPr>
        <w:t xml:space="preserve">Internet </w:t>
      </w:r>
    </w:p>
    <w:p w:rsidR="004B654C" w:rsidRPr="001268E7" w:rsidRDefault="001B3BFB" w:rsidP="001B3BF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Aby zapewnić stały dostęp do informacji o Programie, jego celach i treści, podstawach prawnych, procedurach składania w</w:t>
      </w:r>
      <w:r w:rsidR="00611D96" w:rsidRPr="001268E7">
        <w:rPr>
          <w:rFonts w:cs="Calibri"/>
          <w:sz w:val="24"/>
          <w:szCs w:val="24"/>
        </w:rPr>
        <w:t>niosków i wyborze projektów, a także</w:t>
      </w:r>
      <w:r w:rsidRPr="001268E7">
        <w:rPr>
          <w:rFonts w:cs="Calibri"/>
          <w:sz w:val="24"/>
          <w:szCs w:val="24"/>
        </w:rPr>
        <w:t xml:space="preserve"> o urzędowych dokumentach, opracowana zostanie strona internetowa Programu.</w:t>
      </w:r>
      <w:r w:rsidR="004B654C" w:rsidRPr="001268E7">
        <w:rPr>
          <w:rFonts w:cs="Calibri"/>
          <w:sz w:val="24"/>
          <w:szCs w:val="24"/>
        </w:rPr>
        <w:t xml:space="preserve"> </w:t>
      </w:r>
      <w:r w:rsidRPr="001268E7">
        <w:rPr>
          <w:rFonts w:cs="Calibri"/>
          <w:sz w:val="24"/>
          <w:szCs w:val="24"/>
        </w:rPr>
        <w:t>Będzie to obszerne źródło informacji na temat projektów</w:t>
      </w:r>
      <w:r w:rsidR="00611D96" w:rsidRPr="001268E7">
        <w:rPr>
          <w:rFonts w:cs="Calibri"/>
          <w:sz w:val="24"/>
          <w:szCs w:val="24"/>
        </w:rPr>
        <w:t xml:space="preserve"> wdrożonych w ramach Programu, </w:t>
      </w:r>
      <w:r w:rsidRPr="001268E7">
        <w:rPr>
          <w:rFonts w:cs="Calibri"/>
          <w:sz w:val="24"/>
          <w:szCs w:val="24"/>
        </w:rPr>
        <w:t>organizowanych wydarzeniach, spotkaniach i warsztatach dla wszystkich grup docelowych Programu.</w:t>
      </w:r>
      <w:r w:rsidR="004B654C" w:rsidRPr="001268E7">
        <w:rPr>
          <w:rFonts w:cs="Calibri"/>
          <w:sz w:val="24"/>
          <w:szCs w:val="24"/>
        </w:rPr>
        <w:t xml:space="preserve"> </w:t>
      </w:r>
      <w:r w:rsidRPr="001268E7">
        <w:rPr>
          <w:rFonts w:cs="Calibri"/>
          <w:sz w:val="24"/>
          <w:szCs w:val="24"/>
          <w:lang w:eastAsia="pl-PL"/>
        </w:rPr>
        <w:t>Strona internetowa będzie ponadto umożliwiała uzyskanie dostępu do osób kontaktowych</w:t>
      </w:r>
      <w:r w:rsidR="0078023E" w:rsidRPr="001268E7">
        <w:rPr>
          <w:rFonts w:cs="Calibri"/>
          <w:sz w:val="24"/>
          <w:szCs w:val="24"/>
          <w:lang w:eastAsia="pl-PL"/>
        </w:rPr>
        <w:t>, w tym instytucji koordynujących,</w:t>
      </w:r>
      <w:r w:rsidRPr="001268E7">
        <w:rPr>
          <w:rFonts w:cs="Calibri"/>
          <w:sz w:val="24"/>
          <w:szCs w:val="24"/>
          <w:lang w:eastAsia="pl-PL"/>
        </w:rPr>
        <w:t xml:space="preserve"> oraz będzie zawie</w:t>
      </w:r>
      <w:r w:rsidR="0078023E" w:rsidRPr="001268E7">
        <w:rPr>
          <w:rFonts w:cs="Calibri"/>
          <w:sz w:val="24"/>
          <w:szCs w:val="24"/>
          <w:lang w:eastAsia="pl-PL"/>
        </w:rPr>
        <w:t>rać przydatne linki</w:t>
      </w:r>
      <w:r w:rsidRPr="001268E7">
        <w:rPr>
          <w:rFonts w:cs="Calibri"/>
          <w:sz w:val="24"/>
          <w:szCs w:val="24"/>
          <w:lang w:eastAsia="pl-PL"/>
        </w:rPr>
        <w:t>. Będzie to również źródło dostępu do wszystkich istotnych dokumentów i publikacji.</w:t>
      </w:r>
      <w:r w:rsidR="004B654C" w:rsidRPr="001268E7">
        <w:rPr>
          <w:rFonts w:cs="Calibri"/>
          <w:sz w:val="24"/>
          <w:szCs w:val="24"/>
        </w:rPr>
        <w:t xml:space="preserve"> </w:t>
      </w:r>
      <w:r w:rsidRPr="001268E7">
        <w:rPr>
          <w:rFonts w:cs="Calibri"/>
          <w:sz w:val="24"/>
          <w:szCs w:val="24"/>
        </w:rPr>
        <w:t>WST odpowiedzialny będzie za administrowanie i aktualizowanie strony internetowej.</w:t>
      </w:r>
    </w:p>
    <w:p w:rsidR="004B654C" w:rsidRPr="001268E7" w:rsidRDefault="001B3BFB" w:rsidP="001B3BF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Program może być również promowany za pośrednictwem portali internetowych, internetowych wydań gazet oraz za pośrednictwem innych źródeł internetowych takich jak media społeczne.</w:t>
      </w:r>
      <w:r w:rsidR="004B654C" w:rsidRPr="001268E7">
        <w:rPr>
          <w:rFonts w:cs="Calibri"/>
          <w:sz w:val="24"/>
          <w:szCs w:val="24"/>
        </w:rPr>
        <w:t xml:space="preserve"> </w:t>
      </w:r>
      <w:r w:rsidRPr="001268E7">
        <w:rPr>
          <w:rFonts w:cs="Calibri"/>
          <w:sz w:val="24"/>
          <w:szCs w:val="24"/>
        </w:rPr>
        <w:t>Kanały internetowe dobrze dostosowane do grup docelowych mogą być wykorzystywane jako</w:t>
      </w:r>
      <w:r w:rsidR="0078023E" w:rsidRPr="001268E7">
        <w:rPr>
          <w:rFonts w:cs="Calibri"/>
          <w:sz w:val="24"/>
          <w:szCs w:val="24"/>
        </w:rPr>
        <w:t xml:space="preserve"> skuteczna platforma przekazywania</w:t>
      </w:r>
      <w:r w:rsidRPr="001268E7">
        <w:rPr>
          <w:rFonts w:cs="Calibri"/>
          <w:sz w:val="24"/>
          <w:szCs w:val="24"/>
        </w:rPr>
        <w:t xml:space="preserve"> </w:t>
      </w:r>
      <w:r w:rsidR="0078023E" w:rsidRPr="001268E7">
        <w:rPr>
          <w:rFonts w:cs="Calibri"/>
          <w:sz w:val="24"/>
          <w:szCs w:val="24"/>
        </w:rPr>
        <w:t xml:space="preserve">informacji na temat </w:t>
      </w:r>
      <w:r w:rsidRPr="001268E7">
        <w:rPr>
          <w:rFonts w:cs="Calibri"/>
          <w:sz w:val="24"/>
          <w:szCs w:val="24"/>
        </w:rPr>
        <w:t>Programu i projektów wdrażanych w jego ramach.</w:t>
      </w:r>
      <w:r w:rsidR="004B654C" w:rsidRPr="001268E7">
        <w:rPr>
          <w:rFonts w:cs="Calibri"/>
          <w:sz w:val="24"/>
          <w:szCs w:val="24"/>
        </w:rPr>
        <w:t xml:space="preserve"> </w:t>
      </w:r>
    </w:p>
    <w:p w:rsidR="001B3BFB" w:rsidRPr="001268E7" w:rsidRDefault="001B3BFB" w:rsidP="00246345">
      <w:pPr>
        <w:pStyle w:val="Akapitzlist"/>
        <w:numPr>
          <w:ilvl w:val="0"/>
          <w:numId w:val="97"/>
        </w:numPr>
        <w:jc w:val="both"/>
        <w:rPr>
          <w:rFonts w:cs="Calibri"/>
          <w:sz w:val="24"/>
          <w:szCs w:val="24"/>
        </w:rPr>
      </w:pPr>
      <w:r w:rsidRPr="001268E7">
        <w:rPr>
          <w:rFonts w:cs="Calibri"/>
          <w:sz w:val="24"/>
          <w:szCs w:val="24"/>
        </w:rPr>
        <w:t>Środki masowego przekazu</w:t>
      </w:r>
      <w:r w:rsidR="00650AC0" w:rsidRPr="001268E7">
        <w:rPr>
          <w:rFonts w:cs="Calibri"/>
          <w:sz w:val="24"/>
          <w:szCs w:val="24"/>
        </w:rPr>
        <w:t xml:space="preserve"> </w:t>
      </w:r>
    </w:p>
    <w:p w:rsidR="004B654C" w:rsidRPr="001268E7" w:rsidRDefault="001B3BFB" w:rsidP="001B3BFB">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Środki masowego przekazu, jako jedne z najskuteczniejszych kanałów komunikacji, mogą być wykorzystywane nie tylko w Strategii Komunikacyjnej Programu, głównie na szczeblu regionalnym i lokalnym, ale również w biznesie, opinii publicznej i mediach tematycznych (np. prasa, w tym wydania internetowe, wydarzenia w terenie, radio lokalne/regional</w:t>
      </w:r>
      <w:r w:rsidR="0078023E" w:rsidRPr="001268E7">
        <w:rPr>
          <w:rFonts w:cs="Calibri"/>
          <w:sz w:val="24"/>
          <w:szCs w:val="24"/>
        </w:rPr>
        <w:t>ne, telewizja lokalna/regionalna</w:t>
      </w:r>
      <w:r w:rsidRPr="001268E7">
        <w:rPr>
          <w:rFonts w:cs="Calibri"/>
          <w:sz w:val="24"/>
          <w:szCs w:val="24"/>
        </w:rPr>
        <w:t xml:space="preserve"> itd.).</w:t>
      </w:r>
      <w:r w:rsidR="004B654C" w:rsidRPr="001268E7">
        <w:rPr>
          <w:rFonts w:cs="Calibri"/>
          <w:sz w:val="24"/>
          <w:szCs w:val="24"/>
        </w:rPr>
        <w:t xml:space="preserve"> </w:t>
      </w:r>
      <w:r w:rsidRPr="001268E7">
        <w:rPr>
          <w:rFonts w:cs="Calibri"/>
          <w:sz w:val="24"/>
          <w:szCs w:val="24"/>
        </w:rPr>
        <w:t xml:space="preserve">WST będzie przygotowywać i prowadzić kampanie medialne oraz </w:t>
      </w:r>
      <w:r w:rsidR="00AD6C06" w:rsidRPr="001268E7">
        <w:rPr>
          <w:rFonts w:cs="Calibri"/>
          <w:sz w:val="24"/>
          <w:szCs w:val="24"/>
        </w:rPr>
        <w:t xml:space="preserve">nawiązywać </w:t>
      </w:r>
      <w:r w:rsidRPr="001268E7">
        <w:rPr>
          <w:rFonts w:cs="Calibri"/>
          <w:sz w:val="24"/>
          <w:szCs w:val="24"/>
        </w:rPr>
        <w:t>rel</w:t>
      </w:r>
      <w:r w:rsidR="0078023E" w:rsidRPr="001268E7">
        <w:rPr>
          <w:rFonts w:cs="Calibri"/>
          <w:sz w:val="24"/>
          <w:szCs w:val="24"/>
        </w:rPr>
        <w:t>acje z mediami zgodnie z bieżącym</w:t>
      </w:r>
      <w:r w:rsidRPr="001268E7">
        <w:rPr>
          <w:rFonts w:cs="Calibri"/>
          <w:sz w:val="24"/>
          <w:szCs w:val="24"/>
        </w:rPr>
        <w:t xml:space="preserve"> etapem realizacji Programu lub projektów.</w:t>
      </w:r>
      <w:r w:rsidR="004B654C" w:rsidRPr="001268E7">
        <w:rPr>
          <w:rFonts w:cs="Calibri"/>
          <w:sz w:val="24"/>
          <w:szCs w:val="24"/>
        </w:rPr>
        <w:t xml:space="preserve"> </w:t>
      </w:r>
    </w:p>
    <w:p w:rsidR="004B654C" w:rsidRPr="001268E7" w:rsidRDefault="0078023E" w:rsidP="00AD6C0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Ponadto, w ramach realizacji</w:t>
      </w:r>
      <w:r w:rsidR="001B3BFB" w:rsidRPr="001268E7">
        <w:rPr>
          <w:rFonts w:cs="Calibri"/>
          <w:sz w:val="24"/>
          <w:szCs w:val="24"/>
        </w:rPr>
        <w:t xml:space="preserve"> projektu, beneficjenci będą współdziałać z mediami z własnej inicjatywy.</w:t>
      </w:r>
      <w:r w:rsidR="004B654C" w:rsidRPr="001268E7">
        <w:rPr>
          <w:rFonts w:cs="Calibri"/>
          <w:sz w:val="24"/>
          <w:szCs w:val="24"/>
        </w:rPr>
        <w:t xml:space="preserve"> </w:t>
      </w:r>
      <w:r w:rsidR="00AD6C06" w:rsidRPr="001268E7">
        <w:rPr>
          <w:rFonts w:cs="Calibri"/>
          <w:sz w:val="24"/>
          <w:szCs w:val="24"/>
        </w:rPr>
        <w:t>W razie konieczności, będą oni wspierani przez WST, w szczególności w odniesieniu do wymagań w zakresie widoczności Programu.</w:t>
      </w:r>
      <w:r w:rsidR="004B654C" w:rsidRPr="001268E7">
        <w:rPr>
          <w:rFonts w:cs="Calibri"/>
          <w:sz w:val="24"/>
          <w:szCs w:val="24"/>
        </w:rPr>
        <w:t xml:space="preserve"> </w:t>
      </w:r>
    </w:p>
    <w:p w:rsidR="00AD6C06" w:rsidRPr="001268E7" w:rsidRDefault="00AD6C06" w:rsidP="00246345">
      <w:pPr>
        <w:pStyle w:val="Akapitzlist"/>
        <w:numPr>
          <w:ilvl w:val="0"/>
          <w:numId w:val="98"/>
        </w:numPr>
        <w:jc w:val="both"/>
        <w:rPr>
          <w:rFonts w:cs="Calibri"/>
          <w:sz w:val="24"/>
          <w:szCs w:val="24"/>
        </w:rPr>
      </w:pPr>
      <w:r w:rsidRPr="001268E7">
        <w:rPr>
          <w:rFonts w:cs="Calibri"/>
          <w:sz w:val="24"/>
          <w:szCs w:val="24"/>
        </w:rPr>
        <w:t xml:space="preserve">Publikacje </w:t>
      </w:r>
    </w:p>
    <w:p w:rsidR="004B654C" w:rsidRPr="001268E7" w:rsidRDefault="00AD6C06" w:rsidP="00AD6C0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Wspólny Program Operacyjny ma być opublikowany na stronie internetowej Programu w postaci elektronicznej.</w:t>
      </w:r>
      <w:r w:rsidR="004B654C" w:rsidRPr="001268E7">
        <w:rPr>
          <w:rFonts w:cs="Calibri"/>
          <w:sz w:val="24"/>
          <w:szCs w:val="24"/>
        </w:rPr>
        <w:t xml:space="preserve"> </w:t>
      </w:r>
      <w:r w:rsidRPr="001268E7">
        <w:rPr>
          <w:rFonts w:cs="Calibri"/>
          <w:sz w:val="24"/>
          <w:szCs w:val="24"/>
        </w:rPr>
        <w:t xml:space="preserve">Inne, bardziej szczegółowe dokumenty lub instrukcje </w:t>
      </w:r>
      <w:r w:rsidR="0078023E" w:rsidRPr="001268E7">
        <w:rPr>
          <w:rFonts w:cs="Calibri"/>
          <w:sz w:val="24"/>
          <w:szCs w:val="24"/>
        </w:rPr>
        <w:t xml:space="preserve">dotyczące </w:t>
      </w:r>
      <w:r w:rsidRPr="001268E7">
        <w:rPr>
          <w:rFonts w:cs="Calibri"/>
          <w:sz w:val="24"/>
          <w:szCs w:val="24"/>
        </w:rPr>
        <w:t>Programu będą również publikowane na stronie.</w:t>
      </w:r>
      <w:r w:rsidR="004B654C" w:rsidRPr="001268E7">
        <w:rPr>
          <w:rFonts w:cs="Calibri"/>
          <w:sz w:val="24"/>
          <w:szCs w:val="24"/>
        </w:rPr>
        <w:t xml:space="preserve"> </w:t>
      </w:r>
    </w:p>
    <w:p w:rsidR="004B654C" w:rsidRPr="001268E7" w:rsidRDefault="00AD6C06" w:rsidP="00AD6C0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lastRenderedPageBreak/>
        <w:t xml:space="preserve">Aby rozpowszechniać odpowiednie informacje na temat Programu Współpracy Transgranicznej Polska-Rosja 2014-2020, przygotowane zostaną </w:t>
      </w:r>
      <w:r w:rsidR="00AD1A7D">
        <w:rPr>
          <w:rFonts w:cs="Calibri"/>
          <w:sz w:val="24"/>
          <w:szCs w:val="24"/>
        </w:rPr>
        <w:t xml:space="preserve">różne </w:t>
      </w:r>
      <w:r w:rsidRPr="001268E7">
        <w:rPr>
          <w:rFonts w:cs="Calibri"/>
          <w:sz w:val="24"/>
          <w:szCs w:val="24"/>
        </w:rPr>
        <w:t>publikacje, np. broszury/ulotki.</w:t>
      </w:r>
      <w:r w:rsidR="004B654C" w:rsidRPr="001268E7">
        <w:rPr>
          <w:rFonts w:cs="Calibri"/>
          <w:sz w:val="24"/>
          <w:szCs w:val="24"/>
        </w:rPr>
        <w:t xml:space="preserve"> </w:t>
      </w:r>
      <w:r w:rsidRPr="001268E7">
        <w:rPr>
          <w:rFonts w:cs="Calibri"/>
          <w:sz w:val="24"/>
          <w:szCs w:val="24"/>
        </w:rPr>
        <w:t>Wszystkie z nich mają informować potencjalnych wnioskodawców na temat podstaw prawnych, wymagań aplikacyjnych, kryteriów wyboru pro</w:t>
      </w:r>
      <w:r w:rsidR="0078023E" w:rsidRPr="001268E7">
        <w:rPr>
          <w:rFonts w:cs="Calibri"/>
          <w:sz w:val="24"/>
          <w:szCs w:val="24"/>
        </w:rPr>
        <w:t>jektów, głównych celów Programu</w:t>
      </w:r>
      <w:r w:rsidRPr="001268E7">
        <w:rPr>
          <w:rFonts w:cs="Calibri"/>
          <w:sz w:val="24"/>
          <w:szCs w:val="24"/>
        </w:rPr>
        <w:t xml:space="preserve"> oraz dostępnych funduszy.</w:t>
      </w:r>
      <w:r w:rsidR="004B654C" w:rsidRPr="001268E7">
        <w:rPr>
          <w:rFonts w:cs="Calibri"/>
          <w:sz w:val="24"/>
          <w:szCs w:val="24"/>
        </w:rPr>
        <w:t xml:space="preserve"> </w:t>
      </w:r>
      <w:r w:rsidRPr="001268E7">
        <w:rPr>
          <w:rFonts w:cs="Calibri"/>
          <w:sz w:val="24"/>
          <w:szCs w:val="24"/>
        </w:rPr>
        <w:t xml:space="preserve">Szczególne materiały promocyjne zostaną przygotowane </w:t>
      </w:r>
      <w:r w:rsidR="004F49C4" w:rsidRPr="001268E7">
        <w:rPr>
          <w:rFonts w:cs="Calibri"/>
          <w:sz w:val="24"/>
          <w:szCs w:val="24"/>
        </w:rPr>
        <w:t>i opublikowane zgodnie z bieżącym</w:t>
      </w:r>
      <w:r w:rsidRPr="001268E7">
        <w:rPr>
          <w:rFonts w:cs="Calibri"/>
          <w:sz w:val="24"/>
          <w:szCs w:val="24"/>
        </w:rPr>
        <w:t xml:space="preserve"> stanem realizacji Programu.</w:t>
      </w:r>
      <w:r w:rsidR="004B654C" w:rsidRPr="001268E7">
        <w:rPr>
          <w:rFonts w:cs="Calibri"/>
          <w:sz w:val="24"/>
          <w:szCs w:val="24"/>
        </w:rPr>
        <w:t xml:space="preserve"> </w:t>
      </w:r>
      <w:r w:rsidRPr="001268E7">
        <w:rPr>
          <w:rFonts w:cs="Calibri"/>
          <w:sz w:val="24"/>
          <w:szCs w:val="24"/>
        </w:rPr>
        <w:t>Wszystkie publikacje opatrzone będą odpowiednimi oznaczenia</w:t>
      </w:r>
      <w:r w:rsidR="004F49C4" w:rsidRPr="001268E7">
        <w:rPr>
          <w:rFonts w:cs="Calibri"/>
          <w:sz w:val="24"/>
          <w:szCs w:val="24"/>
        </w:rPr>
        <w:t>mi promującymi Program oraz powinny</w:t>
      </w:r>
      <w:r w:rsidRPr="001268E7">
        <w:rPr>
          <w:rFonts w:cs="Calibri"/>
          <w:sz w:val="24"/>
          <w:szCs w:val="24"/>
        </w:rPr>
        <w:t xml:space="preserve"> zawierać informacje o współfinansowaniu przez UE, a w przypadku terytorium rosyjskiego, również informacje na temat współfinansowania przez Rosję.</w:t>
      </w:r>
      <w:r w:rsidR="004B654C" w:rsidRPr="001268E7">
        <w:rPr>
          <w:rFonts w:cs="Calibri"/>
          <w:sz w:val="24"/>
          <w:szCs w:val="24"/>
        </w:rPr>
        <w:t xml:space="preserve"> </w:t>
      </w:r>
    </w:p>
    <w:p w:rsidR="00AD6C06" w:rsidRPr="001268E7" w:rsidRDefault="004B654C" w:rsidP="00246345">
      <w:pPr>
        <w:pStyle w:val="Akapitzlist"/>
        <w:keepNext/>
        <w:numPr>
          <w:ilvl w:val="0"/>
          <w:numId w:val="98"/>
        </w:numPr>
        <w:spacing w:after="0"/>
        <w:jc w:val="both"/>
        <w:rPr>
          <w:rFonts w:cs="Calibri"/>
          <w:vanish/>
          <w:sz w:val="24"/>
          <w:szCs w:val="24"/>
        </w:rPr>
      </w:pPr>
      <w:r w:rsidRPr="001268E7">
        <w:rPr>
          <w:rFonts w:cs="Calibri"/>
          <w:sz w:val="24"/>
          <w:szCs w:val="24"/>
        </w:rPr>
        <w:t xml:space="preserve"> </w:t>
      </w:r>
      <w:r w:rsidR="00AD6C06" w:rsidRPr="001268E7">
        <w:rPr>
          <w:rFonts w:cs="Calibri"/>
          <w:sz w:val="24"/>
          <w:szCs w:val="24"/>
        </w:rPr>
        <w:t xml:space="preserve">Wydarzenia </w:t>
      </w:r>
    </w:p>
    <w:p w:rsidR="004B654C" w:rsidRPr="001268E7" w:rsidRDefault="00AD6C06" w:rsidP="00AD6C0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Wydarzenia publiczne takie jak konferencje, spotkania informacyjne, warsztaty i szkolenia dotyczące Programu dla potencjalnych wnioskodawców, beneficjentów i innych instytucji w ramach przejrzystej i skutecznej realizacji Programu będą organizowane, aby d</w:t>
      </w:r>
      <w:r w:rsidR="004F49C4" w:rsidRPr="001268E7">
        <w:rPr>
          <w:rFonts w:cs="Calibri"/>
          <w:sz w:val="24"/>
          <w:szCs w:val="24"/>
          <w:lang w:eastAsia="pl-PL"/>
        </w:rPr>
        <w:t>zielić się wiedzą i móc komunikować się między sobą</w:t>
      </w:r>
      <w:r w:rsidRPr="001268E7">
        <w:rPr>
          <w:rFonts w:cs="Calibri"/>
          <w:sz w:val="24"/>
          <w:szCs w:val="24"/>
          <w:lang w:eastAsia="pl-PL"/>
        </w:rPr>
        <w:t>.</w:t>
      </w:r>
      <w:r w:rsidR="004B654C" w:rsidRPr="001268E7">
        <w:rPr>
          <w:rFonts w:cs="Calibri"/>
          <w:sz w:val="24"/>
          <w:szCs w:val="24"/>
        </w:rPr>
        <w:t xml:space="preserve"> </w:t>
      </w:r>
      <w:r w:rsidRPr="001268E7">
        <w:rPr>
          <w:rFonts w:cs="Calibri"/>
          <w:sz w:val="24"/>
          <w:szCs w:val="24"/>
          <w:lang w:eastAsia="pl-PL"/>
        </w:rPr>
        <w:t xml:space="preserve">Co więcej, tego rodzaju wydarzenia służą jako platforma do prezentowania </w:t>
      </w:r>
      <w:r w:rsidR="004F49C4" w:rsidRPr="001268E7">
        <w:rPr>
          <w:rFonts w:cs="Calibri"/>
          <w:sz w:val="24"/>
          <w:szCs w:val="24"/>
          <w:lang w:eastAsia="pl-PL"/>
        </w:rPr>
        <w:t xml:space="preserve">i porównywania </w:t>
      </w:r>
      <w:r w:rsidRPr="001268E7">
        <w:rPr>
          <w:rFonts w:cs="Calibri"/>
          <w:sz w:val="24"/>
          <w:szCs w:val="24"/>
          <w:lang w:eastAsia="pl-PL"/>
        </w:rPr>
        <w:t>osiągniętych rezultatów i przykładów r</w:t>
      </w:r>
      <w:r w:rsidR="008455D9" w:rsidRPr="001268E7">
        <w:rPr>
          <w:rFonts w:cs="Calibri"/>
          <w:sz w:val="24"/>
          <w:szCs w:val="24"/>
          <w:lang w:eastAsia="pl-PL"/>
        </w:rPr>
        <w:t>ealizacji Programu ("Najlepsze</w:t>
      </w:r>
      <w:r w:rsidRPr="001268E7">
        <w:rPr>
          <w:rFonts w:cs="Calibri"/>
          <w:sz w:val="24"/>
          <w:szCs w:val="24"/>
          <w:lang w:eastAsia="pl-PL"/>
        </w:rPr>
        <w:t xml:space="preserve"> praktyk</w:t>
      </w:r>
      <w:r w:rsidR="008455D9" w:rsidRPr="001268E7">
        <w:rPr>
          <w:rFonts w:cs="Calibri"/>
          <w:sz w:val="24"/>
          <w:szCs w:val="24"/>
          <w:lang w:eastAsia="pl-PL"/>
        </w:rPr>
        <w:t>i</w:t>
      </w:r>
      <w:r w:rsidRPr="001268E7">
        <w:rPr>
          <w:rFonts w:cs="Calibri"/>
          <w:sz w:val="24"/>
          <w:szCs w:val="24"/>
          <w:lang w:eastAsia="pl-PL"/>
        </w:rPr>
        <w:t>").</w:t>
      </w:r>
      <w:r w:rsidR="004B654C" w:rsidRPr="001268E7">
        <w:rPr>
          <w:rFonts w:cs="Calibri"/>
          <w:sz w:val="24"/>
          <w:szCs w:val="24"/>
        </w:rPr>
        <w:t xml:space="preserve"> </w:t>
      </w:r>
    </w:p>
    <w:p w:rsidR="00AD6C06" w:rsidRPr="001268E7" w:rsidRDefault="00AD6C06" w:rsidP="00246345">
      <w:pPr>
        <w:pStyle w:val="Akapitzlist"/>
        <w:numPr>
          <w:ilvl w:val="0"/>
          <w:numId w:val="99"/>
        </w:numPr>
        <w:jc w:val="both"/>
        <w:rPr>
          <w:rFonts w:cs="Calibri"/>
          <w:sz w:val="24"/>
          <w:szCs w:val="24"/>
        </w:rPr>
      </w:pPr>
      <w:r w:rsidRPr="001268E7">
        <w:rPr>
          <w:rFonts w:cs="Calibri"/>
          <w:sz w:val="24"/>
          <w:szCs w:val="24"/>
        </w:rPr>
        <w:t>Inne formy komunikacji</w:t>
      </w:r>
    </w:p>
    <w:p w:rsidR="004B654C" w:rsidRPr="001268E7" w:rsidRDefault="00AD6C06" w:rsidP="00AD6C0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Inne, wliczając niestandardowe formy informacji i promocji, mogą być wykorzystywane w trakcie tworzenia i realizowania Strategii Komunikacyjnej Programu.</w:t>
      </w:r>
      <w:r w:rsidR="004B654C" w:rsidRPr="001268E7">
        <w:rPr>
          <w:rFonts w:cs="Calibri"/>
          <w:sz w:val="24"/>
          <w:szCs w:val="24"/>
        </w:rPr>
        <w:t xml:space="preserve"> </w:t>
      </w:r>
      <w:r w:rsidRPr="001268E7">
        <w:rPr>
          <w:rFonts w:cs="Calibri"/>
          <w:sz w:val="24"/>
          <w:szCs w:val="24"/>
        </w:rPr>
        <w:t xml:space="preserve">Atrakcyjne i nowoczesne działania, np. konkursy internetowe lub działania za pośrednictwem mediów społecznościowych, </w:t>
      </w:r>
      <w:r w:rsidR="004F49C4" w:rsidRPr="001268E7">
        <w:rPr>
          <w:rFonts w:cs="Calibri"/>
          <w:sz w:val="24"/>
          <w:szCs w:val="24"/>
        </w:rPr>
        <w:t xml:space="preserve">dobrze </w:t>
      </w:r>
      <w:r w:rsidRPr="001268E7">
        <w:rPr>
          <w:rFonts w:cs="Calibri"/>
          <w:sz w:val="24"/>
          <w:szCs w:val="24"/>
        </w:rPr>
        <w:t>dopasowane do grup docelowych, mogą skutecznie zwiększyć świadomość społeczeństwa na temat Programu i współfinansowanych projektów.</w:t>
      </w:r>
      <w:r w:rsidR="004B654C" w:rsidRPr="001268E7">
        <w:rPr>
          <w:rFonts w:cs="Calibri"/>
          <w:sz w:val="24"/>
          <w:szCs w:val="24"/>
        </w:rPr>
        <w:t xml:space="preserve"> </w:t>
      </w:r>
    </w:p>
    <w:p w:rsidR="004B654C" w:rsidRPr="00AC641A" w:rsidRDefault="002E4F70" w:rsidP="00C1030A">
      <w:pPr>
        <w:autoSpaceDE w:val="0"/>
        <w:autoSpaceDN w:val="0"/>
        <w:adjustRightInd w:val="0"/>
        <w:spacing w:before="100" w:beforeAutospacing="1" w:after="100" w:afterAutospacing="1" w:line="240" w:lineRule="auto"/>
        <w:jc w:val="both"/>
        <w:rPr>
          <w:rFonts w:cs="Calibri"/>
          <w:b/>
          <w:i/>
          <w:sz w:val="24"/>
          <w:szCs w:val="24"/>
          <w:u w:val="single"/>
        </w:rPr>
      </w:pPr>
      <w:r w:rsidRPr="00AC641A">
        <w:rPr>
          <w:rFonts w:cs="Calibri"/>
          <w:b/>
          <w:i/>
          <w:sz w:val="24"/>
          <w:szCs w:val="24"/>
          <w:u w:val="single"/>
        </w:rPr>
        <w:t>Orientacyjny</w:t>
      </w:r>
      <w:r w:rsidR="00AD6C06" w:rsidRPr="00AC641A">
        <w:rPr>
          <w:rFonts w:cs="Calibri"/>
          <w:b/>
          <w:i/>
          <w:sz w:val="24"/>
          <w:szCs w:val="24"/>
          <w:u w:val="single"/>
        </w:rPr>
        <w:t xml:space="preserve"> budżet</w:t>
      </w:r>
      <w:r w:rsidR="004B654C" w:rsidRPr="00AC641A">
        <w:rPr>
          <w:rFonts w:cs="Calibri"/>
          <w:b/>
          <w:i/>
          <w:sz w:val="24"/>
          <w:szCs w:val="24"/>
          <w:u w:val="single"/>
        </w:rPr>
        <w:t xml:space="preserve"> </w:t>
      </w:r>
    </w:p>
    <w:p w:rsidR="004B654C" w:rsidRDefault="00AD6C06" w:rsidP="00AD6C0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lang w:eastAsia="pl-PL"/>
        </w:rPr>
        <w:t>Instytucja Zarządzająca podejmie wszelkie niezbędne kroki o charakterze instytucjonalnym, administracyjnym i finansowym w celu realizacji założeń Strategii Komunikacyjnej Programu.</w:t>
      </w:r>
      <w:r w:rsidR="004B654C" w:rsidRPr="001268E7">
        <w:rPr>
          <w:rFonts w:cs="Calibri"/>
          <w:sz w:val="24"/>
          <w:szCs w:val="24"/>
        </w:rPr>
        <w:t xml:space="preserve"> </w:t>
      </w:r>
      <w:r w:rsidRPr="001268E7">
        <w:rPr>
          <w:rFonts w:cs="Calibri"/>
          <w:sz w:val="24"/>
          <w:szCs w:val="24"/>
          <w:lang w:eastAsia="pl-PL"/>
        </w:rPr>
        <w:t>W związku z powyższym, fundusze przyznane na potrzeby realizacji działań informacyjnych i promocyjnych wskazane zostały w budżecie PT Programu.</w:t>
      </w:r>
      <w:r w:rsidR="004B654C" w:rsidRPr="001268E7">
        <w:rPr>
          <w:rFonts w:cs="Calibri"/>
          <w:sz w:val="24"/>
          <w:szCs w:val="24"/>
        </w:rPr>
        <w:t xml:space="preserve"> </w:t>
      </w:r>
    </w:p>
    <w:p w:rsidR="00C1030A" w:rsidRPr="00AC641A" w:rsidRDefault="00C1030A" w:rsidP="00AD6C06">
      <w:pPr>
        <w:autoSpaceDE w:val="0"/>
        <w:autoSpaceDN w:val="0"/>
        <w:adjustRightInd w:val="0"/>
        <w:spacing w:before="100" w:beforeAutospacing="1" w:after="100" w:afterAutospacing="1" w:line="240" w:lineRule="auto"/>
        <w:jc w:val="both"/>
        <w:rPr>
          <w:rFonts w:cs="Calibri"/>
          <w:b/>
          <w:i/>
          <w:sz w:val="24"/>
          <w:szCs w:val="24"/>
          <w:u w:val="single"/>
        </w:rPr>
      </w:pPr>
      <w:r w:rsidRPr="00AC641A">
        <w:rPr>
          <w:rFonts w:cs="Calibri"/>
          <w:b/>
          <w:i/>
          <w:sz w:val="24"/>
          <w:szCs w:val="24"/>
          <w:u w:val="single"/>
        </w:rPr>
        <w:t>Orientacyjny Plan Informacji i Komunikacji na pierwszy rok:</w:t>
      </w:r>
    </w:p>
    <w:p w:rsidR="00C1030A" w:rsidRDefault="00211995" w:rsidP="00AD6C06">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rPr>
        <w:t xml:space="preserve">2017 jest pierwszym rokiem wdrażania Programu. Działania komunikacyjne w 2017 roku będą bazowały na osiągnięciach i wpływie projektów realizowanych w ramach perspektywy 2007-2013. Plan Informacji i Komunikacji stara się zmaksymalizować synergię z ogólną strategią wizualizacji UE. W działaniach komunikacyjnych języki lokalne zostaną wykorzystane jak tylko to możliwe. Plan </w:t>
      </w:r>
      <w:r w:rsidR="000D445C">
        <w:rPr>
          <w:rFonts w:cs="Calibri"/>
          <w:sz w:val="24"/>
          <w:szCs w:val="24"/>
        </w:rPr>
        <w:t xml:space="preserve">Informacji i Komunikacji powinien włączać możliwość wykorzystywania nieprzewidzianych możliwości komunikacyjnych dla korzyści Programu (np. wydarzenia publiczne). W celu zapewnienia wysokiej jakości i efektywności wdrażania Programu, działania informacyjne i promocyjne powinny być sprawowane na dwóch poziomach: zewnętrznym i wewnętrznym (organizacje Programowe). </w:t>
      </w:r>
    </w:p>
    <w:p w:rsidR="000D445C" w:rsidRDefault="0094615A" w:rsidP="00AD6C06">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rPr>
        <w:t xml:space="preserve">Głównym celem Planu Informacji i Komunikacji na 2017 będzie zapewnienie przepływu informacji pomiędzy organizacjami programowymi oraz pomiędzy </w:t>
      </w:r>
      <w:r w:rsidR="00F1350A">
        <w:rPr>
          <w:rFonts w:cs="Calibri"/>
          <w:sz w:val="24"/>
          <w:szCs w:val="24"/>
        </w:rPr>
        <w:t>interesariuszami</w:t>
      </w:r>
      <w:r>
        <w:rPr>
          <w:rFonts w:cs="Calibri"/>
          <w:sz w:val="24"/>
          <w:szCs w:val="24"/>
        </w:rPr>
        <w:t xml:space="preserve"> Programu </w:t>
      </w:r>
      <w:r w:rsidR="00F1350A">
        <w:rPr>
          <w:rFonts w:cs="Calibri"/>
          <w:sz w:val="24"/>
          <w:szCs w:val="24"/>
        </w:rPr>
        <w:t xml:space="preserve">w celu informowania potencjalnych aplikantów o możliwościach finansowania i wymaganiach Programu, a także by zwiększyć świadomość o zapisach Programu </w:t>
      </w:r>
      <w:r w:rsidR="00F1350A">
        <w:rPr>
          <w:rFonts w:cs="Calibri"/>
          <w:sz w:val="24"/>
          <w:szCs w:val="24"/>
        </w:rPr>
        <w:lastRenderedPageBreak/>
        <w:t xml:space="preserve">Operacyjnego. </w:t>
      </w:r>
      <w:r w:rsidR="003448B9">
        <w:rPr>
          <w:rFonts w:cs="Calibri"/>
          <w:sz w:val="24"/>
          <w:szCs w:val="24"/>
        </w:rPr>
        <w:t>W tym samym czasie, Plan Informacji i Komunikacji powinien przyczyniać się do maksymalizacji zdolności potencjalnych aplikantów do pisania wniosków w sposób efektywny. Plan Informacji i Komunikacji powinien także promować  najlepsze transgraniczne praktyki  na podstawie doświadczeń projektów 2007-2013 oraz motywować nowych potencjalnych aplikantów do wzrostu i rozwoju pozytywnego wpływu w obszarach tematycznych zdefiniowanych w priorytetach Programu.</w:t>
      </w:r>
    </w:p>
    <w:p w:rsidR="003448B9" w:rsidRDefault="00E4101A" w:rsidP="00AD6C06">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rPr>
        <w:t>Nowa strona internetowa dedykowana Programowi powinna być rozwinięta jako centrum komunikacyjne. To powinno ułatwić poszukiwanie partnerów przez potencjalnych aplikantów i przyczyniać się do wzrostu zdolności do zarządzania projektami potencjalnych beneficjentów.</w:t>
      </w:r>
    </w:p>
    <w:p w:rsidR="00E4101A" w:rsidRPr="001268E7" w:rsidRDefault="00D45AAC" w:rsidP="00AD6C06">
      <w:pPr>
        <w:autoSpaceDE w:val="0"/>
        <w:autoSpaceDN w:val="0"/>
        <w:adjustRightInd w:val="0"/>
        <w:spacing w:before="100" w:beforeAutospacing="1" w:after="100" w:afterAutospacing="1" w:line="240" w:lineRule="auto"/>
        <w:jc w:val="both"/>
        <w:rPr>
          <w:rFonts w:cs="Calibri"/>
          <w:sz w:val="24"/>
          <w:szCs w:val="24"/>
        </w:rPr>
      </w:pPr>
      <w:r>
        <w:rPr>
          <w:rFonts w:cs="Calibri"/>
          <w:sz w:val="24"/>
          <w:szCs w:val="24"/>
        </w:rPr>
        <w:t xml:space="preserve">Wydarzenia programowe (włączając m.in. warsztaty dla DPI oraz Forum Poszukiwania Partnerów, warsztaty i szkolenia dla aplikantów) są planowane na rok 2017. Jeżeli zajdzie taka potrzeba, dalsze szkolenia oraz wydarzenia sieciowe będą organizowane bazując na harmonogramie wdrażania Programu oraz na potrzebach instytucji Programowych i aplikantów. </w:t>
      </w:r>
    </w:p>
    <w:p w:rsidR="004B654C" w:rsidRPr="001268E7" w:rsidRDefault="004F49C4" w:rsidP="00AD6C06">
      <w:pPr>
        <w:pStyle w:val="Nagwek2"/>
        <w:rPr>
          <w:rFonts w:cs="Calibri"/>
          <w:szCs w:val="28"/>
        </w:rPr>
      </w:pPr>
      <w:bookmarkStart w:id="62" w:name="_Toc530737594"/>
      <w:r w:rsidRPr="001268E7">
        <w:rPr>
          <w:rFonts w:cs="Calibri"/>
          <w:szCs w:val="28"/>
        </w:rPr>
        <w:t>4.12 System informatyczny</w:t>
      </w:r>
      <w:r w:rsidR="00AD6C06" w:rsidRPr="001268E7">
        <w:rPr>
          <w:rFonts w:cs="Calibri"/>
          <w:szCs w:val="28"/>
        </w:rPr>
        <w:t xml:space="preserve"> Programu</w:t>
      </w:r>
      <w:bookmarkEnd w:id="62"/>
      <w:r w:rsidR="004B654C" w:rsidRPr="001268E7">
        <w:rPr>
          <w:rFonts w:cs="Calibri"/>
          <w:szCs w:val="28"/>
        </w:rPr>
        <w:t xml:space="preserve"> </w:t>
      </w:r>
    </w:p>
    <w:p w:rsidR="004B654C" w:rsidRPr="001268E7" w:rsidRDefault="004F49C4" w:rsidP="00AD6C06">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Centralny s</w:t>
      </w:r>
      <w:r w:rsidR="00AD6C06" w:rsidRPr="001268E7">
        <w:rPr>
          <w:rFonts w:cs="Calibri"/>
          <w:sz w:val="24"/>
          <w:szCs w:val="24"/>
        </w:rPr>
        <w:t>ystem teleinformatyczny Programu pozwalał będzie na rejestrowanie i przechowywanie w formie skomputeryzowanej danych finansowych i opisowych na temat każdego projektu, w tym danych dotyczących poszczególnych uczestników projektów, koniecznych z punktu widzenia monitorowania, oceny, zarządzania finansami, kontroli i audytu.</w:t>
      </w:r>
      <w:r w:rsidR="004B654C" w:rsidRPr="001268E7">
        <w:rPr>
          <w:rFonts w:cs="Calibri"/>
          <w:sz w:val="24"/>
          <w:szCs w:val="24"/>
        </w:rPr>
        <w:t xml:space="preserve"> </w:t>
      </w:r>
    </w:p>
    <w:p w:rsidR="004B654C" w:rsidRPr="001268E7" w:rsidRDefault="00AD6C06" w:rsidP="00732739">
      <w:pPr>
        <w:autoSpaceDE w:val="0"/>
        <w:autoSpaceDN w:val="0"/>
        <w:adjustRightInd w:val="0"/>
        <w:spacing w:before="100" w:beforeAutospacing="1" w:after="100" w:afterAutospacing="1" w:line="240" w:lineRule="auto"/>
        <w:jc w:val="both"/>
        <w:rPr>
          <w:rFonts w:cs="Calibri"/>
          <w:sz w:val="24"/>
          <w:szCs w:val="24"/>
        </w:rPr>
      </w:pPr>
      <w:r w:rsidRPr="001268E7">
        <w:rPr>
          <w:rFonts w:cs="Calibri"/>
          <w:sz w:val="24"/>
          <w:szCs w:val="24"/>
        </w:rPr>
        <w:t xml:space="preserve">System będzie spełniać przyjęte standardy w zakresie bezpieczeństwa i </w:t>
      </w:r>
      <w:r w:rsidR="00732739" w:rsidRPr="001268E7">
        <w:rPr>
          <w:rFonts w:cs="Calibri"/>
          <w:sz w:val="24"/>
          <w:szCs w:val="24"/>
        </w:rPr>
        <w:t>niezawodności.</w:t>
      </w:r>
      <w:r w:rsidR="004B654C" w:rsidRPr="001268E7">
        <w:rPr>
          <w:rFonts w:cs="Calibri"/>
          <w:sz w:val="24"/>
          <w:szCs w:val="24"/>
        </w:rPr>
        <w:t xml:space="preserve"> </w:t>
      </w:r>
    </w:p>
    <w:p w:rsidR="004B654C" w:rsidRPr="001268E7" w:rsidRDefault="00732739" w:rsidP="00732739">
      <w:pPr>
        <w:spacing w:before="100" w:beforeAutospacing="1" w:after="100" w:afterAutospacing="1" w:line="240" w:lineRule="auto"/>
        <w:jc w:val="both"/>
        <w:rPr>
          <w:rFonts w:cs="Calibri"/>
          <w:sz w:val="24"/>
          <w:szCs w:val="24"/>
        </w:rPr>
      </w:pPr>
      <w:r w:rsidRPr="001268E7">
        <w:rPr>
          <w:rFonts w:cs="Calibri"/>
          <w:sz w:val="24"/>
          <w:szCs w:val="24"/>
        </w:rPr>
        <w:t>Do</w:t>
      </w:r>
      <w:r w:rsidR="004F49C4" w:rsidRPr="001268E7">
        <w:rPr>
          <w:rFonts w:cs="Calibri"/>
          <w:sz w:val="24"/>
          <w:szCs w:val="24"/>
        </w:rPr>
        <w:t>datkowo, możliwe jest zbudowanie</w:t>
      </w:r>
      <w:r w:rsidRPr="001268E7">
        <w:rPr>
          <w:rFonts w:cs="Calibri"/>
          <w:sz w:val="24"/>
          <w:szCs w:val="24"/>
        </w:rPr>
        <w:t xml:space="preserve"> lokalnego systemu na potrzeby wspierania procesów dotyczących, między innymi, organizacji zaprosze</w:t>
      </w:r>
      <w:r w:rsidR="00285B6C" w:rsidRPr="001268E7">
        <w:rPr>
          <w:rFonts w:cs="Calibri"/>
          <w:sz w:val="24"/>
          <w:szCs w:val="24"/>
        </w:rPr>
        <w:t>ń do składania ofert (aplikacja</w:t>
      </w:r>
      <w:r w:rsidRPr="001268E7">
        <w:rPr>
          <w:rFonts w:cs="Calibri"/>
          <w:sz w:val="24"/>
          <w:szCs w:val="24"/>
        </w:rPr>
        <w:t>, administracja i ocena jakości, wybór, decyzja).</w:t>
      </w:r>
    </w:p>
    <w:p w:rsidR="004B654C" w:rsidRPr="001268E7" w:rsidRDefault="00732739" w:rsidP="00732739">
      <w:pPr>
        <w:spacing w:before="100" w:beforeAutospacing="1" w:after="100" w:afterAutospacing="1" w:line="240" w:lineRule="auto"/>
        <w:jc w:val="both"/>
        <w:rPr>
          <w:rFonts w:cs="Calibri"/>
          <w:sz w:val="24"/>
          <w:szCs w:val="24"/>
        </w:rPr>
      </w:pPr>
      <w:r w:rsidRPr="001268E7">
        <w:rPr>
          <w:rFonts w:cs="Calibri"/>
          <w:sz w:val="24"/>
          <w:szCs w:val="24"/>
        </w:rPr>
        <w:t>Wszystkie szczegóły dotyczące funkcjonowania systemu informatycznego opisane zostaną w Podręczniku Użytkownika.</w:t>
      </w:r>
      <w:r w:rsidR="004B654C" w:rsidRPr="001268E7">
        <w:rPr>
          <w:rFonts w:cs="Calibri"/>
          <w:sz w:val="24"/>
          <w:szCs w:val="24"/>
        </w:rPr>
        <w:t xml:space="preserve"> </w:t>
      </w:r>
    </w:p>
    <w:p w:rsidR="004B654C" w:rsidRPr="001268E7" w:rsidRDefault="00732739" w:rsidP="00732739">
      <w:pPr>
        <w:spacing w:before="100" w:beforeAutospacing="1" w:after="100" w:afterAutospacing="1" w:line="240" w:lineRule="auto"/>
        <w:jc w:val="both"/>
        <w:rPr>
          <w:rFonts w:cs="Calibri"/>
          <w:sz w:val="24"/>
          <w:szCs w:val="24"/>
        </w:rPr>
      </w:pPr>
      <w:r w:rsidRPr="001268E7">
        <w:rPr>
          <w:rFonts w:cs="Calibri"/>
          <w:sz w:val="24"/>
          <w:szCs w:val="24"/>
          <w:lang w:eastAsia="pl-PL"/>
        </w:rPr>
        <w:t>Istotne dane dotyczące projektów finansowanych w ramach Programu przekazywane będą także do bazy danych KEEP 2.0 opracowanej przez INTERACT.</w:t>
      </w:r>
    </w:p>
    <w:p w:rsidR="004B654C" w:rsidRPr="001268E7" w:rsidRDefault="00585D1A" w:rsidP="00732739">
      <w:pPr>
        <w:pStyle w:val="Nagwek2"/>
        <w:rPr>
          <w:rFonts w:cs="Calibri"/>
          <w:szCs w:val="28"/>
        </w:rPr>
      </w:pPr>
      <w:bookmarkStart w:id="63" w:name="_Toc530737595"/>
      <w:r w:rsidRPr="001268E7">
        <w:rPr>
          <w:rFonts w:cs="Calibri"/>
          <w:szCs w:val="28"/>
        </w:rPr>
        <w:t>4.13 J</w:t>
      </w:r>
      <w:r w:rsidR="00732739" w:rsidRPr="001268E7">
        <w:rPr>
          <w:rFonts w:cs="Calibri"/>
          <w:szCs w:val="28"/>
        </w:rPr>
        <w:t>ęzyki</w:t>
      </w:r>
      <w:bookmarkEnd w:id="63"/>
      <w:r w:rsidR="004B654C" w:rsidRPr="001268E7">
        <w:rPr>
          <w:rFonts w:cs="Calibri"/>
          <w:szCs w:val="28"/>
        </w:rPr>
        <w:t xml:space="preserve"> </w:t>
      </w:r>
    </w:p>
    <w:p w:rsidR="004B654C" w:rsidRPr="001268E7" w:rsidRDefault="00732739" w:rsidP="00D553D3">
      <w:pPr>
        <w:jc w:val="both"/>
        <w:rPr>
          <w:rFonts w:cs="Calibri"/>
          <w:sz w:val="24"/>
          <w:szCs w:val="24"/>
        </w:rPr>
      </w:pPr>
      <w:r w:rsidRPr="001268E7">
        <w:rPr>
          <w:rFonts w:cs="Calibri"/>
          <w:sz w:val="24"/>
          <w:szCs w:val="24"/>
        </w:rPr>
        <w:t>Roboczym językiem Programu będzie język angielski.</w:t>
      </w:r>
      <w:r w:rsidR="004B654C" w:rsidRPr="001268E7">
        <w:rPr>
          <w:rFonts w:cs="Calibri"/>
          <w:sz w:val="24"/>
          <w:szCs w:val="24"/>
        </w:rPr>
        <w:t xml:space="preserve"> </w:t>
      </w:r>
      <w:r w:rsidR="00D553D3" w:rsidRPr="001268E7">
        <w:rPr>
          <w:rFonts w:cs="Calibri"/>
          <w:sz w:val="24"/>
          <w:szCs w:val="24"/>
        </w:rPr>
        <w:t>Umowy będą zawierane w języku angielskim. Wszystkie dokumenty urzędowe i korespondencja dotycząca realizacji Programu powinna być w języku angielskim.</w:t>
      </w:r>
      <w:r w:rsidR="004B654C" w:rsidRPr="001268E7">
        <w:rPr>
          <w:rFonts w:cs="Calibri"/>
          <w:sz w:val="24"/>
          <w:szCs w:val="24"/>
        </w:rPr>
        <w:t xml:space="preserve"> </w:t>
      </w:r>
      <w:r w:rsidR="00D553D3" w:rsidRPr="001268E7">
        <w:rPr>
          <w:rFonts w:cs="Calibri"/>
          <w:sz w:val="24"/>
          <w:szCs w:val="24"/>
        </w:rPr>
        <w:t>Wszystkie kluczowe dokumenty Programu (</w:t>
      </w:r>
      <w:r w:rsidR="0097350F">
        <w:rPr>
          <w:rFonts w:cs="Calibri"/>
          <w:sz w:val="24"/>
          <w:szCs w:val="24"/>
        </w:rPr>
        <w:t>Wspólny Program Operacyjny</w:t>
      </w:r>
      <w:r w:rsidR="00D553D3" w:rsidRPr="001268E7">
        <w:rPr>
          <w:rFonts w:cs="Calibri"/>
          <w:sz w:val="24"/>
          <w:szCs w:val="24"/>
        </w:rPr>
        <w:t>, Strategia Komunikacyjna itd.)</w:t>
      </w:r>
      <w:r w:rsidR="004B654C" w:rsidRPr="001268E7">
        <w:rPr>
          <w:rFonts w:cs="Calibri"/>
          <w:sz w:val="24"/>
          <w:szCs w:val="24"/>
        </w:rPr>
        <w:t xml:space="preserve"> </w:t>
      </w:r>
      <w:r w:rsidR="00D553D3" w:rsidRPr="001268E7">
        <w:rPr>
          <w:rFonts w:cs="Calibri"/>
          <w:sz w:val="24"/>
          <w:szCs w:val="24"/>
        </w:rPr>
        <w:t>będą tłumaczone na języki narodowe.</w:t>
      </w:r>
      <w:r w:rsidR="004B654C" w:rsidRPr="001268E7">
        <w:rPr>
          <w:rFonts w:cs="Calibri"/>
          <w:sz w:val="24"/>
          <w:szCs w:val="24"/>
        </w:rPr>
        <w:t xml:space="preserve"> </w:t>
      </w:r>
      <w:r w:rsidR="00D553D3" w:rsidRPr="001268E7">
        <w:rPr>
          <w:rFonts w:cs="Calibri"/>
          <w:sz w:val="24"/>
          <w:szCs w:val="24"/>
        </w:rPr>
        <w:t>Dokumenty pomocnicze mogą być tłumaczone na język polski i rosyjski.</w:t>
      </w:r>
    </w:p>
    <w:p w:rsidR="004B654C" w:rsidRPr="001268E7" w:rsidRDefault="00D553D3" w:rsidP="00D553D3">
      <w:pPr>
        <w:jc w:val="both"/>
        <w:rPr>
          <w:rFonts w:cs="Calibri"/>
          <w:sz w:val="24"/>
          <w:szCs w:val="24"/>
        </w:rPr>
      </w:pPr>
      <w:r w:rsidRPr="001268E7">
        <w:rPr>
          <w:rFonts w:cs="Calibri"/>
          <w:sz w:val="24"/>
          <w:szCs w:val="24"/>
          <w:lang w:eastAsia="pl-PL"/>
        </w:rPr>
        <w:lastRenderedPageBreak/>
        <w:t>Wszelkie koszty tłumaczeń ustnych i pisemnych pokrywane będą z budżetu PT na poziomie Programu.</w:t>
      </w:r>
      <w:r w:rsidR="004B654C" w:rsidRPr="001268E7">
        <w:rPr>
          <w:rFonts w:cs="Calibri"/>
          <w:sz w:val="24"/>
          <w:szCs w:val="24"/>
        </w:rPr>
        <w:t xml:space="preserve"> </w:t>
      </w:r>
      <w:r w:rsidRPr="001268E7">
        <w:rPr>
          <w:rFonts w:cs="Calibri"/>
          <w:sz w:val="24"/>
          <w:szCs w:val="24"/>
        </w:rPr>
        <w:t>Na poziomie projektu, koszty tłumaczeń ustnych i pisemnych mogą być ujęte w budżecie projektu.</w:t>
      </w:r>
      <w:r w:rsidR="004B654C" w:rsidRPr="001268E7">
        <w:rPr>
          <w:rFonts w:cs="Calibri"/>
          <w:sz w:val="24"/>
          <w:szCs w:val="24"/>
        </w:rPr>
        <w:t xml:space="preserve"> </w:t>
      </w:r>
      <w:r w:rsidRPr="001268E7">
        <w:rPr>
          <w:rFonts w:cs="Calibri"/>
          <w:sz w:val="24"/>
          <w:szCs w:val="24"/>
        </w:rPr>
        <w:t>Dokumenty związane z Programem będą tłumaczone na języki narodowe na podstawie decyzji IK.</w:t>
      </w:r>
    </w:p>
    <w:p w:rsidR="004B654C" w:rsidRPr="001268E7" w:rsidRDefault="00D553D3" w:rsidP="00D553D3">
      <w:pPr>
        <w:pStyle w:val="Nagwek2"/>
        <w:rPr>
          <w:rFonts w:cs="Calibri"/>
        </w:rPr>
      </w:pPr>
      <w:bookmarkStart w:id="64" w:name="_Toc530737596"/>
      <w:r w:rsidRPr="001268E7">
        <w:rPr>
          <w:rFonts w:cs="Calibri"/>
        </w:rPr>
        <w:t>4.14 Zastosowanie euro</w:t>
      </w:r>
      <w:bookmarkEnd w:id="64"/>
    </w:p>
    <w:p w:rsidR="004B654C" w:rsidRPr="001268E7" w:rsidRDefault="004B654C" w:rsidP="00D553D3">
      <w:pPr>
        <w:pStyle w:val="Akapitzlist1"/>
        <w:spacing w:before="100" w:beforeAutospacing="1" w:after="100" w:afterAutospacing="1" w:line="240" w:lineRule="auto"/>
        <w:ind w:left="0"/>
        <w:contextualSpacing w:val="0"/>
        <w:jc w:val="both"/>
        <w:rPr>
          <w:rFonts w:cs="Calibri"/>
          <w:sz w:val="24"/>
          <w:szCs w:val="24"/>
        </w:rPr>
      </w:pPr>
      <w:r w:rsidRPr="001268E7">
        <w:rPr>
          <w:rFonts w:ascii="Courier" w:hAnsi="Courier" w:cs="Courier"/>
          <w:color w:val="000000"/>
          <w:sz w:val="20"/>
          <w:szCs w:val="20"/>
          <w:lang w:eastAsia="pl-PL"/>
        </w:rPr>
        <w:br/>
      </w:r>
      <w:r w:rsidR="00D553D3" w:rsidRPr="001268E7">
        <w:rPr>
          <w:rFonts w:cs="Calibri"/>
          <w:sz w:val="24"/>
          <w:szCs w:val="24"/>
        </w:rPr>
        <w:t>Wydatki poniesione w wa</w:t>
      </w:r>
      <w:r w:rsidR="00285B6C" w:rsidRPr="001268E7">
        <w:rPr>
          <w:rFonts w:cs="Calibri"/>
          <w:sz w:val="24"/>
          <w:szCs w:val="24"/>
        </w:rPr>
        <w:t>lucie innej niż euro będą</w:t>
      </w:r>
      <w:r w:rsidR="00D553D3" w:rsidRPr="001268E7">
        <w:rPr>
          <w:rFonts w:cs="Calibri"/>
          <w:sz w:val="24"/>
          <w:szCs w:val="24"/>
        </w:rPr>
        <w:t xml:space="preserve"> przeliczane na euro z wykorzystaniem stosowanego przez Komisję Europejską miesięcznego kursu księgowego wymiany z miesiąca, w którym wydatki te zostały poniesione.</w:t>
      </w:r>
    </w:p>
    <w:p w:rsidR="00D553D3" w:rsidRPr="001268E7" w:rsidRDefault="00585D1A" w:rsidP="00C62170">
      <w:pPr>
        <w:pStyle w:val="Nagwek1"/>
        <w:numPr>
          <w:ilvl w:val="0"/>
          <w:numId w:val="5"/>
        </w:numPr>
        <w:ind w:left="426"/>
        <w:jc w:val="both"/>
        <w:rPr>
          <w:rFonts w:cs="Calibri"/>
        </w:rPr>
      </w:pPr>
      <w:bookmarkStart w:id="65" w:name="_Toc530737597"/>
      <w:r w:rsidRPr="001268E7">
        <w:rPr>
          <w:rFonts w:cs="Calibri"/>
        </w:rPr>
        <w:t>Finanse P</w:t>
      </w:r>
      <w:r w:rsidR="00D553D3" w:rsidRPr="001268E7">
        <w:rPr>
          <w:rFonts w:cs="Calibri"/>
        </w:rPr>
        <w:t>rogramu</w:t>
      </w:r>
      <w:bookmarkEnd w:id="65"/>
    </w:p>
    <w:p w:rsidR="004168BB" w:rsidRPr="001268E7" w:rsidRDefault="00D553D3" w:rsidP="00D553D3">
      <w:pPr>
        <w:pStyle w:val="Nagwek2"/>
        <w:rPr>
          <w:rFonts w:cstheme="minorHAnsi"/>
        </w:rPr>
      </w:pPr>
      <w:bookmarkStart w:id="66" w:name="_Toc530737598"/>
      <w:r w:rsidRPr="001268E7">
        <w:rPr>
          <w:rFonts w:cstheme="minorHAnsi"/>
        </w:rPr>
        <w:t>5.1 Orientacyjny plan finansowy</w:t>
      </w:r>
      <w:bookmarkEnd w:id="66"/>
    </w:p>
    <w:p w:rsidR="004168BB" w:rsidRPr="001268E7" w:rsidRDefault="00D553D3" w:rsidP="00D553D3">
      <w:pPr>
        <w:jc w:val="both"/>
        <w:rPr>
          <w:rFonts w:asciiTheme="minorHAnsi" w:hAnsiTheme="minorHAnsi" w:cstheme="minorHAnsi"/>
          <w:sz w:val="24"/>
          <w:szCs w:val="24"/>
        </w:rPr>
      </w:pPr>
      <w:r w:rsidRPr="001268E7">
        <w:rPr>
          <w:rFonts w:asciiTheme="minorHAnsi" w:hAnsiTheme="minorHAnsi" w:cstheme="minorHAnsi"/>
          <w:sz w:val="24"/>
          <w:szCs w:val="24"/>
        </w:rPr>
        <w:t xml:space="preserve">Orientacyjny plan finansowy przedstawia dostępne dla Programu kwoty </w:t>
      </w:r>
      <w:r w:rsidR="0097350F">
        <w:rPr>
          <w:rFonts w:asciiTheme="minorHAnsi" w:hAnsiTheme="minorHAnsi" w:cstheme="minorHAnsi"/>
          <w:sz w:val="24"/>
          <w:szCs w:val="24"/>
        </w:rPr>
        <w:t>wkładu finansowego</w:t>
      </w:r>
      <w:r w:rsidR="0097350F" w:rsidRPr="001268E7">
        <w:rPr>
          <w:rFonts w:asciiTheme="minorHAnsi" w:hAnsiTheme="minorHAnsi" w:cstheme="minorHAnsi"/>
          <w:sz w:val="24"/>
          <w:szCs w:val="24"/>
        </w:rPr>
        <w:t xml:space="preserve"> </w:t>
      </w:r>
      <w:r w:rsidRPr="001268E7">
        <w:rPr>
          <w:rFonts w:asciiTheme="minorHAnsi" w:hAnsiTheme="minorHAnsi" w:cstheme="minorHAnsi"/>
          <w:sz w:val="24"/>
          <w:szCs w:val="24"/>
        </w:rPr>
        <w:t>UE oraz Federacji Rosyjskiej.</w:t>
      </w:r>
      <w:r w:rsidR="004168BB" w:rsidRPr="001268E7">
        <w:rPr>
          <w:rFonts w:asciiTheme="minorHAnsi" w:hAnsiTheme="minorHAnsi" w:cstheme="minorHAns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6"/>
        <w:gridCol w:w="1915"/>
        <w:gridCol w:w="1750"/>
        <w:gridCol w:w="2021"/>
        <w:gridCol w:w="2010"/>
      </w:tblGrid>
      <w:tr w:rsidR="004168BB" w:rsidRPr="001268E7" w:rsidTr="00441E54">
        <w:trPr>
          <w:trHeight w:val="570"/>
        </w:trPr>
        <w:tc>
          <w:tcPr>
            <w:tcW w:w="789" w:type="pct"/>
            <w:vMerge w:val="restart"/>
            <w:shd w:val="clear" w:color="auto" w:fill="BFBFBF" w:themeFill="background1" w:themeFillShade="BF"/>
            <w:vAlign w:val="center"/>
          </w:tcPr>
          <w:p w:rsidR="004168BB" w:rsidRPr="001268E7" w:rsidRDefault="004168BB" w:rsidP="00B87561">
            <w:pPr>
              <w:spacing w:after="0" w:line="240" w:lineRule="auto"/>
              <w:jc w:val="center"/>
              <w:rPr>
                <w:rFonts w:asciiTheme="minorHAnsi" w:eastAsia="Times New Roman" w:hAnsiTheme="minorHAnsi" w:cstheme="minorHAnsi"/>
                <w:bCs/>
                <w:color w:val="000000"/>
                <w:sz w:val="24"/>
                <w:szCs w:val="24"/>
                <w:lang w:eastAsia="pl-PL"/>
              </w:rPr>
            </w:pPr>
          </w:p>
        </w:tc>
        <w:tc>
          <w:tcPr>
            <w:tcW w:w="1051" w:type="pct"/>
            <w:vMerge w:val="restart"/>
            <w:shd w:val="clear" w:color="auto" w:fill="BFBFBF" w:themeFill="background1" w:themeFillShade="BF"/>
            <w:vAlign w:val="center"/>
          </w:tcPr>
          <w:p w:rsidR="004168BB" w:rsidRPr="001268E7" w:rsidRDefault="00D553D3" w:rsidP="00D553D3">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Finansowanie przez UE</w:t>
            </w:r>
            <w:r w:rsidR="00650AC0" w:rsidRPr="001268E7">
              <w:rPr>
                <w:rFonts w:asciiTheme="minorHAnsi" w:eastAsia="Times New Roman" w:hAnsiTheme="minorHAnsi" w:cstheme="minorHAnsi"/>
                <w:bCs/>
                <w:color w:val="000000"/>
                <w:sz w:val="24"/>
                <w:szCs w:val="24"/>
                <w:lang w:eastAsia="pl-PL"/>
              </w:rPr>
              <w:t xml:space="preserve"> </w:t>
            </w:r>
          </w:p>
          <w:p w:rsidR="004168BB" w:rsidRPr="001268E7" w:rsidRDefault="0073029D" w:rsidP="0073029D">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 xml:space="preserve"> </w:t>
            </w:r>
            <w:r w:rsidR="00D553D3" w:rsidRPr="001268E7">
              <w:rPr>
                <w:rFonts w:asciiTheme="minorHAnsi" w:eastAsia="Times New Roman" w:hAnsiTheme="minorHAnsi" w:cstheme="minorHAnsi"/>
                <w:bCs/>
                <w:color w:val="000000"/>
                <w:sz w:val="24"/>
                <w:szCs w:val="24"/>
                <w:lang w:eastAsia="pl-PL"/>
              </w:rPr>
              <w:t>(a) *</w:t>
            </w:r>
          </w:p>
        </w:tc>
        <w:tc>
          <w:tcPr>
            <w:tcW w:w="961" w:type="pct"/>
            <w:vMerge w:val="restart"/>
            <w:shd w:val="clear" w:color="auto" w:fill="BFBFBF" w:themeFill="background1" w:themeFillShade="BF"/>
            <w:vAlign w:val="center"/>
          </w:tcPr>
          <w:p w:rsidR="004168BB" w:rsidRPr="001268E7" w:rsidRDefault="00D553D3" w:rsidP="00D553D3">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Wkład Federacji Rosyjskiej</w:t>
            </w:r>
          </w:p>
          <w:p w:rsidR="004168BB" w:rsidRPr="001268E7" w:rsidRDefault="0073029D" w:rsidP="0073029D">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 xml:space="preserve"> </w:t>
            </w:r>
            <w:r w:rsidR="00D553D3" w:rsidRPr="001268E7">
              <w:rPr>
                <w:rFonts w:asciiTheme="minorHAnsi" w:eastAsia="Times New Roman" w:hAnsiTheme="minorHAnsi" w:cstheme="minorHAnsi"/>
                <w:bCs/>
                <w:color w:val="000000"/>
                <w:sz w:val="24"/>
                <w:szCs w:val="24"/>
                <w:lang w:eastAsia="pl-PL"/>
              </w:rPr>
              <w:t>(b)**</w:t>
            </w:r>
          </w:p>
        </w:tc>
        <w:tc>
          <w:tcPr>
            <w:tcW w:w="1097" w:type="pct"/>
            <w:vMerge w:val="restart"/>
            <w:shd w:val="clear" w:color="auto" w:fill="BFBFBF" w:themeFill="background1" w:themeFillShade="BF"/>
            <w:vAlign w:val="center"/>
          </w:tcPr>
          <w:p w:rsidR="004168BB" w:rsidRPr="001268E7" w:rsidRDefault="00D553D3" w:rsidP="0073029D">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Minimalne współfinansowanie (c)</w:t>
            </w:r>
          </w:p>
        </w:tc>
        <w:tc>
          <w:tcPr>
            <w:tcW w:w="1102" w:type="pct"/>
            <w:vMerge w:val="restart"/>
            <w:shd w:val="clear" w:color="auto" w:fill="BFBFBF" w:themeFill="background1" w:themeFillShade="BF"/>
            <w:vAlign w:val="center"/>
          </w:tcPr>
          <w:p w:rsidR="004168BB" w:rsidRPr="001268E7" w:rsidRDefault="00D553D3" w:rsidP="00D553D3">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Kwota finansowania razem</w:t>
            </w:r>
            <w:r w:rsidR="004168BB" w:rsidRPr="001268E7">
              <w:rPr>
                <w:rFonts w:asciiTheme="minorHAnsi" w:eastAsia="Times New Roman" w:hAnsiTheme="minorHAnsi" w:cstheme="minorHAnsi"/>
                <w:bCs/>
                <w:color w:val="000000"/>
                <w:sz w:val="24"/>
                <w:szCs w:val="24"/>
                <w:lang w:eastAsia="pl-PL"/>
              </w:rPr>
              <w:t xml:space="preserve"> </w:t>
            </w:r>
          </w:p>
          <w:p w:rsidR="004168BB" w:rsidRPr="001268E7" w:rsidRDefault="0073029D" w:rsidP="0073029D">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 xml:space="preserve"> </w:t>
            </w:r>
            <w:r w:rsidR="00D553D3" w:rsidRPr="001268E7">
              <w:rPr>
                <w:rFonts w:asciiTheme="minorHAnsi" w:eastAsia="Times New Roman" w:hAnsiTheme="minorHAnsi" w:cstheme="minorHAnsi"/>
                <w:bCs/>
                <w:color w:val="000000"/>
                <w:sz w:val="24"/>
                <w:szCs w:val="24"/>
                <w:lang w:eastAsia="pl-PL"/>
              </w:rPr>
              <w:t>(e) = (a)+(b)+(c)</w:t>
            </w:r>
          </w:p>
        </w:tc>
      </w:tr>
      <w:tr w:rsidR="004168BB" w:rsidRPr="001268E7" w:rsidTr="00441E54">
        <w:trPr>
          <w:trHeight w:val="293"/>
        </w:trPr>
        <w:tc>
          <w:tcPr>
            <w:tcW w:w="789" w:type="pct"/>
            <w:vMerge/>
            <w:shd w:val="clear" w:color="auto" w:fill="BFBFBF" w:themeFill="background1" w:themeFillShade="BF"/>
            <w:vAlign w:val="center"/>
          </w:tcPr>
          <w:p w:rsidR="004168BB" w:rsidRPr="001268E7" w:rsidRDefault="004168BB" w:rsidP="001B7890">
            <w:pPr>
              <w:spacing w:after="0" w:line="240" w:lineRule="auto"/>
              <w:jc w:val="center"/>
              <w:rPr>
                <w:rFonts w:asciiTheme="minorHAnsi" w:eastAsia="Times New Roman" w:hAnsiTheme="minorHAnsi" w:cstheme="minorHAnsi"/>
                <w:bCs/>
                <w:color w:val="000000"/>
                <w:sz w:val="24"/>
                <w:szCs w:val="24"/>
                <w:lang w:eastAsia="pl-PL"/>
              </w:rPr>
            </w:pPr>
          </w:p>
        </w:tc>
        <w:tc>
          <w:tcPr>
            <w:tcW w:w="1051" w:type="pct"/>
            <w:vMerge/>
            <w:shd w:val="clear" w:color="auto" w:fill="BFBFBF" w:themeFill="background1" w:themeFillShade="BF"/>
            <w:vAlign w:val="center"/>
          </w:tcPr>
          <w:p w:rsidR="004168BB" w:rsidRPr="001268E7" w:rsidRDefault="004168BB" w:rsidP="001B7890">
            <w:pPr>
              <w:spacing w:after="0" w:line="240" w:lineRule="auto"/>
              <w:jc w:val="center"/>
              <w:rPr>
                <w:rFonts w:asciiTheme="minorHAnsi" w:eastAsia="Times New Roman" w:hAnsiTheme="minorHAnsi" w:cstheme="minorHAnsi"/>
                <w:bCs/>
                <w:color w:val="000000"/>
                <w:sz w:val="24"/>
                <w:szCs w:val="24"/>
                <w:lang w:eastAsia="pl-PL"/>
              </w:rPr>
            </w:pPr>
          </w:p>
        </w:tc>
        <w:tc>
          <w:tcPr>
            <w:tcW w:w="961" w:type="pct"/>
            <w:vMerge/>
            <w:shd w:val="clear" w:color="auto" w:fill="BFBFBF" w:themeFill="background1" w:themeFillShade="BF"/>
            <w:vAlign w:val="center"/>
          </w:tcPr>
          <w:p w:rsidR="004168BB" w:rsidRPr="001268E7" w:rsidRDefault="004168BB" w:rsidP="001B7890">
            <w:pPr>
              <w:spacing w:after="0" w:line="240" w:lineRule="auto"/>
              <w:jc w:val="center"/>
              <w:rPr>
                <w:rFonts w:asciiTheme="minorHAnsi" w:eastAsia="Times New Roman" w:hAnsiTheme="minorHAnsi" w:cstheme="minorHAnsi"/>
                <w:bCs/>
                <w:color w:val="000000"/>
                <w:sz w:val="24"/>
                <w:szCs w:val="24"/>
                <w:lang w:eastAsia="pl-PL"/>
              </w:rPr>
            </w:pPr>
          </w:p>
        </w:tc>
        <w:tc>
          <w:tcPr>
            <w:tcW w:w="1097" w:type="pct"/>
            <w:vMerge/>
            <w:shd w:val="clear" w:color="auto" w:fill="BFBFBF" w:themeFill="background1" w:themeFillShade="BF"/>
            <w:vAlign w:val="center"/>
          </w:tcPr>
          <w:p w:rsidR="004168BB" w:rsidRPr="001268E7" w:rsidRDefault="004168BB" w:rsidP="001B7890">
            <w:pPr>
              <w:spacing w:after="0" w:line="240" w:lineRule="auto"/>
              <w:jc w:val="center"/>
              <w:rPr>
                <w:rFonts w:asciiTheme="minorHAnsi" w:eastAsia="Times New Roman" w:hAnsiTheme="minorHAnsi" w:cstheme="minorHAnsi"/>
                <w:bCs/>
                <w:color w:val="000000"/>
                <w:sz w:val="24"/>
                <w:szCs w:val="24"/>
                <w:lang w:eastAsia="pl-PL"/>
              </w:rPr>
            </w:pPr>
          </w:p>
        </w:tc>
        <w:tc>
          <w:tcPr>
            <w:tcW w:w="1102" w:type="pct"/>
            <w:vMerge/>
            <w:shd w:val="clear" w:color="auto" w:fill="BFBFBF" w:themeFill="background1" w:themeFillShade="BF"/>
            <w:vAlign w:val="center"/>
          </w:tcPr>
          <w:p w:rsidR="004168BB" w:rsidRPr="001268E7" w:rsidRDefault="004168BB" w:rsidP="001B7890">
            <w:pPr>
              <w:spacing w:after="0" w:line="240" w:lineRule="auto"/>
              <w:jc w:val="center"/>
              <w:rPr>
                <w:rFonts w:asciiTheme="minorHAnsi" w:eastAsia="Times New Roman" w:hAnsiTheme="minorHAnsi" w:cstheme="minorHAnsi"/>
                <w:bCs/>
                <w:color w:val="000000"/>
                <w:sz w:val="24"/>
                <w:szCs w:val="24"/>
                <w:lang w:eastAsia="pl-PL"/>
              </w:rPr>
            </w:pPr>
          </w:p>
        </w:tc>
      </w:tr>
      <w:tr w:rsidR="00441E54" w:rsidRPr="001268E7" w:rsidTr="00441E54">
        <w:trPr>
          <w:trHeight w:val="417"/>
        </w:trPr>
        <w:tc>
          <w:tcPr>
            <w:tcW w:w="789" w:type="pct"/>
            <w:shd w:val="clear" w:color="auto" w:fill="auto"/>
            <w:vAlign w:val="center"/>
          </w:tcPr>
          <w:p w:rsidR="00441E54" w:rsidRPr="001268E7" w:rsidRDefault="00B52959" w:rsidP="0073029D">
            <w:pPr>
              <w:spacing w:after="0" w:line="240" w:lineRule="auto"/>
              <w:jc w:val="center"/>
              <w:rPr>
                <w:rFonts w:asciiTheme="minorHAnsi" w:eastAsia="Times New Roman" w:hAnsiTheme="minorHAnsi" w:cstheme="minorHAnsi"/>
                <w:bCs/>
                <w:color w:val="000000"/>
                <w:sz w:val="24"/>
                <w:szCs w:val="24"/>
                <w:lang w:eastAsia="pl-PL"/>
              </w:rPr>
            </w:pPr>
            <w:r>
              <w:rPr>
                <w:rFonts w:asciiTheme="minorHAnsi" w:eastAsia="Times New Roman" w:hAnsiTheme="minorHAnsi" w:cstheme="minorHAnsi"/>
                <w:bCs/>
                <w:color w:val="000000"/>
                <w:sz w:val="24"/>
                <w:szCs w:val="24"/>
                <w:lang w:eastAsia="pl-PL"/>
              </w:rPr>
              <w:t>DZIEDZICTWO</w:t>
            </w:r>
          </w:p>
        </w:tc>
        <w:tc>
          <w:tcPr>
            <w:tcW w:w="1051"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14 590 931,73</w:t>
            </w:r>
          </w:p>
        </w:tc>
        <w:tc>
          <w:tcPr>
            <w:tcW w:w="961"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8 087 149,52</w:t>
            </w:r>
          </w:p>
        </w:tc>
        <w:tc>
          <w:tcPr>
            <w:tcW w:w="1097"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cs="Calibri"/>
                <w:color w:val="000000"/>
              </w:rPr>
              <w:t>2 267 808,13</w:t>
            </w:r>
          </w:p>
        </w:tc>
        <w:tc>
          <w:tcPr>
            <w:tcW w:w="1102"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cs="Calibri"/>
                <w:color w:val="000000"/>
              </w:rPr>
              <w:t>24 945 889,38</w:t>
            </w:r>
          </w:p>
        </w:tc>
      </w:tr>
      <w:tr w:rsidR="00441E54" w:rsidRPr="001268E7" w:rsidTr="00441E54">
        <w:trPr>
          <w:trHeight w:val="417"/>
        </w:trPr>
        <w:tc>
          <w:tcPr>
            <w:tcW w:w="789" w:type="pct"/>
            <w:shd w:val="clear" w:color="auto" w:fill="BFBFBF" w:themeFill="background1" w:themeFillShade="BF"/>
            <w:vAlign w:val="center"/>
          </w:tcPr>
          <w:p w:rsidR="00441E54" w:rsidRPr="001268E7" w:rsidRDefault="00B52959" w:rsidP="0073029D">
            <w:pPr>
              <w:spacing w:after="0" w:line="240" w:lineRule="auto"/>
              <w:jc w:val="center"/>
              <w:rPr>
                <w:rFonts w:asciiTheme="minorHAnsi" w:eastAsia="Times New Roman" w:hAnsiTheme="minorHAnsi" w:cstheme="minorHAnsi"/>
                <w:bCs/>
                <w:color w:val="000000"/>
                <w:sz w:val="24"/>
                <w:szCs w:val="24"/>
                <w:lang w:eastAsia="pl-PL"/>
              </w:rPr>
            </w:pPr>
            <w:r>
              <w:rPr>
                <w:rFonts w:asciiTheme="minorHAnsi" w:eastAsia="Times New Roman" w:hAnsiTheme="minorHAnsi" w:cstheme="minorHAnsi"/>
                <w:bCs/>
                <w:color w:val="000000"/>
                <w:sz w:val="24"/>
                <w:szCs w:val="24"/>
                <w:lang w:eastAsia="pl-PL"/>
              </w:rPr>
              <w:t>ŚRODOWISKO</w:t>
            </w:r>
          </w:p>
        </w:tc>
        <w:tc>
          <w:tcPr>
            <w:tcW w:w="1051"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12 397 570,20</w:t>
            </w:r>
          </w:p>
        </w:tc>
        <w:tc>
          <w:tcPr>
            <w:tcW w:w="961"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6 884 205,66</w:t>
            </w:r>
          </w:p>
        </w:tc>
        <w:tc>
          <w:tcPr>
            <w:tcW w:w="1097"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1 927 577,59</w:t>
            </w:r>
          </w:p>
        </w:tc>
        <w:tc>
          <w:tcPr>
            <w:tcW w:w="1102"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21 203 353,45</w:t>
            </w:r>
          </w:p>
        </w:tc>
      </w:tr>
      <w:tr w:rsidR="00441E54" w:rsidRPr="001268E7" w:rsidTr="00441E54">
        <w:trPr>
          <w:trHeight w:val="417"/>
        </w:trPr>
        <w:tc>
          <w:tcPr>
            <w:tcW w:w="789" w:type="pct"/>
            <w:shd w:val="clear" w:color="auto" w:fill="auto"/>
            <w:vAlign w:val="center"/>
          </w:tcPr>
          <w:p w:rsidR="00441E54" w:rsidRPr="001268E7" w:rsidRDefault="00B52959" w:rsidP="0073029D">
            <w:pPr>
              <w:spacing w:after="0" w:line="240" w:lineRule="auto"/>
              <w:jc w:val="center"/>
              <w:rPr>
                <w:rFonts w:asciiTheme="minorHAnsi" w:eastAsia="Times New Roman" w:hAnsiTheme="minorHAnsi" w:cstheme="minorHAnsi"/>
                <w:bCs/>
                <w:color w:val="000000"/>
                <w:sz w:val="24"/>
                <w:szCs w:val="24"/>
                <w:lang w:eastAsia="pl-PL"/>
              </w:rPr>
            </w:pPr>
            <w:r>
              <w:rPr>
                <w:rFonts w:asciiTheme="minorHAnsi" w:eastAsia="Times New Roman" w:hAnsiTheme="minorHAnsi" w:cstheme="minorHAnsi"/>
                <w:bCs/>
                <w:color w:val="000000"/>
                <w:sz w:val="24"/>
                <w:szCs w:val="24"/>
                <w:lang w:eastAsia="pl-PL"/>
              </w:rPr>
              <w:t>DOSTĘPNOŚĆ</w:t>
            </w:r>
          </w:p>
        </w:tc>
        <w:tc>
          <w:tcPr>
            <w:tcW w:w="1051"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10 532 834,67</w:t>
            </w:r>
          </w:p>
        </w:tc>
        <w:tc>
          <w:tcPr>
            <w:tcW w:w="961"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4 818 943,97</w:t>
            </w:r>
          </w:p>
        </w:tc>
        <w:tc>
          <w:tcPr>
            <w:tcW w:w="1097"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1 535 177,86</w:t>
            </w:r>
          </w:p>
        </w:tc>
        <w:tc>
          <w:tcPr>
            <w:tcW w:w="1102" w:type="pct"/>
            <w:shd w:val="clear" w:color="auto" w:fill="auto"/>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16 886 956,50</w:t>
            </w:r>
          </w:p>
        </w:tc>
      </w:tr>
      <w:tr w:rsidR="00441E54" w:rsidRPr="001268E7" w:rsidTr="00441E54">
        <w:trPr>
          <w:trHeight w:val="417"/>
        </w:trPr>
        <w:tc>
          <w:tcPr>
            <w:tcW w:w="789" w:type="pct"/>
            <w:shd w:val="clear" w:color="auto" w:fill="BFBFBF" w:themeFill="background1" w:themeFillShade="BF"/>
            <w:vAlign w:val="center"/>
          </w:tcPr>
          <w:p w:rsidR="00441E54" w:rsidRPr="001268E7" w:rsidRDefault="00B52959" w:rsidP="0073029D">
            <w:pPr>
              <w:spacing w:after="0" w:line="240" w:lineRule="auto"/>
              <w:jc w:val="center"/>
              <w:rPr>
                <w:rFonts w:asciiTheme="minorHAnsi" w:eastAsia="Times New Roman" w:hAnsiTheme="minorHAnsi" w:cstheme="minorHAnsi"/>
                <w:bCs/>
                <w:color w:val="000000"/>
                <w:sz w:val="24"/>
                <w:szCs w:val="24"/>
                <w:lang w:eastAsia="pl-PL"/>
              </w:rPr>
            </w:pPr>
            <w:r>
              <w:rPr>
                <w:rFonts w:asciiTheme="minorHAnsi" w:eastAsia="Times New Roman" w:hAnsiTheme="minorHAnsi" w:cstheme="minorHAnsi"/>
                <w:bCs/>
                <w:color w:val="000000"/>
                <w:sz w:val="24"/>
                <w:szCs w:val="24"/>
                <w:lang w:eastAsia="pl-PL"/>
              </w:rPr>
              <w:t>GRANICE</w:t>
            </w:r>
          </w:p>
        </w:tc>
        <w:tc>
          <w:tcPr>
            <w:tcW w:w="1051"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0,00</w:t>
            </w:r>
          </w:p>
        </w:tc>
        <w:tc>
          <w:tcPr>
            <w:tcW w:w="961"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0,00</w:t>
            </w:r>
          </w:p>
        </w:tc>
        <w:tc>
          <w:tcPr>
            <w:tcW w:w="1097"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0,00</w:t>
            </w:r>
          </w:p>
        </w:tc>
        <w:tc>
          <w:tcPr>
            <w:tcW w:w="1102"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bidi="en-US"/>
              </w:rPr>
              <w:t>0,00</w:t>
            </w:r>
          </w:p>
        </w:tc>
      </w:tr>
      <w:tr w:rsidR="00441E54" w:rsidRPr="001268E7" w:rsidTr="00441E54">
        <w:trPr>
          <w:trHeight w:val="417"/>
        </w:trPr>
        <w:tc>
          <w:tcPr>
            <w:tcW w:w="789" w:type="pct"/>
            <w:shd w:val="clear" w:color="auto" w:fill="auto"/>
            <w:vAlign w:val="center"/>
          </w:tcPr>
          <w:p w:rsidR="00441E54" w:rsidRPr="001268E7" w:rsidRDefault="00441E54" w:rsidP="0073029D">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Pomoc Techniczna</w:t>
            </w:r>
          </w:p>
        </w:tc>
        <w:tc>
          <w:tcPr>
            <w:tcW w:w="1051" w:type="pct"/>
            <w:shd w:val="clear" w:color="auto" w:fill="auto"/>
            <w:vAlign w:val="center"/>
          </w:tcPr>
          <w:p w:rsidR="00441E54" w:rsidRPr="001268E7" w:rsidRDefault="00441E54" w:rsidP="001B7890">
            <w:pPr>
              <w:spacing w:after="0" w:line="240" w:lineRule="auto"/>
              <w:jc w:val="center"/>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4 130 523,40</w:t>
            </w:r>
          </w:p>
        </w:tc>
        <w:tc>
          <w:tcPr>
            <w:tcW w:w="961" w:type="pct"/>
            <w:shd w:val="clear" w:color="auto" w:fill="auto"/>
            <w:vAlign w:val="center"/>
          </w:tcPr>
          <w:p w:rsidR="00441E54" w:rsidRPr="001268E7" w:rsidRDefault="00441E54" w:rsidP="001B7890">
            <w:pPr>
              <w:spacing w:after="0" w:line="240" w:lineRule="auto"/>
              <w:jc w:val="center"/>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1 032 630,85</w:t>
            </w:r>
          </w:p>
        </w:tc>
        <w:tc>
          <w:tcPr>
            <w:tcW w:w="1097" w:type="pct"/>
            <w:shd w:val="clear" w:color="auto" w:fill="auto"/>
            <w:vAlign w:val="center"/>
          </w:tcPr>
          <w:p w:rsidR="00441E54" w:rsidRPr="001268E7" w:rsidRDefault="00441E54" w:rsidP="001B7890">
            <w:pPr>
              <w:spacing w:after="0" w:line="240" w:lineRule="auto"/>
              <w:jc w:val="center"/>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102" w:type="pct"/>
            <w:shd w:val="clear" w:color="auto" w:fill="auto"/>
            <w:vAlign w:val="center"/>
          </w:tcPr>
          <w:p w:rsidR="00441E54" w:rsidRPr="001268E7" w:rsidRDefault="00441E54" w:rsidP="001B7890">
            <w:pPr>
              <w:spacing w:after="0" w:line="240" w:lineRule="auto"/>
              <w:jc w:val="center"/>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5 163 154,25</w:t>
            </w:r>
          </w:p>
        </w:tc>
      </w:tr>
      <w:tr w:rsidR="00441E54" w:rsidRPr="001268E7" w:rsidTr="00441E54">
        <w:trPr>
          <w:trHeight w:val="640"/>
        </w:trPr>
        <w:tc>
          <w:tcPr>
            <w:tcW w:w="789" w:type="pct"/>
            <w:shd w:val="clear" w:color="auto" w:fill="BFBFBF" w:themeFill="background1" w:themeFillShade="BF"/>
            <w:vAlign w:val="center"/>
          </w:tcPr>
          <w:p w:rsidR="00441E54" w:rsidRPr="001268E7" w:rsidRDefault="00441E54" w:rsidP="0073029D">
            <w:pPr>
              <w:spacing w:after="0" w:line="240" w:lineRule="auto"/>
              <w:jc w:val="center"/>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Razem</w:t>
            </w:r>
          </w:p>
        </w:tc>
        <w:tc>
          <w:tcPr>
            <w:tcW w:w="1051" w:type="pct"/>
            <w:shd w:val="clear" w:color="auto" w:fill="BFBFBF" w:themeFill="background1" w:themeFillShade="BF"/>
            <w:vAlign w:val="center"/>
          </w:tcPr>
          <w:p w:rsidR="00441E54" w:rsidRPr="001268E7" w:rsidRDefault="00441E54"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41 645 860,00</w:t>
            </w:r>
          </w:p>
        </w:tc>
        <w:tc>
          <w:tcPr>
            <w:tcW w:w="961"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20 822 930,00</w:t>
            </w:r>
          </w:p>
        </w:tc>
        <w:tc>
          <w:tcPr>
            <w:tcW w:w="1097"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cs="Calibri"/>
                <w:color w:val="000000"/>
              </w:rPr>
              <w:t>5 730 563,58</w:t>
            </w:r>
          </w:p>
        </w:tc>
        <w:tc>
          <w:tcPr>
            <w:tcW w:w="1102" w:type="pct"/>
            <w:shd w:val="clear" w:color="auto" w:fill="BFBFBF" w:themeFill="background1" w:themeFillShade="BF"/>
            <w:vAlign w:val="center"/>
          </w:tcPr>
          <w:p w:rsidR="00441E54" w:rsidRPr="001268E7" w:rsidRDefault="00B52959" w:rsidP="001B7890">
            <w:pPr>
              <w:spacing w:after="0" w:line="240" w:lineRule="auto"/>
              <w:jc w:val="center"/>
              <w:rPr>
                <w:rFonts w:asciiTheme="minorHAnsi" w:eastAsia="Times New Roman" w:hAnsiTheme="minorHAnsi" w:cstheme="minorHAnsi"/>
                <w:bCs/>
                <w:color w:val="000000"/>
                <w:sz w:val="24"/>
                <w:szCs w:val="24"/>
                <w:lang w:eastAsia="pl-PL"/>
              </w:rPr>
            </w:pPr>
            <w:r>
              <w:rPr>
                <w:rFonts w:cs="Calibri"/>
                <w:color w:val="000000"/>
              </w:rPr>
              <w:t>68 199 353,58</w:t>
            </w:r>
          </w:p>
        </w:tc>
      </w:tr>
    </w:tbl>
    <w:p w:rsidR="004168BB" w:rsidRPr="00C1043C" w:rsidRDefault="00CE05FE" w:rsidP="004168BB">
      <w:pPr>
        <w:spacing w:after="0" w:line="240" w:lineRule="auto"/>
        <w:contextualSpacing/>
        <w:jc w:val="both"/>
        <w:rPr>
          <w:b/>
          <w:i/>
          <w:sz w:val="20"/>
          <w:lang w:val="en-US"/>
        </w:rPr>
      </w:pPr>
      <w:r w:rsidRPr="00C1043C">
        <w:rPr>
          <w:b/>
          <w:i/>
          <w:sz w:val="20"/>
          <w:lang w:val="en-US"/>
        </w:rPr>
        <w:t>Tabela 10. Orientacyjny plan finansowy</w:t>
      </w:r>
    </w:p>
    <w:p w:rsidR="00C1043C" w:rsidRDefault="00C1043C" w:rsidP="00D553D3">
      <w:pPr>
        <w:autoSpaceDE w:val="0"/>
        <w:autoSpaceDN w:val="0"/>
        <w:adjustRightInd w:val="0"/>
        <w:spacing w:before="100" w:beforeAutospacing="1" w:after="100" w:afterAutospacing="1" w:line="240" w:lineRule="auto"/>
        <w:jc w:val="both"/>
        <w:rPr>
          <w:rFonts w:cs="Calibri"/>
          <w:bCs/>
          <w:color w:val="000000"/>
          <w:sz w:val="24"/>
          <w:szCs w:val="24"/>
        </w:rPr>
      </w:pPr>
    </w:p>
    <w:p w:rsidR="004168BB" w:rsidRDefault="00D553D3" w:rsidP="00D553D3">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 xml:space="preserve">Zgodnie z Dokumentem Programowym dla wsparcia UE na rzecz Współpracy Transgranicznej EIS 2014-2020, dodatkowe alokacje EFRR na lata 2018-2020 mogą być </w:t>
      </w:r>
      <w:r w:rsidR="00285B6C" w:rsidRPr="001268E7">
        <w:rPr>
          <w:rFonts w:cs="Calibri"/>
          <w:bCs/>
          <w:color w:val="000000"/>
          <w:sz w:val="24"/>
          <w:szCs w:val="24"/>
        </w:rPr>
        <w:t>dla Programu dostępne,</w:t>
      </w:r>
      <w:r w:rsidRPr="001268E7">
        <w:rPr>
          <w:rFonts w:cs="Calibri"/>
          <w:bCs/>
          <w:color w:val="000000"/>
          <w:sz w:val="24"/>
          <w:szCs w:val="24"/>
        </w:rPr>
        <w:t xml:space="preserve"> z zastrzeżeniem śródokresowego przeglądu Współpracy Transgranicznej i dostępności funduszy uzupełniających EIS.</w:t>
      </w:r>
      <w:r w:rsidR="00650AC0" w:rsidRPr="001268E7">
        <w:rPr>
          <w:rFonts w:cs="Calibri"/>
          <w:bCs/>
          <w:color w:val="000000"/>
          <w:sz w:val="24"/>
          <w:szCs w:val="24"/>
        </w:rPr>
        <w:t xml:space="preserve"> </w:t>
      </w:r>
      <w:r w:rsidRPr="001268E7">
        <w:rPr>
          <w:rFonts w:cs="Calibri"/>
          <w:bCs/>
          <w:color w:val="000000"/>
          <w:sz w:val="24"/>
          <w:szCs w:val="24"/>
        </w:rPr>
        <w:t>W takim przypadku zorganizowany zostanie drugi nabór ofert z wykorzystaniem dodatkowego finansowania i tabela finansowa Programu zostanie odpowiednio zaktualizowana.</w:t>
      </w:r>
    </w:p>
    <w:p w:rsidR="00002973" w:rsidRPr="001268E7" w:rsidRDefault="00002973" w:rsidP="00D553D3">
      <w:pPr>
        <w:autoSpaceDE w:val="0"/>
        <w:autoSpaceDN w:val="0"/>
        <w:adjustRightInd w:val="0"/>
        <w:spacing w:before="100" w:beforeAutospacing="1" w:after="100" w:afterAutospacing="1" w:line="240" w:lineRule="auto"/>
        <w:jc w:val="both"/>
        <w:rPr>
          <w:rFonts w:cs="Calibri"/>
          <w:bCs/>
          <w:color w:val="000000"/>
          <w:sz w:val="24"/>
          <w:szCs w:val="24"/>
        </w:rPr>
      </w:pPr>
    </w:p>
    <w:tbl>
      <w:tblPr>
        <w:tblStyle w:val="Jasnasiatka1"/>
        <w:tblW w:w="9227" w:type="dxa"/>
        <w:tblLayout w:type="fixed"/>
        <w:tblLook w:val="04A0" w:firstRow="1" w:lastRow="0" w:firstColumn="1" w:lastColumn="0" w:noHBand="0" w:noVBand="1"/>
      </w:tblPr>
      <w:tblGrid>
        <w:gridCol w:w="1408"/>
        <w:gridCol w:w="448"/>
        <w:gridCol w:w="1418"/>
        <w:gridCol w:w="425"/>
        <w:gridCol w:w="1843"/>
        <w:gridCol w:w="1842"/>
        <w:gridCol w:w="1843"/>
      </w:tblGrid>
      <w:tr w:rsidR="004168BB" w:rsidRPr="001268E7" w:rsidTr="001B789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4168BB" w:rsidRPr="001268E7" w:rsidRDefault="003A65D3"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lastRenderedPageBreak/>
              <w:t>Orientacyjna tabela finansowa Programu</w:t>
            </w:r>
          </w:p>
        </w:tc>
      </w:tr>
      <w:tr w:rsidR="004168BB"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4168BB" w:rsidRPr="001268E7" w:rsidRDefault="004168BB"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 </w:t>
            </w:r>
          </w:p>
        </w:tc>
        <w:tc>
          <w:tcPr>
            <w:tcW w:w="1866" w:type="dxa"/>
            <w:gridSpan w:val="2"/>
            <w:noWrap/>
            <w:hideMark/>
          </w:tcPr>
          <w:p w:rsidR="004168BB" w:rsidRPr="001268E7" w:rsidRDefault="003A65D3"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A</w:t>
            </w:r>
          </w:p>
        </w:tc>
        <w:tc>
          <w:tcPr>
            <w:tcW w:w="2268" w:type="dxa"/>
            <w:gridSpan w:val="2"/>
            <w:noWrap/>
            <w:hideMark/>
          </w:tcPr>
          <w:p w:rsidR="004168BB" w:rsidRPr="001268E7" w:rsidRDefault="003A65D3"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B</w:t>
            </w:r>
          </w:p>
        </w:tc>
        <w:tc>
          <w:tcPr>
            <w:tcW w:w="1842" w:type="dxa"/>
            <w:noWrap/>
            <w:hideMark/>
          </w:tcPr>
          <w:p w:rsidR="004168BB" w:rsidRPr="001268E7" w:rsidRDefault="003A65D3"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C</w:t>
            </w:r>
          </w:p>
        </w:tc>
        <w:tc>
          <w:tcPr>
            <w:tcW w:w="1843" w:type="dxa"/>
            <w:noWrap/>
            <w:hideMark/>
          </w:tcPr>
          <w:p w:rsidR="004168BB" w:rsidRPr="001268E7" w:rsidRDefault="003A65D3"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D</w:t>
            </w:r>
          </w:p>
        </w:tc>
      </w:tr>
      <w:tr w:rsidR="004168BB" w:rsidRPr="001268E7" w:rsidTr="008455D9">
        <w:trPr>
          <w:cnfStyle w:val="000000010000" w:firstRow="0" w:lastRow="0" w:firstColumn="0" w:lastColumn="0" w:oddVBand="0" w:evenVBand="0" w:oddHBand="0" w:evenHBand="1"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4168BB" w:rsidRPr="001268E7" w:rsidRDefault="004168BB" w:rsidP="001B7890">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 </w:t>
            </w:r>
          </w:p>
        </w:tc>
        <w:tc>
          <w:tcPr>
            <w:tcW w:w="1866" w:type="dxa"/>
            <w:gridSpan w:val="2"/>
            <w:hideMark/>
          </w:tcPr>
          <w:p w:rsidR="004168BB" w:rsidRPr="001268E7" w:rsidRDefault="00285B6C"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ORIENTACYJNE</w:t>
            </w:r>
            <w:r w:rsidR="003A65D3" w:rsidRPr="001268E7">
              <w:rPr>
                <w:rFonts w:asciiTheme="minorHAnsi" w:eastAsia="Times New Roman" w:hAnsiTheme="minorHAnsi" w:cstheme="minorHAnsi"/>
                <w:bCs/>
                <w:color w:val="000000"/>
                <w:sz w:val="24"/>
                <w:szCs w:val="24"/>
                <w:lang w:eastAsia="pl-PL"/>
              </w:rPr>
              <w:t xml:space="preserve"> WSTĘPNE ZOBOWIĄZANIA KE</w:t>
            </w:r>
          </w:p>
        </w:tc>
        <w:tc>
          <w:tcPr>
            <w:tcW w:w="2268" w:type="dxa"/>
            <w:gridSpan w:val="2"/>
            <w:hideMark/>
          </w:tcPr>
          <w:p w:rsidR="004168BB" w:rsidRPr="001268E7" w:rsidRDefault="003A65D3"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DOFINANSOWANIE</w:t>
            </w:r>
          </w:p>
        </w:tc>
        <w:tc>
          <w:tcPr>
            <w:tcW w:w="1842" w:type="dxa"/>
            <w:hideMark/>
          </w:tcPr>
          <w:p w:rsidR="004168BB" w:rsidRPr="001268E7" w:rsidRDefault="00285B6C"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ORIENTACYJNE</w:t>
            </w:r>
            <w:r w:rsidR="003A65D3" w:rsidRPr="001268E7">
              <w:rPr>
                <w:rFonts w:asciiTheme="minorHAnsi" w:eastAsia="Times New Roman" w:hAnsiTheme="minorHAnsi" w:cstheme="minorHAnsi"/>
                <w:bCs/>
                <w:color w:val="000000"/>
                <w:sz w:val="24"/>
                <w:szCs w:val="24"/>
                <w:lang w:eastAsia="pl-PL"/>
              </w:rPr>
              <w:t xml:space="preserve"> WSTĘPNE ZOBOWIĄZANIA PROGRAMU - finansowanie przez KE</w:t>
            </w:r>
          </w:p>
        </w:tc>
        <w:tc>
          <w:tcPr>
            <w:tcW w:w="1843" w:type="dxa"/>
            <w:hideMark/>
          </w:tcPr>
          <w:p w:rsidR="004168BB" w:rsidRPr="001268E7" w:rsidRDefault="00285B6C"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ORIENTACYJNE</w:t>
            </w:r>
            <w:r w:rsidR="003A65D3" w:rsidRPr="001268E7">
              <w:rPr>
                <w:rFonts w:asciiTheme="minorHAnsi" w:eastAsia="Times New Roman" w:hAnsiTheme="minorHAnsi" w:cstheme="minorHAnsi"/>
                <w:bCs/>
                <w:color w:val="000000"/>
                <w:sz w:val="24"/>
                <w:szCs w:val="24"/>
                <w:lang w:eastAsia="pl-PL"/>
              </w:rPr>
              <w:t xml:space="preserve"> WSTĘPNE PŁATNOŚCI PROGRAMU - finansowanie przez KE</w:t>
            </w:r>
          </w:p>
        </w:tc>
      </w:tr>
      <w:tr w:rsidR="004168BB"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4168BB" w:rsidRPr="001268E7" w:rsidRDefault="004168BB"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2015</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82385A"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82385A" w:rsidRPr="001268E7" w:rsidRDefault="0082385A"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82385A" w:rsidRPr="001268E7" w:rsidRDefault="0082385A" w:rsidP="00A114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sidR="00A1142C">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82385A" w:rsidRPr="001268E7" w:rsidRDefault="0082385A"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2015</w:t>
            </w:r>
          </w:p>
        </w:tc>
        <w:tc>
          <w:tcPr>
            <w:tcW w:w="1866" w:type="dxa"/>
            <w:gridSpan w:val="2"/>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2016</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B87561">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9 199 293,00</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2016</w:t>
            </w:r>
          </w:p>
        </w:tc>
        <w:tc>
          <w:tcPr>
            <w:tcW w:w="1866" w:type="dxa"/>
            <w:gridSpan w:val="2"/>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2017</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15 406 832,00</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1 593 201,88</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14 869 884,24</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5 947 953,70</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976 177,85</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976 177,85</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2017</w:t>
            </w:r>
          </w:p>
        </w:tc>
        <w:tc>
          <w:tcPr>
            <w:tcW w:w="1866" w:type="dxa"/>
            <w:gridSpan w:val="2"/>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15 846 062,09</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6 924 131,55</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2018</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5 243 855,00</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1 907 550,00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16 449 667,26</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11 245 207,78</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481 949,10</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481 949,10</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2018</w:t>
            </w:r>
          </w:p>
        </w:tc>
        <w:tc>
          <w:tcPr>
            <w:tcW w:w="1866" w:type="dxa"/>
            <w:gridSpan w:val="2"/>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16 931 616,36</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11 727 156,88</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2019</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5 855 157,00</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663 834,12</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6 195 785,10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9 913 256,16</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484 268,62</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484 268,62</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2019</w:t>
            </w:r>
          </w:p>
        </w:tc>
        <w:tc>
          <w:tcPr>
            <w:tcW w:w="1866" w:type="dxa"/>
            <w:gridSpan w:val="2"/>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6 680 053,72</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10 397 524,78</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2020</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5 940 723,00</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4 832 712,38</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673 611,34</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673 611,34</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2020</w:t>
            </w:r>
          </w:p>
        </w:tc>
        <w:tc>
          <w:tcPr>
            <w:tcW w:w="1866" w:type="dxa"/>
            <w:gridSpan w:val="2"/>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673 611,34</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5 506 323,72</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2021</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N.A.</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3 717 471,06</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488 977,48</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488 977,48</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2021</w:t>
            </w:r>
          </w:p>
        </w:tc>
        <w:tc>
          <w:tcPr>
            <w:tcW w:w="1866"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488 977,48</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4 206 448,54</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lastRenderedPageBreak/>
              <w:t>2022</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N.A.</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1 858 735,5</w:t>
            </w:r>
            <w:r>
              <w:rPr>
                <w:rFonts w:eastAsia="Times New Roman" w:cs="Calibri"/>
                <w:bCs/>
                <w:color w:val="000000"/>
                <w:sz w:val="24"/>
                <w:szCs w:val="24"/>
                <w:lang w:val="en-GB" w:eastAsia="pl-PL"/>
              </w:rPr>
              <w:t>2</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408 067,28</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408 067,28</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2022</w:t>
            </w:r>
          </w:p>
        </w:tc>
        <w:tc>
          <w:tcPr>
            <w:tcW w:w="1866"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408 067,28</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2 266 802,8</w:t>
            </w:r>
            <w:r>
              <w:rPr>
                <w:rFonts w:eastAsia="Times New Roman" w:cs="Calibri"/>
                <w:bCs/>
                <w:color w:val="000000"/>
                <w:sz w:val="24"/>
                <w:szCs w:val="24"/>
                <w:lang w:val="en-GB" w:eastAsia="pl-PL"/>
              </w:rPr>
              <w:t>0</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2023</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N.A.</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385 065,66</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385 065,66</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2023</w:t>
            </w:r>
          </w:p>
        </w:tc>
        <w:tc>
          <w:tcPr>
            <w:tcW w:w="1866"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385 065,66</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385 065,66</w:t>
            </w:r>
          </w:p>
        </w:tc>
      </w:tr>
      <w:tr w:rsidR="0082385A" w:rsidRPr="001268E7" w:rsidTr="001B78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27" w:type="dxa"/>
            <w:gridSpan w:val="7"/>
            <w:noWrap/>
            <w:hideMark/>
          </w:tcPr>
          <w:p w:rsidR="0082385A" w:rsidRPr="001268E7" w:rsidRDefault="0082385A" w:rsidP="00B87561">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2024</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Projekty</w:t>
            </w:r>
          </w:p>
        </w:tc>
        <w:tc>
          <w:tcPr>
            <w:tcW w:w="1866" w:type="dxa"/>
            <w:gridSpan w:val="2"/>
            <w:vMerge w:val="restart"/>
            <w:noWrap/>
            <w:hideMark/>
          </w:tcPr>
          <w:p w:rsidR="0082385A" w:rsidRPr="001268E7" w:rsidRDefault="0082385A" w:rsidP="007302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N.A.</w:t>
            </w:r>
          </w:p>
        </w:tc>
        <w:tc>
          <w:tcPr>
            <w:tcW w:w="2268" w:type="dxa"/>
            <w:gridSpan w:val="2"/>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2"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c>
          <w:tcPr>
            <w:tcW w:w="1843" w:type="dxa"/>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0,00</w:t>
            </w:r>
          </w:p>
        </w:tc>
      </w:tr>
      <w:tr w:rsidR="000A7F17"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noWrap/>
            <w:hideMark/>
          </w:tcPr>
          <w:p w:rsidR="000A7F17" w:rsidRPr="001268E7" w:rsidRDefault="000A7F17"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PT</w:t>
            </w:r>
          </w:p>
        </w:tc>
        <w:tc>
          <w:tcPr>
            <w:tcW w:w="1866" w:type="dxa"/>
            <w:gridSpan w:val="2"/>
            <w:vMerge/>
            <w:hideMark/>
          </w:tcPr>
          <w:p w:rsidR="000A7F17" w:rsidRPr="001268E7" w:rsidRDefault="000A7F17" w:rsidP="00B8756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0A7F17" w:rsidRPr="001268E7" w:rsidRDefault="000A7F17"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w:t>
            </w:r>
            <w:r>
              <w:rPr>
                <w:rFonts w:eastAsia="Times New Roman" w:cs="Calibri"/>
                <w:bCs/>
                <w:color w:val="000000"/>
                <w:sz w:val="24"/>
                <w:szCs w:val="24"/>
                <w:lang w:val="en-GB" w:eastAsia="pl-PL"/>
              </w:rPr>
              <w:t>nie dotyczy</w:t>
            </w:r>
            <w:r w:rsidRPr="00321465">
              <w:rPr>
                <w:rFonts w:eastAsia="Times New Roman" w:cs="Calibri"/>
                <w:bCs/>
                <w:color w:val="000000"/>
                <w:sz w:val="24"/>
                <w:szCs w:val="24"/>
                <w:lang w:val="en-GB" w:eastAsia="pl-PL"/>
              </w:rPr>
              <w:t>)</w:t>
            </w:r>
          </w:p>
        </w:tc>
        <w:tc>
          <w:tcPr>
            <w:tcW w:w="1842"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232 406,07</w:t>
            </w:r>
          </w:p>
        </w:tc>
        <w:tc>
          <w:tcPr>
            <w:tcW w:w="1843" w:type="dxa"/>
            <w:noWrap/>
            <w:hideMark/>
          </w:tcPr>
          <w:p w:rsidR="000A7F17" w:rsidRPr="001268E7" w:rsidRDefault="000A7F17" w:rsidP="00B875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232 406,07</w:t>
            </w: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vMerge w:val="restart"/>
            <w:noWrap/>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RAZEM 2024</w:t>
            </w:r>
          </w:p>
        </w:tc>
        <w:tc>
          <w:tcPr>
            <w:tcW w:w="1866" w:type="dxa"/>
            <w:gridSpan w:val="2"/>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2268" w:type="dxa"/>
            <w:gridSpan w:val="2"/>
            <w:noWrap/>
            <w:hideMark/>
          </w:tcPr>
          <w:p w:rsidR="0082385A" w:rsidRPr="001268E7" w:rsidRDefault="0082385A" w:rsidP="00B87561">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1842" w:type="dxa"/>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232 406,07</w:t>
            </w:r>
          </w:p>
        </w:tc>
        <w:tc>
          <w:tcPr>
            <w:tcW w:w="1843" w:type="dxa"/>
            <w:vMerge w:val="restart"/>
            <w:noWrap/>
            <w:hideMark/>
          </w:tcPr>
          <w:p w:rsidR="0082385A" w:rsidRPr="001268E7" w:rsidRDefault="0082385A" w:rsidP="00B8756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232 406,07 </w:t>
            </w:r>
          </w:p>
        </w:tc>
      </w:tr>
      <w:tr w:rsidR="0082385A" w:rsidRPr="001268E7" w:rsidTr="008455D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408" w:type="dxa"/>
            <w:vMerge/>
            <w:noWrap/>
            <w:hideMark/>
          </w:tcPr>
          <w:p w:rsidR="0082385A" w:rsidRPr="001268E7" w:rsidRDefault="0082385A" w:rsidP="001B7890">
            <w:pPr>
              <w:spacing w:after="0" w:line="240" w:lineRule="auto"/>
              <w:jc w:val="center"/>
              <w:rPr>
                <w:rFonts w:asciiTheme="minorHAnsi" w:eastAsia="Times New Roman" w:hAnsiTheme="minorHAnsi" w:cstheme="minorHAnsi"/>
                <w:bCs w:val="0"/>
                <w:color w:val="000000"/>
                <w:sz w:val="24"/>
                <w:szCs w:val="24"/>
                <w:lang w:eastAsia="pl-PL"/>
              </w:rPr>
            </w:pPr>
          </w:p>
        </w:tc>
        <w:tc>
          <w:tcPr>
            <w:tcW w:w="1866" w:type="dxa"/>
            <w:gridSpan w:val="2"/>
            <w:vMerge/>
            <w:noWrap/>
            <w:hideMark/>
          </w:tcPr>
          <w:p w:rsidR="0082385A" w:rsidRPr="001268E7" w:rsidRDefault="0082385A"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noWrap/>
            <w:hideMark/>
          </w:tcPr>
          <w:p w:rsidR="0082385A" w:rsidRPr="001268E7" w:rsidRDefault="0082385A" w:rsidP="007302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X</w:t>
            </w:r>
          </w:p>
        </w:tc>
        <w:tc>
          <w:tcPr>
            <w:tcW w:w="1842" w:type="dxa"/>
            <w:vMerge/>
            <w:noWrap/>
            <w:hideMark/>
          </w:tcPr>
          <w:p w:rsidR="0082385A" w:rsidRPr="001268E7" w:rsidRDefault="0082385A"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1843" w:type="dxa"/>
            <w:vMerge/>
            <w:noWrap/>
            <w:hideMark/>
          </w:tcPr>
          <w:p w:rsidR="0082385A" w:rsidRPr="001268E7" w:rsidRDefault="0082385A"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r>
      <w:tr w:rsidR="0082385A" w:rsidRPr="001268E7" w:rsidTr="00845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rsidR="0082385A" w:rsidRPr="001268E7" w:rsidRDefault="0082385A"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 xml:space="preserve">RAZEM </w:t>
            </w:r>
          </w:p>
        </w:tc>
        <w:tc>
          <w:tcPr>
            <w:tcW w:w="1866" w:type="dxa"/>
            <w:gridSpan w:val="2"/>
            <w:vMerge w:val="restart"/>
            <w:noWrap/>
            <w:hideMark/>
          </w:tcPr>
          <w:p w:rsidR="0082385A" w:rsidRPr="001268E7" w:rsidRDefault="0082385A"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41 645 860,00</w:t>
            </w:r>
          </w:p>
        </w:tc>
        <w:tc>
          <w:tcPr>
            <w:tcW w:w="2268" w:type="dxa"/>
            <w:gridSpan w:val="2"/>
            <w:vMerge w:val="restart"/>
            <w:noWrap/>
            <w:hideMark/>
          </w:tcPr>
          <w:p w:rsidR="0082385A" w:rsidRPr="001268E7" w:rsidRDefault="0082385A"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321465">
              <w:rPr>
                <w:rFonts w:eastAsia="Times New Roman" w:cs="Calibri"/>
                <w:bCs/>
                <w:color w:val="000000"/>
                <w:sz w:val="24"/>
                <w:szCs w:val="24"/>
                <w:lang w:val="en-GB" w:eastAsia="pl-PL"/>
              </w:rPr>
              <w:t> </w:t>
            </w:r>
          </w:p>
        </w:tc>
        <w:tc>
          <w:tcPr>
            <w:tcW w:w="1842" w:type="dxa"/>
            <w:vMerge w:val="restart"/>
            <w:noWrap/>
            <w:hideMark/>
          </w:tcPr>
          <w:p w:rsidR="0082385A" w:rsidRPr="001268E7" w:rsidRDefault="0082385A"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41 645 860,00</w:t>
            </w:r>
          </w:p>
        </w:tc>
        <w:tc>
          <w:tcPr>
            <w:tcW w:w="1843" w:type="dxa"/>
            <w:vMerge w:val="restart"/>
            <w:noWrap/>
            <w:hideMark/>
          </w:tcPr>
          <w:p w:rsidR="0082385A" w:rsidRPr="001268E7" w:rsidRDefault="0082385A"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Pr>
                <w:rFonts w:eastAsia="Times New Roman" w:cs="Calibri"/>
                <w:bCs/>
                <w:color w:val="000000"/>
                <w:sz w:val="24"/>
                <w:szCs w:val="24"/>
                <w:lang w:val="en-GB" w:eastAsia="pl-PL"/>
              </w:rPr>
              <w:t>41 645 860,00</w:t>
            </w:r>
          </w:p>
        </w:tc>
      </w:tr>
      <w:tr w:rsidR="004168BB" w:rsidRPr="001268E7" w:rsidTr="00845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8" w:type="dxa"/>
            <w:hideMark/>
          </w:tcPr>
          <w:p w:rsidR="004168BB" w:rsidRPr="001268E7" w:rsidRDefault="004168BB" w:rsidP="001B7890">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2015-2024</w:t>
            </w:r>
          </w:p>
        </w:tc>
        <w:tc>
          <w:tcPr>
            <w:tcW w:w="1866" w:type="dxa"/>
            <w:gridSpan w:val="2"/>
            <w:vMerge/>
            <w:hideMark/>
          </w:tcPr>
          <w:p w:rsidR="004168BB" w:rsidRPr="001268E7" w:rsidRDefault="004168BB"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2268" w:type="dxa"/>
            <w:gridSpan w:val="2"/>
            <w:vMerge/>
            <w:hideMark/>
          </w:tcPr>
          <w:p w:rsidR="004168BB" w:rsidRPr="001268E7" w:rsidRDefault="004168BB"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1842" w:type="dxa"/>
            <w:vMerge/>
            <w:hideMark/>
          </w:tcPr>
          <w:p w:rsidR="004168BB" w:rsidRPr="001268E7" w:rsidRDefault="004168BB"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c>
          <w:tcPr>
            <w:tcW w:w="1843" w:type="dxa"/>
            <w:vMerge/>
            <w:hideMark/>
          </w:tcPr>
          <w:p w:rsidR="004168BB" w:rsidRPr="001268E7" w:rsidRDefault="004168BB"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p>
        </w:tc>
      </w:tr>
      <w:tr w:rsidR="004168BB" w:rsidRPr="001268E7" w:rsidTr="001B78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6" w:type="dxa"/>
            <w:gridSpan w:val="2"/>
            <w:noWrap/>
            <w:hideMark/>
          </w:tcPr>
          <w:p w:rsidR="004168BB" w:rsidRPr="001268E7" w:rsidRDefault="004168BB" w:rsidP="001B7890">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 </w:t>
            </w:r>
          </w:p>
        </w:tc>
        <w:tc>
          <w:tcPr>
            <w:tcW w:w="1843" w:type="dxa"/>
            <w:gridSpan w:val="2"/>
            <w:noWrap/>
            <w:hideMark/>
          </w:tcPr>
          <w:p w:rsidR="004168BB" w:rsidRPr="001268E7" w:rsidRDefault="004168BB"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 </w:t>
            </w:r>
          </w:p>
        </w:tc>
        <w:tc>
          <w:tcPr>
            <w:tcW w:w="1843" w:type="dxa"/>
            <w:noWrap/>
            <w:hideMark/>
          </w:tcPr>
          <w:p w:rsidR="004168BB" w:rsidRPr="001268E7" w:rsidRDefault="004168BB"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 </w:t>
            </w:r>
          </w:p>
        </w:tc>
        <w:tc>
          <w:tcPr>
            <w:tcW w:w="1842" w:type="dxa"/>
            <w:noWrap/>
            <w:hideMark/>
          </w:tcPr>
          <w:p w:rsidR="004168BB" w:rsidRPr="001268E7" w:rsidRDefault="004168BB"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 </w:t>
            </w:r>
          </w:p>
        </w:tc>
        <w:tc>
          <w:tcPr>
            <w:tcW w:w="1843" w:type="dxa"/>
            <w:noWrap/>
            <w:hideMark/>
          </w:tcPr>
          <w:p w:rsidR="004168BB" w:rsidRPr="001268E7" w:rsidRDefault="004168BB" w:rsidP="001B789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 </w:t>
            </w:r>
          </w:p>
        </w:tc>
      </w:tr>
      <w:tr w:rsidR="004168BB" w:rsidRPr="001268E7" w:rsidTr="001B78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42" w:type="dxa"/>
            <w:gridSpan w:val="5"/>
            <w:noWrap/>
            <w:hideMark/>
          </w:tcPr>
          <w:p w:rsidR="004168BB" w:rsidRPr="001268E7" w:rsidRDefault="003A65D3" w:rsidP="0073029D">
            <w:pPr>
              <w:spacing w:after="0" w:line="240" w:lineRule="auto"/>
              <w:jc w:val="center"/>
              <w:rPr>
                <w:rFonts w:asciiTheme="minorHAnsi" w:eastAsia="Times New Roman" w:hAnsiTheme="minorHAnsi" w:cstheme="minorHAnsi"/>
                <w:bCs w:val="0"/>
                <w:color w:val="000000"/>
                <w:sz w:val="24"/>
                <w:szCs w:val="24"/>
                <w:lang w:eastAsia="pl-PL"/>
              </w:rPr>
            </w:pPr>
            <w:r w:rsidRPr="001268E7">
              <w:rPr>
                <w:rFonts w:asciiTheme="minorHAnsi" w:eastAsia="Times New Roman" w:hAnsiTheme="minorHAnsi" w:cstheme="minorHAnsi"/>
                <w:bCs w:val="0"/>
                <w:color w:val="000000"/>
                <w:sz w:val="24"/>
                <w:szCs w:val="24"/>
                <w:lang w:eastAsia="pl-PL"/>
              </w:rPr>
              <w:t>WSKAŹNIK WSPÓŁFINANSOWANIA RAZEM</w:t>
            </w:r>
          </w:p>
        </w:tc>
        <w:tc>
          <w:tcPr>
            <w:tcW w:w="1842" w:type="dxa"/>
            <w:noWrap/>
            <w:hideMark/>
          </w:tcPr>
          <w:p w:rsidR="004168BB" w:rsidRPr="001268E7" w:rsidRDefault="004168BB"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w:t>
            </w:r>
          </w:p>
        </w:tc>
        <w:tc>
          <w:tcPr>
            <w:tcW w:w="1843" w:type="dxa"/>
            <w:noWrap/>
            <w:hideMark/>
          </w:tcPr>
          <w:p w:rsidR="004168BB" w:rsidRPr="001268E7" w:rsidRDefault="004168BB" w:rsidP="001B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4"/>
                <w:szCs w:val="24"/>
                <w:lang w:eastAsia="pl-PL"/>
              </w:rPr>
            </w:pPr>
            <w:r w:rsidRPr="001268E7">
              <w:rPr>
                <w:rFonts w:asciiTheme="minorHAnsi" w:eastAsia="Times New Roman" w:hAnsiTheme="minorHAnsi" w:cstheme="minorHAnsi"/>
                <w:bCs/>
                <w:color w:val="000000"/>
                <w:sz w:val="24"/>
                <w:szCs w:val="24"/>
                <w:lang w:eastAsia="pl-PL"/>
              </w:rPr>
              <w:t>%</w:t>
            </w:r>
          </w:p>
        </w:tc>
      </w:tr>
    </w:tbl>
    <w:p w:rsidR="004168BB" w:rsidRPr="00CF3877" w:rsidRDefault="005B1383" w:rsidP="007850DF">
      <w:pPr>
        <w:spacing w:after="0" w:line="240" w:lineRule="auto"/>
        <w:contextualSpacing/>
        <w:jc w:val="both"/>
        <w:rPr>
          <w:b/>
          <w:i/>
          <w:sz w:val="20"/>
        </w:rPr>
      </w:pPr>
      <w:r w:rsidRPr="00CF3877">
        <w:rPr>
          <w:b/>
          <w:i/>
          <w:sz w:val="20"/>
        </w:rPr>
        <w:t>Tabela 11. Roczne zobowiązania UE względem Programu</w:t>
      </w:r>
    </w:p>
    <w:p w:rsidR="00445643" w:rsidRPr="00D61551" w:rsidRDefault="00445643" w:rsidP="00445643">
      <w:pPr>
        <w:rPr>
          <w:rFonts w:cs="Calibri"/>
        </w:rPr>
      </w:pPr>
    </w:p>
    <w:tbl>
      <w:tblPr>
        <w:tblStyle w:val="Tabela-Siatka"/>
        <w:tblW w:w="0" w:type="auto"/>
        <w:tblLook w:val="04A0" w:firstRow="1" w:lastRow="0" w:firstColumn="1" w:lastColumn="0" w:noHBand="0" w:noVBand="1"/>
      </w:tblPr>
      <w:tblGrid>
        <w:gridCol w:w="2518"/>
        <w:gridCol w:w="6694"/>
      </w:tblGrid>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Pr>
                <w:rFonts w:cs="Calibri"/>
                <w:b/>
                <w:sz w:val="24"/>
                <w:szCs w:val="24"/>
              </w:rPr>
              <w:t>Rok</w:t>
            </w:r>
          </w:p>
        </w:tc>
        <w:tc>
          <w:tcPr>
            <w:tcW w:w="6694" w:type="dxa"/>
          </w:tcPr>
          <w:p w:rsidR="00445643" w:rsidRPr="00445643" w:rsidRDefault="00445643" w:rsidP="00445643">
            <w:pPr>
              <w:spacing w:after="0" w:line="240" w:lineRule="auto"/>
              <w:contextualSpacing/>
              <w:jc w:val="both"/>
              <w:rPr>
                <w:rFonts w:cs="Calibri"/>
                <w:b/>
                <w:sz w:val="24"/>
                <w:szCs w:val="24"/>
                <w:lang w:val="en-US"/>
              </w:rPr>
            </w:pPr>
            <w:r>
              <w:rPr>
                <w:rFonts w:cs="Calibri"/>
                <w:b/>
                <w:sz w:val="24"/>
                <w:szCs w:val="24"/>
                <w:lang w:val="en-US"/>
              </w:rPr>
              <w:t>ZOBOWIĄZANIA FEDERACJI ROSYJSKIEJ</w:t>
            </w:r>
          </w:p>
        </w:tc>
      </w:tr>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sidRPr="00445643">
              <w:rPr>
                <w:rFonts w:cs="Calibri"/>
                <w:b/>
                <w:sz w:val="24"/>
                <w:szCs w:val="24"/>
              </w:rPr>
              <w:t>2015</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sz w:val="24"/>
                <w:szCs w:val="24"/>
                <w:lang w:val="en-US"/>
              </w:rPr>
              <w:t>-</w:t>
            </w:r>
          </w:p>
        </w:tc>
      </w:tr>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sidRPr="00445643">
              <w:rPr>
                <w:rFonts w:cs="Calibri"/>
                <w:b/>
                <w:sz w:val="24"/>
                <w:szCs w:val="24"/>
              </w:rPr>
              <w:t>2016</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sz w:val="24"/>
                <w:szCs w:val="24"/>
                <w:lang w:val="en-US"/>
              </w:rPr>
              <w:t>-</w:t>
            </w:r>
          </w:p>
        </w:tc>
      </w:tr>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sidRPr="00445643">
              <w:rPr>
                <w:rFonts w:cs="Calibri"/>
                <w:b/>
                <w:sz w:val="24"/>
                <w:szCs w:val="24"/>
              </w:rPr>
              <w:t>2017</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sz w:val="24"/>
                <w:szCs w:val="24"/>
                <w:lang w:val="en-US"/>
              </w:rPr>
              <w:t>-</w:t>
            </w:r>
          </w:p>
        </w:tc>
      </w:tr>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sidRPr="00445643">
              <w:rPr>
                <w:rFonts w:cs="Calibri"/>
                <w:b/>
                <w:sz w:val="24"/>
                <w:szCs w:val="24"/>
              </w:rPr>
              <w:t>2018</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bCs/>
                <w:color w:val="000000"/>
                <w:sz w:val="24"/>
                <w:szCs w:val="24"/>
                <w:lang w:eastAsia="pl-PL"/>
              </w:rPr>
              <w:t>7 500 000,00</w:t>
            </w:r>
          </w:p>
        </w:tc>
      </w:tr>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sidRPr="00445643">
              <w:rPr>
                <w:rFonts w:cs="Calibri"/>
                <w:b/>
                <w:sz w:val="24"/>
                <w:szCs w:val="24"/>
              </w:rPr>
              <w:t>2019</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bCs/>
                <w:color w:val="000000"/>
                <w:sz w:val="24"/>
                <w:szCs w:val="24"/>
                <w:lang w:eastAsia="pl-PL"/>
              </w:rPr>
              <w:t>7 670 313,00</w:t>
            </w:r>
          </w:p>
        </w:tc>
      </w:tr>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sidRPr="00445643">
              <w:rPr>
                <w:rFonts w:cs="Calibri"/>
                <w:b/>
                <w:sz w:val="24"/>
                <w:szCs w:val="24"/>
              </w:rPr>
              <w:t>2020</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bCs/>
                <w:color w:val="000000"/>
                <w:sz w:val="24"/>
                <w:szCs w:val="24"/>
                <w:lang w:eastAsia="pl-PL"/>
              </w:rPr>
              <w:t>3 000 000,00</w:t>
            </w:r>
          </w:p>
        </w:tc>
      </w:tr>
      <w:tr w:rsidR="00445643" w:rsidRPr="00445643" w:rsidTr="00D61551">
        <w:tc>
          <w:tcPr>
            <w:tcW w:w="2518" w:type="dxa"/>
          </w:tcPr>
          <w:p w:rsidR="00445643" w:rsidRPr="00445643" w:rsidRDefault="00445643" w:rsidP="00445643">
            <w:pPr>
              <w:spacing w:after="0" w:line="240" w:lineRule="auto"/>
              <w:contextualSpacing/>
              <w:jc w:val="both"/>
              <w:rPr>
                <w:rFonts w:cs="Calibri"/>
                <w:b/>
                <w:sz w:val="24"/>
                <w:szCs w:val="24"/>
                <w:lang w:val="en-US"/>
              </w:rPr>
            </w:pPr>
            <w:r w:rsidRPr="00445643">
              <w:rPr>
                <w:rFonts w:cs="Calibri"/>
                <w:b/>
                <w:sz w:val="24"/>
                <w:szCs w:val="24"/>
                <w:lang w:val="en-US"/>
              </w:rPr>
              <w:t>2021</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bCs/>
                <w:color w:val="000000"/>
                <w:sz w:val="24"/>
                <w:szCs w:val="24"/>
                <w:lang w:eastAsia="pl-PL"/>
              </w:rPr>
              <w:t>2 652 617,00</w:t>
            </w:r>
          </w:p>
        </w:tc>
      </w:tr>
      <w:tr w:rsidR="00445643" w:rsidRPr="00445643" w:rsidTr="00D61551">
        <w:tc>
          <w:tcPr>
            <w:tcW w:w="2518" w:type="dxa"/>
          </w:tcPr>
          <w:p w:rsidR="00445643" w:rsidRPr="00445643" w:rsidRDefault="00526D82" w:rsidP="00445643">
            <w:pPr>
              <w:spacing w:after="0" w:line="240" w:lineRule="auto"/>
              <w:contextualSpacing/>
              <w:jc w:val="both"/>
              <w:rPr>
                <w:rFonts w:cs="Calibri"/>
                <w:b/>
                <w:sz w:val="24"/>
                <w:szCs w:val="24"/>
                <w:lang w:val="en-US"/>
              </w:rPr>
            </w:pPr>
            <w:r>
              <w:rPr>
                <w:rFonts w:cs="Calibri"/>
                <w:b/>
                <w:sz w:val="24"/>
                <w:szCs w:val="24"/>
              </w:rPr>
              <w:t>RAZEM</w:t>
            </w:r>
            <w:r w:rsidR="00445643" w:rsidRPr="00445643">
              <w:rPr>
                <w:rFonts w:cs="Calibri"/>
                <w:b/>
                <w:sz w:val="24"/>
                <w:szCs w:val="24"/>
              </w:rPr>
              <w:t xml:space="preserve"> 2015-2021</w:t>
            </w:r>
          </w:p>
        </w:tc>
        <w:tc>
          <w:tcPr>
            <w:tcW w:w="6694" w:type="dxa"/>
          </w:tcPr>
          <w:p w:rsidR="00445643" w:rsidRPr="00445643" w:rsidRDefault="00445643" w:rsidP="00445643">
            <w:pPr>
              <w:spacing w:after="0" w:line="240" w:lineRule="auto"/>
              <w:contextualSpacing/>
              <w:jc w:val="right"/>
              <w:rPr>
                <w:rFonts w:cs="Calibri"/>
                <w:b/>
                <w:sz w:val="24"/>
                <w:szCs w:val="24"/>
                <w:lang w:val="en-US"/>
              </w:rPr>
            </w:pPr>
            <w:r w:rsidRPr="00445643">
              <w:rPr>
                <w:rFonts w:cs="Calibri"/>
                <w:b/>
                <w:bCs/>
                <w:color w:val="000000"/>
                <w:sz w:val="24"/>
                <w:szCs w:val="24"/>
                <w:lang w:eastAsia="pl-PL"/>
              </w:rPr>
              <w:t>20 822 930,00</w:t>
            </w:r>
          </w:p>
        </w:tc>
      </w:tr>
    </w:tbl>
    <w:p w:rsidR="00445643" w:rsidRPr="00002973" w:rsidRDefault="00526D82" w:rsidP="00445643">
      <w:pPr>
        <w:spacing w:after="0" w:line="240" w:lineRule="auto"/>
        <w:contextualSpacing/>
        <w:jc w:val="both"/>
        <w:rPr>
          <w:b/>
          <w:bCs/>
          <w:i/>
          <w:sz w:val="20"/>
          <w:szCs w:val="20"/>
        </w:rPr>
      </w:pPr>
      <w:r w:rsidRPr="00002973">
        <w:rPr>
          <w:b/>
          <w:bCs/>
          <w:i/>
          <w:sz w:val="20"/>
          <w:szCs w:val="20"/>
        </w:rPr>
        <w:t>Tabela 12. Roczne zobowiązania Federacji Rosyjskiej w Programie</w:t>
      </w:r>
    </w:p>
    <w:p w:rsidR="00445643" w:rsidRPr="001268E7" w:rsidRDefault="00445643" w:rsidP="004168BB">
      <w:pPr>
        <w:rPr>
          <w:rFonts w:asciiTheme="minorHAnsi" w:hAnsiTheme="minorHAnsi" w:cstheme="minorHAnsi"/>
        </w:rPr>
      </w:pPr>
    </w:p>
    <w:p w:rsidR="004168BB" w:rsidRPr="001268E7" w:rsidRDefault="003A65D3" w:rsidP="003A65D3">
      <w:pPr>
        <w:pStyle w:val="Nagwek2"/>
      </w:pPr>
      <w:bookmarkStart w:id="67" w:name="_Toc530737599"/>
      <w:r w:rsidRPr="001268E7">
        <w:t>5.2 Pomoc Techniczna</w:t>
      </w:r>
      <w:bookmarkEnd w:id="67"/>
    </w:p>
    <w:p w:rsidR="004168BB" w:rsidRPr="001268E7" w:rsidRDefault="00426089"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Cel</w:t>
      </w:r>
      <w:r w:rsidR="0089024E" w:rsidRPr="001268E7">
        <w:rPr>
          <w:rFonts w:cs="Calibri"/>
          <w:sz w:val="24"/>
          <w:szCs w:val="24"/>
          <w:lang w:eastAsia="pl-PL"/>
        </w:rPr>
        <w:t>em Pomocy Technicznej (PT) jest skuteczna realizacja</w:t>
      </w:r>
      <w:r w:rsidRPr="001268E7">
        <w:rPr>
          <w:rFonts w:cs="Calibri"/>
          <w:sz w:val="24"/>
          <w:szCs w:val="24"/>
          <w:lang w:eastAsia="pl-PL"/>
        </w:rPr>
        <w:t xml:space="preserve"> Programu poprzez zapewnienie odpowiedniego przygotowywania, zarządzania, wdrażania, monitorowania, oceny, audytu i kontroli Programu, a także poprzez udzielanie wsparcia</w:t>
      </w:r>
      <w:r w:rsidR="008455D9" w:rsidRPr="001268E7">
        <w:rPr>
          <w:rFonts w:cs="Calibri"/>
          <w:sz w:val="24"/>
          <w:szCs w:val="24"/>
          <w:lang w:eastAsia="pl-PL"/>
        </w:rPr>
        <w:t xml:space="preserve"> dla</w:t>
      </w:r>
      <w:r w:rsidRPr="001268E7">
        <w:rPr>
          <w:rFonts w:cs="Calibri"/>
          <w:sz w:val="24"/>
          <w:szCs w:val="24"/>
          <w:lang w:eastAsia="pl-PL"/>
        </w:rPr>
        <w:t xml:space="preserve"> inicjatyw poszukiwania partnerów do projektów oraz czynności promocyjnych i informacyjnych związanych z Programem.</w:t>
      </w:r>
      <w:r w:rsidR="004168BB" w:rsidRPr="001268E7">
        <w:rPr>
          <w:rFonts w:cs="Calibri"/>
          <w:bCs/>
          <w:color w:val="000000"/>
          <w:sz w:val="24"/>
          <w:szCs w:val="24"/>
        </w:rPr>
        <w:t xml:space="preserve"> </w:t>
      </w:r>
      <w:r w:rsidRPr="001268E7">
        <w:rPr>
          <w:rFonts w:cs="Calibri"/>
          <w:sz w:val="24"/>
          <w:szCs w:val="24"/>
          <w:lang w:eastAsia="pl-PL"/>
        </w:rPr>
        <w:t>Poziom udzielanej PT powinien odzwierciedlać realne potrzeby Programu.</w:t>
      </w:r>
      <w:r w:rsidR="004168BB" w:rsidRPr="001268E7">
        <w:rPr>
          <w:rFonts w:cs="Calibri"/>
          <w:bCs/>
          <w:color w:val="000000"/>
          <w:sz w:val="24"/>
          <w:szCs w:val="24"/>
        </w:rPr>
        <w:t xml:space="preserve"> </w:t>
      </w:r>
    </w:p>
    <w:p w:rsidR="004168BB" w:rsidRPr="001268E7" w:rsidRDefault="00426089"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Aby umożliwić skuteczną realizację Programu, konieczne jest przygotowanie odpowiedniego systemu zarządzania i wdrażania.</w:t>
      </w:r>
      <w:r w:rsidR="004168BB" w:rsidRPr="001268E7">
        <w:rPr>
          <w:rFonts w:cs="Calibri"/>
          <w:bCs/>
          <w:color w:val="000000"/>
          <w:sz w:val="24"/>
          <w:szCs w:val="24"/>
        </w:rPr>
        <w:t xml:space="preserve"> </w:t>
      </w:r>
      <w:r w:rsidRPr="001268E7">
        <w:rPr>
          <w:rFonts w:cs="Calibri"/>
          <w:sz w:val="24"/>
          <w:szCs w:val="24"/>
          <w:lang w:eastAsia="pl-PL"/>
        </w:rPr>
        <w:t>PT ustanowiona jest w celu zapewnienia wsparcia instytucjom odpowiedzialnym za realizację tych funkcji.</w:t>
      </w:r>
      <w:r w:rsidR="004168BB" w:rsidRPr="001268E7">
        <w:rPr>
          <w:rFonts w:cs="Calibri"/>
          <w:bCs/>
          <w:color w:val="000000"/>
          <w:sz w:val="24"/>
          <w:szCs w:val="24"/>
        </w:rPr>
        <w:t xml:space="preserve"> </w:t>
      </w:r>
      <w:r w:rsidRPr="001268E7">
        <w:rPr>
          <w:rFonts w:cs="Calibri"/>
          <w:sz w:val="24"/>
          <w:szCs w:val="24"/>
          <w:lang w:eastAsia="pl-PL"/>
        </w:rPr>
        <w:t xml:space="preserve">Kluczowe znaczenie ma także </w:t>
      </w:r>
      <w:r w:rsidRPr="001268E7">
        <w:rPr>
          <w:rFonts w:cs="Calibri"/>
          <w:sz w:val="24"/>
          <w:szCs w:val="24"/>
          <w:lang w:eastAsia="pl-PL"/>
        </w:rPr>
        <w:lastRenderedPageBreak/>
        <w:t>stworzenie skutecznego systemu promocji i rozpowszechniania informacji na temat Programu.</w:t>
      </w:r>
      <w:r w:rsidR="004168BB" w:rsidRPr="001268E7">
        <w:rPr>
          <w:rFonts w:cs="Calibri"/>
          <w:bCs/>
          <w:color w:val="000000"/>
          <w:sz w:val="24"/>
          <w:szCs w:val="24"/>
        </w:rPr>
        <w:t xml:space="preserve"> </w:t>
      </w:r>
      <w:r w:rsidRPr="001268E7">
        <w:rPr>
          <w:rFonts w:cs="Calibri"/>
          <w:sz w:val="24"/>
          <w:szCs w:val="24"/>
          <w:lang w:eastAsia="pl-PL"/>
        </w:rPr>
        <w:t>PT będzie mieć za zadanie wspieranie oceny projektów, przygotowywania dokumentacji programowej, a także umożliwienie zatrudnienia ekspertów.</w:t>
      </w:r>
      <w:r w:rsidR="004168BB" w:rsidRPr="001268E7">
        <w:rPr>
          <w:rFonts w:cs="Calibri"/>
          <w:bCs/>
          <w:color w:val="000000"/>
          <w:sz w:val="24"/>
          <w:szCs w:val="24"/>
        </w:rPr>
        <w:t xml:space="preserve"> </w:t>
      </w:r>
    </w:p>
    <w:p w:rsidR="004168BB" w:rsidRPr="001268E7" w:rsidRDefault="00426089"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Z PT będą ponoszone koszty na działania mające na celu podnoszenie zdolności beneficjentów końcowych do przyjmowania wsparcia Programu.</w:t>
      </w:r>
      <w:r w:rsidR="004168BB" w:rsidRPr="001268E7">
        <w:rPr>
          <w:rFonts w:cs="Calibri"/>
          <w:bCs/>
          <w:color w:val="000000"/>
          <w:sz w:val="24"/>
          <w:szCs w:val="24"/>
        </w:rPr>
        <w:t xml:space="preserve"> </w:t>
      </w:r>
      <w:r w:rsidRPr="001268E7">
        <w:rPr>
          <w:rFonts w:cs="Calibri"/>
          <w:sz w:val="24"/>
          <w:szCs w:val="24"/>
          <w:lang w:eastAsia="pl-PL"/>
        </w:rPr>
        <w:t>Za działania kwalifikowalne uznawać się będzie także działania wpływające na rozwój zasobów ludzkich.</w:t>
      </w:r>
      <w:r w:rsidR="004168BB" w:rsidRPr="001268E7">
        <w:rPr>
          <w:rFonts w:cs="Calibri"/>
          <w:bCs/>
          <w:color w:val="000000"/>
          <w:sz w:val="24"/>
          <w:szCs w:val="24"/>
        </w:rPr>
        <w:t xml:space="preserve"> </w:t>
      </w:r>
      <w:r w:rsidRPr="001268E7">
        <w:rPr>
          <w:rFonts w:cs="Calibri"/>
          <w:sz w:val="24"/>
          <w:szCs w:val="24"/>
          <w:lang w:eastAsia="pl-PL"/>
        </w:rPr>
        <w:t xml:space="preserve">Wsparcie udzielane będzie też w odniesieniu do działań mających na celu podnoszenie jakości pracy instytucji zaangażowanych w proces zarządzania Programem i jego wdrażania, włączając w szczególności IZ, WKM, </w:t>
      </w:r>
      <w:r w:rsidR="00C0356B">
        <w:rPr>
          <w:rFonts w:cs="Calibri"/>
          <w:sz w:val="24"/>
          <w:szCs w:val="24"/>
          <w:lang w:eastAsia="pl-PL"/>
        </w:rPr>
        <w:t>WST</w:t>
      </w:r>
      <w:r w:rsidR="00C0356B" w:rsidRPr="001268E7">
        <w:rPr>
          <w:rFonts w:cs="Calibri"/>
          <w:sz w:val="24"/>
          <w:szCs w:val="24"/>
          <w:lang w:eastAsia="pl-PL"/>
        </w:rPr>
        <w:t xml:space="preserve"> </w:t>
      </w:r>
      <w:r w:rsidRPr="001268E7">
        <w:rPr>
          <w:rFonts w:cs="Calibri"/>
          <w:sz w:val="24"/>
          <w:szCs w:val="24"/>
          <w:lang w:eastAsia="pl-PL"/>
        </w:rPr>
        <w:t>i Oddział, KPK oraz IK.</w:t>
      </w:r>
      <w:r w:rsidR="004168BB" w:rsidRPr="001268E7">
        <w:rPr>
          <w:rFonts w:cs="Calibri"/>
          <w:bCs/>
          <w:color w:val="000000"/>
          <w:sz w:val="24"/>
          <w:szCs w:val="24"/>
        </w:rPr>
        <w:t xml:space="preserve"> </w:t>
      </w:r>
      <w:r w:rsidRPr="001268E7">
        <w:rPr>
          <w:rFonts w:cs="Calibri"/>
          <w:sz w:val="24"/>
          <w:szCs w:val="24"/>
          <w:lang w:eastAsia="pl-PL"/>
        </w:rPr>
        <w:t>PT udzielana będzie także w celu wspierania działań związanych z inicjatywami informacyjnymi i promocyjnymi.</w:t>
      </w:r>
      <w:r w:rsidR="004168BB" w:rsidRPr="001268E7">
        <w:rPr>
          <w:rFonts w:cs="Calibri"/>
          <w:bCs/>
          <w:color w:val="000000"/>
          <w:sz w:val="24"/>
          <w:szCs w:val="24"/>
        </w:rPr>
        <w:t xml:space="preserve"> </w:t>
      </w:r>
      <w:r w:rsidRPr="001268E7">
        <w:rPr>
          <w:rFonts w:cs="Calibri"/>
          <w:sz w:val="24"/>
          <w:szCs w:val="24"/>
          <w:lang w:eastAsia="pl-PL"/>
        </w:rPr>
        <w:t>Inicjatywy te obejmują udzielanie informacji potencjalnym beneficjentom na temat możliwości otrzymania pomocy w ramach Programu, szkolenia dla beneficjentów Programu oraz rozpowszechnianie najlepszych praktyk.</w:t>
      </w:r>
      <w:r w:rsidR="004168BB" w:rsidRPr="001268E7">
        <w:rPr>
          <w:rFonts w:cs="Calibri"/>
          <w:bCs/>
          <w:color w:val="000000"/>
          <w:sz w:val="24"/>
          <w:szCs w:val="24"/>
        </w:rPr>
        <w:t xml:space="preserve"> </w:t>
      </w:r>
      <w:r w:rsidRPr="001268E7">
        <w:rPr>
          <w:rFonts w:cs="Calibri"/>
          <w:sz w:val="24"/>
          <w:szCs w:val="24"/>
          <w:lang w:eastAsia="pl-PL"/>
        </w:rPr>
        <w:t>Koszty związane z działaniami informacyjnymi dotyczącymi zarządzania Programem, monitorowania go i sprawowania nad nim kontroli również będą ponoszone z PT.</w:t>
      </w:r>
      <w:r w:rsidR="004168BB" w:rsidRPr="001268E7">
        <w:rPr>
          <w:rFonts w:cs="Calibri"/>
          <w:bCs/>
          <w:color w:val="000000"/>
          <w:sz w:val="24"/>
          <w:szCs w:val="24"/>
        </w:rPr>
        <w:t xml:space="preserve"> </w:t>
      </w:r>
      <w:r w:rsidRPr="001268E7">
        <w:rPr>
          <w:rFonts w:cs="Calibri"/>
          <w:sz w:val="24"/>
          <w:szCs w:val="24"/>
          <w:lang w:eastAsia="pl-PL"/>
        </w:rPr>
        <w:t>Działania mające na celu zapewnienie odpowiedniego przepływu informacji pomiędzy instytucjami i podmiotami zaangażowanymi w proces zarządzania i wdrażania Programu będą również finansowane w ramach budżetu PT.</w:t>
      </w:r>
      <w:r w:rsidR="004168BB" w:rsidRPr="001268E7">
        <w:rPr>
          <w:rFonts w:cs="Calibri"/>
          <w:bCs/>
          <w:color w:val="000000"/>
          <w:sz w:val="24"/>
          <w:szCs w:val="24"/>
        </w:rPr>
        <w:t xml:space="preserve"> </w:t>
      </w:r>
      <w:r w:rsidRPr="001268E7">
        <w:rPr>
          <w:rFonts w:cs="Calibri"/>
          <w:sz w:val="24"/>
          <w:szCs w:val="24"/>
          <w:lang w:eastAsia="pl-PL"/>
        </w:rPr>
        <w:t>Organizowane będą szkolenia, seminaria i konferencje</w:t>
      </w:r>
      <w:r w:rsidR="0089024E" w:rsidRPr="001268E7">
        <w:rPr>
          <w:rFonts w:cs="Calibri"/>
          <w:sz w:val="24"/>
          <w:szCs w:val="24"/>
          <w:lang w:eastAsia="pl-PL"/>
        </w:rPr>
        <w:t>, w tym wydarzenia mające na</w:t>
      </w:r>
      <w:r w:rsidRPr="001268E7">
        <w:rPr>
          <w:rFonts w:cs="Calibri"/>
          <w:sz w:val="24"/>
          <w:szCs w:val="24"/>
          <w:lang w:eastAsia="pl-PL"/>
        </w:rPr>
        <w:t xml:space="preserve"> celu podnoszenie świadomości na temat Programu oraz jego celów.</w:t>
      </w:r>
      <w:r w:rsidR="004168BB" w:rsidRPr="001268E7">
        <w:rPr>
          <w:rFonts w:cs="Calibri"/>
          <w:bCs/>
          <w:color w:val="000000"/>
          <w:sz w:val="24"/>
          <w:szCs w:val="24"/>
        </w:rPr>
        <w:t xml:space="preserve"> </w:t>
      </w:r>
      <w:r w:rsidRPr="001268E7">
        <w:rPr>
          <w:rFonts w:cs="Calibri"/>
          <w:sz w:val="24"/>
          <w:szCs w:val="24"/>
          <w:lang w:eastAsia="pl-PL"/>
        </w:rPr>
        <w:t>Informacje na temat Programu rozpowszechniane będą drogą telewizyjną, radiową</w:t>
      </w:r>
      <w:r w:rsidR="0089024E" w:rsidRPr="001268E7">
        <w:rPr>
          <w:rFonts w:cs="Calibri"/>
          <w:sz w:val="24"/>
          <w:szCs w:val="24"/>
          <w:lang w:eastAsia="pl-PL"/>
        </w:rPr>
        <w:t>,</w:t>
      </w:r>
      <w:r w:rsidRPr="001268E7">
        <w:rPr>
          <w:rFonts w:cs="Calibri"/>
          <w:sz w:val="24"/>
          <w:szCs w:val="24"/>
          <w:lang w:eastAsia="pl-PL"/>
        </w:rPr>
        <w:t xml:space="preserve"> w prasie, w </w:t>
      </w:r>
      <w:r w:rsidR="0089024E" w:rsidRPr="001268E7">
        <w:rPr>
          <w:rFonts w:cs="Calibri"/>
          <w:sz w:val="24"/>
          <w:szCs w:val="24"/>
          <w:lang w:eastAsia="pl-PL"/>
        </w:rPr>
        <w:t>Internecie</w:t>
      </w:r>
      <w:r w:rsidRPr="001268E7">
        <w:rPr>
          <w:rFonts w:cs="Calibri"/>
          <w:sz w:val="24"/>
          <w:szCs w:val="24"/>
          <w:lang w:eastAsia="pl-PL"/>
        </w:rPr>
        <w:t>, za pomocą broszur i ulotek itd.</w:t>
      </w:r>
      <w:r w:rsidR="004168BB" w:rsidRPr="001268E7">
        <w:rPr>
          <w:rFonts w:cs="Calibri"/>
          <w:bCs/>
          <w:color w:val="000000"/>
          <w:sz w:val="24"/>
          <w:szCs w:val="24"/>
        </w:rPr>
        <w:t xml:space="preserve"> </w:t>
      </w:r>
      <w:r w:rsidRPr="001268E7">
        <w:rPr>
          <w:rFonts w:cs="Calibri"/>
          <w:sz w:val="24"/>
          <w:szCs w:val="24"/>
          <w:lang w:eastAsia="pl-PL"/>
        </w:rPr>
        <w:t>Działania komunikacyjne skierowane będą do potencjalnych wnioskodawców, beneficjentów i do ogółu społeczeństwa w celu podniesienia poziomu wiedzy na temat Programu.</w:t>
      </w:r>
      <w:r w:rsidR="004168BB" w:rsidRPr="001268E7">
        <w:rPr>
          <w:rFonts w:cs="Calibri"/>
          <w:bCs/>
          <w:color w:val="000000"/>
          <w:sz w:val="24"/>
          <w:szCs w:val="24"/>
        </w:rPr>
        <w:t xml:space="preserve"> </w:t>
      </w:r>
    </w:p>
    <w:p w:rsidR="00813063" w:rsidRPr="001268E7" w:rsidRDefault="00426089"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Na PT może zostać przeznaczone nie więcej niż 10% całkowitego wkładu Unii Europejskiej oraz nie więcej niż 5% wkładu finansowego Federacji Rosyjskiej do Programu.</w:t>
      </w:r>
      <w:r w:rsidR="004168BB" w:rsidRPr="001268E7">
        <w:rPr>
          <w:rFonts w:cs="Calibri"/>
          <w:bCs/>
          <w:color w:val="000000"/>
          <w:sz w:val="24"/>
          <w:szCs w:val="24"/>
        </w:rPr>
        <w:t xml:space="preserve"> </w:t>
      </w:r>
      <w:r w:rsidRPr="001268E7">
        <w:rPr>
          <w:rFonts w:asciiTheme="minorHAnsi" w:hAnsiTheme="minorHAnsi" w:cstheme="minorHAnsi"/>
          <w:color w:val="000000"/>
          <w:sz w:val="24"/>
          <w:szCs w:val="24"/>
          <w:lang w:eastAsia="pl-PL"/>
        </w:rPr>
        <w:t>Cześć wkładu Federacji Rosyjskiej przydzi</w:t>
      </w:r>
      <w:r w:rsidR="0089024E" w:rsidRPr="001268E7">
        <w:rPr>
          <w:rFonts w:asciiTheme="minorHAnsi" w:hAnsiTheme="minorHAnsi" w:cstheme="minorHAnsi"/>
          <w:color w:val="000000"/>
          <w:sz w:val="24"/>
          <w:szCs w:val="24"/>
          <w:lang w:eastAsia="pl-PL"/>
        </w:rPr>
        <w:t>elona na Pomoc Techniczną zostanie</w:t>
      </w:r>
      <w:r w:rsidRPr="001268E7">
        <w:rPr>
          <w:rFonts w:asciiTheme="minorHAnsi" w:hAnsiTheme="minorHAnsi" w:cstheme="minorHAnsi"/>
          <w:color w:val="000000"/>
          <w:sz w:val="24"/>
          <w:szCs w:val="24"/>
          <w:lang w:eastAsia="pl-PL"/>
        </w:rPr>
        <w:t xml:space="preserve"> przeznaczona na sfinansowanie funkcjonowania Oddziału w Kaliningradzie (wynagrodzenie ekspertów, wydatki dodatkowe, koszty weryfikacji wydatków).</w:t>
      </w:r>
      <w:r w:rsidR="00813063" w:rsidRPr="001268E7">
        <w:rPr>
          <w:rFonts w:asciiTheme="minorHAnsi" w:eastAsiaTheme="minorHAnsi" w:hAnsiTheme="minorHAnsi" w:cstheme="minorHAnsi"/>
          <w:sz w:val="24"/>
          <w:szCs w:val="24"/>
        </w:rPr>
        <w:t xml:space="preserve"> </w:t>
      </w:r>
    </w:p>
    <w:p w:rsidR="004168BB" w:rsidRPr="001268E7" w:rsidRDefault="00426089"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Wydatki związane z działaniami dotyczącymi promocji oraz budowania potencjału, poniesione poza obszarem realizacji Programu, mogą zostać pokry</w:t>
      </w:r>
      <w:r w:rsidR="0089024E" w:rsidRPr="001268E7">
        <w:rPr>
          <w:rFonts w:cs="Calibri"/>
          <w:sz w:val="24"/>
          <w:szCs w:val="24"/>
          <w:lang w:eastAsia="pl-PL"/>
        </w:rPr>
        <w:t>te w ramach limitu wynoszącego 1</w:t>
      </w:r>
      <w:r w:rsidRPr="001268E7">
        <w:rPr>
          <w:rFonts w:cs="Calibri"/>
          <w:sz w:val="24"/>
          <w:szCs w:val="24"/>
          <w:lang w:eastAsia="pl-PL"/>
        </w:rPr>
        <w:t>0% wkładu UE na poziomie Programu.</w:t>
      </w:r>
      <w:r w:rsidR="004168BB" w:rsidRPr="001268E7">
        <w:rPr>
          <w:rFonts w:cs="Calibri"/>
          <w:bCs/>
          <w:color w:val="000000"/>
          <w:sz w:val="24"/>
          <w:szCs w:val="24"/>
        </w:rPr>
        <w:t xml:space="preserve"> </w:t>
      </w:r>
    </w:p>
    <w:p w:rsidR="004168BB" w:rsidRPr="001268E7" w:rsidRDefault="0089024E"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Orientacyjny</w:t>
      </w:r>
      <w:r w:rsidR="00426089" w:rsidRPr="001268E7">
        <w:rPr>
          <w:rFonts w:cs="Calibri"/>
          <w:bCs/>
          <w:color w:val="000000"/>
          <w:sz w:val="24"/>
          <w:szCs w:val="24"/>
        </w:rPr>
        <w:t xml:space="preserve"> wykaz działań:</w:t>
      </w:r>
      <w:r w:rsidR="004168BB" w:rsidRPr="001268E7">
        <w:rPr>
          <w:rFonts w:cs="Calibri"/>
          <w:bCs/>
          <w:color w:val="000000"/>
          <w:sz w:val="24"/>
          <w:szCs w:val="24"/>
        </w:rPr>
        <w:t xml:space="preserve"> </w:t>
      </w:r>
    </w:p>
    <w:p w:rsidR="00426089" w:rsidRPr="001268E7" w:rsidRDefault="00426089" w:rsidP="00246345">
      <w:pPr>
        <w:numPr>
          <w:ilvl w:val="0"/>
          <w:numId w:val="10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przygotowywanie, wybór, ocena i monitorowanie projektów,</w:t>
      </w:r>
      <w:r w:rsidRPr="001268E7">
        <w:rPr>
          <w:rFonts w:cs="Calibri"/>
          <w:color w:val="000000"/>
          <w:sz w:val="24"/>
          <w:szCs w:val="24"/>
        </w:rPr>
        <w:t xml:space="preserve"> </w:t>
      </w:r>
    </w:p>
    <w:p w:rsidR="00426089" w:rsidRPr="001268E7" w:rsidRDefault="00426089" w:rsidP="00246345">
      <w:pPr>
        <w:numPr>
          <w:ilvl w:val="0"/>
          <w:numId w:val="10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posiedzenia WKM (włączając koszty podróży członków WKM),</w:t>
      </w:r>
      <w:r w:rsidRPr="001268E7">
        <w:rPr>
          <w:rFonts w:cs="Calibri"/>
          <w:color w:val="000000"/>
          <w:sz w:val="24"/>
          <w:szCs w:val="24"/>
        </w:rPr>
        <w:t xml:space="preserve"> </w:t>
      </w:r>
    </w:p>
    <w:p w:rsidR="00526D82" w:rsidRPr="00526D82" w:rsidRDefault="00426089" w:rsidP="00246345">
      <w:pPr>
        <w:numPr>
          <w:ilvl w:val="0"/>
          <w:numId w:val="100"/>
        </w:numPr>
        <w:autoSpaceDE w:val="0"/>
        <w:autoSpaceDN w:val="0"/>
        <w:adjustRightInd w:val="0"/>
        <w:spacing w:before="100" w:beforeAutospacing="1" w:after="100" w:afterAutospacing="1" w:line="240" w:lineRule="auto"/>
        <w:jc w:val="both"/>
        <w:rPr>
          <w:rFonts w:cs="Calibri"/>
          <w:vanish/>
          <w:color w:val="000000"/>
          <w:sz w:val="24"/>
          <w:szCs w:val="24"/>
        </w:rPr>
      </w:pPr>
      <w:r w:rsidRPr="001268E7">
        <w:rPr>
          <w:rFonts w:cs="Calibri"/>
          <w:sz w:val="24"/>
          <w:szCs w:val="24"/>
          <w:lang w:eastAsia="pl-PL"/>
        </w:rPr>
        <w:t xml:space="preserve">funkcjonowanie IZ, </w:t>
      </w:r>
      <w:r w:rsidR="000A5ACE">
        <w:rPr>
          <w:rFonts w:cs="Calibri"/>
          <w:sz w:val="24"/>
          <w:szCs w:val="24"/>
          <w:lang w:eastAsia="pl-PL"/>
        </w:rPr>
        <w:t>WST</w:t>
      </w:r>
      <w:r w:rsidR="000A5ACE" w:rsidRPr="001268E7">
        <w:rPr>
          <w:rFonts w:cs="Calibri"/>
          <w:sz w:val="24"/>
          <w:szCs w:val="24"/>
          <w:lang w:eastAsia="pl-PL"/>
        </w:rPr>
        <w:t xml:space="preserve"> </w:t>
      </w:r>
      <w:r w:rsidRPr="001268E7">
        <w:rPr>
          <w:rFonts w:cs="Calibri"/>
          <w:sz w:val="24"/>
          <w:szCs w:val="24"/>
          <w:lang w:eastAsia="pl-PL"/>
        </w:rPr>
        <w:t>i Oddzia</w:t>
      </w:r>
      <w:r w:rsidR="000A5ACE">
        <w:rPr>
          <w:rFonts w:cs="Calibri"/>
          <w:sz w:val="24"/>
          <w:szCs w:val="24"/>
          <w:lang w:eastAsia="pl-PL"/>
        </w:rPr>
        <w:t>łu</w:t>
      </w:r>
      <w:r w:rsidRPr="001268E7">
        <w:rPr>
          <w:rFonts w:cs="Calibri"/>
          <w:sz w:val="24"/>
          <w:szCs w:val="24"/>
          <w:lang w:eastAsia="pl-PL"/>
        </w:rPr>
        <w:t>, KPK i IK.</w:t>
      </w:r>
      <w:r w:rsidRPr="001268E7">
        <w:rPr>
          <w:rFonts w:cs="Calibri"/>
          <w:color w:val="000000"/>
          <w:sz w:val="24"/>
          <w:szCs w:val="24"/>
        </w:rPr>
        <w:t xml:space="preserve"> </w:t>
      </w:r>
      <w:r w:rsidRPr="001268E7">
        <w:rPr>
          <w:rFonts w:cs="Calibri"/>
          <w:sz w:val="24"/>
          <w:szCs w:val="24"/>
          <w:lang w:eastAsia="pl-PL"/>
        </w:rPr>
        <w:t>Koszty dotyczące urzędników z państw uczestniczących przydzielonych do realizacji Programu mogą być uznane za kwalifikowane jako koszty PT.</w:t>
      </w:r>
      <w:r w:rsidRPr="001268E7">
        <w:rPr>
          <w:rFonts w:cs="Calibri"/>
          <w:color w:val="000000"/>
          <w:sz w:val="24"/>
          <w:szCs w:val="24"/>
        </w:rPr>
        <w:t xml:space="preserve"> </w:t>
      </w:r>
      <w:r w:rsidRPr="001268E7">
        <w:rPr>
          <w:rFonts w:cs="Calibri"/>
          <w:sz w:val="24"/>
          <w:szCs w:val="24"/>
          <w:lang w:eastAsia="pl-PL"/>
        </w:rPr>
        <w:t>Unika się równoległych systemów wynagrodzeń i dopłat uzupełniających,</w:t>
      </w:r>
    </w:p>
    <w:p w:rsidR="00426089" w:rsidRPr="001268E7" w:rsidRDefault="00426089" w:rsidP="00246345">
      <w:pPr>
        <w:numPr>
          <w:ilvl w:val="0"/>
          <w:numId w:val="100"/>
        </w:numPr>
        <w:autoSpaceDE w:val="0"/>
        <w:autoSpaceDN w:val="0"/>
        <w:adjustRightInd w:val="0"/>
        <w:spacing w:before="100" w:beforeAutospacing="1" w:after="100" w:afterAutospacing="1" w:line="240" w:lineRule="auto"/>
        <w:jc w:val="both"/>
        <w:rPr>
          <w:rFonts w:cs="Calibri"/>
          <w:vanish/>
          <w:color w:val="000000"/>
          <w:sz w:val="24"/>
          <w:szCs w:val="24"/>
        </w:rPr>
      </w:pPr>
      <w:r w:rsidRPr="001268E7">
        <w:rPr>
          <w:rFonts w:cs="Calibri"/>
          <w:color w:val="000000"/>
          <w:sz w:val="24"/>
          <w:szCs w:val="24"/>
        </w:rPr>
        <w:t xml:space="preserve"> </w:t>
      </w:r>
    </w:p>
    <w:p w:rsidR="00526D82" w:rsidRPr="00526D82" w:rsidRDefault="00526D82" w:rsidP="00246345">
      <w:pPr>
        <w:numPr>
          <w:ilvl w:val="0"/>
          <w:numId w:val="100"/>
        </w:numPr>
        <w:autoSpaceDE w:val="0"/>
        <w:autoSpaceDN w:val="0"/>
        <w:adjustRightInd w:val="0"/>
        <w:spacing w:before="100" w:beforeAutospacing="1" w:after="100" w:afterAutospacing="1" w:line="240" w:lineRule="auto"/>
        <w:jc w:val="both"/>
        <w:rPr>
          <w:rFonts w:cs="Calibri"/>
          <w:color w:val="000000"/>
          <w:sz w:val="24"/>
          <w:szCs w:val="24"/>
        </w:rPr>
      </w:pPr>
    </w:p>
    <w:p w:rsidR="00426089" w:rsidRPr="001268E7" w:rsidRDefault="00426089" w:rsidP="00246345">
      <w:pPr>
        <w:numPr>
          <w:ilvl w:val="0"/>
          <w:numId w:val="10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działania promocyjne i informacyjne dotyczące Programu (np. seminaria, strona internetowa Programu i publikacje),</w:t>
      </w:r>
      <w:r w:rsidRPr="001268E7">
        <w:rPr>
          <w:rFonts w:cs="Calibri"/>
          <w:color w:val="000000"/>
          <w:sz w:val="24"/>
          <w:szCs w:val="24"/>
        </w:rPr>
        <w:t xml:space="preserve"> </w:t>
      </w:r>
    </w:p>
    <w:p w:rsidR="00426089" w:rsidRPr="001268E7" w:rsidRDefault="00426089" w:rsidP="00246345">
      <w:pPr>
        <w:numPr>
          <w:ilvl w:val="0"/>
          <w:numId w:val="10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t>udzielanie wsparcia, konsultacje i koordynowanie beneficjentów i instytucji zaangażowanych w realizację Programu,</w:t>
      </w:r>
      <w:r w:rsidRPr="001268E7">
        <w:rPr>
          <w:rFonts w:cs="Calibri"/>
          <w:color w:val="000000"/>
          <w:sz w:val="24"/>
          <w:szCs w:val="24"/>
        </w:rPr>
        <w:t xml:space="preserve"> </w:t>
      </w:r>
    </w:p>
    <w:p w:rsidR="00426089" w:rsidRPr="001268E7" w:rsidRDefault="00426089" w:rsidP="00246345">
      <w:pPr>
        <w:numPr>
          <w:ilvl w:val="0"/>
          <w:numId w:val="10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sz w:val="24"/>
          <w:szCs w:val="24"/>
          <w:lang w:eastAsia="pl-PL"/>
        </w:rPr>
        <w:lastRenderedPageBreak/>
        <w:t>analizy, ankiety, badania i praca ekspertów, a także oceny i raporty konieczne do wdrożenia Programu i do zarządzania nim,</w:t>
      </w:r>
      <w:r w:rsidRPr="001268E7">
        <w:rPr>
          <w:rFonts w:cs="Calibri"/>
          <w:color w:val="000000"/>
          <w:sz w:val="24"/>
          <w:szCs w:val="24"/>
        </w:rPr>
        <w:t xml:space="preserve"> </w:t>
      </w:r>
    </w:p>
    <w:p w:rsidR="00426089" w:rsidRPr="001268E7" w:rsidRDefault="00426089" w:rsidP="00246345">
      <w:pPr>
        <w:numPr>
          <w:ilvl w:val="0"/>
          <w:numId w:val="100"/>
        </w:numPr>
        <w:autoSpaceDE w:val="0"/>
        <w:autoSpaceDN w:val="0"/>
        <w:adjustRightInd w:val="0"/>
        <w:spacing w:before="100" w:beforeAutospacing="1" w:after="100" w:afterAutospacing="1" w:line="240" w:lineRule="auto"/>
        <w:jc w:val="both"/>
        <w:rPr>
          <w:rFonts w:cs="Calibri"/>
          <w:color w:val="000000"/>
          <w:sz w:val="24"/>
          <w:szCs w:val="24"/>
        </w:rPr>
      </w:pPr>
      <w:r w:rsidRPr="001268E7">
        <w:rPr>
          <w:rFonts w:cs="Calibri"/>
          <w:color w:val="000000"/>
          <w:sz w:val="24"/>
          <w:szCs w:val="24"/>
        </w:rPr>
        <w:t xml:space="preserve">tłumaczenia. </w:t>
      </w:r>
    </w:p>
    <w:p w:rsidR="004168BB" w:rsidRPr="001268E7" w:rsidRDefault="00426089"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 xml:space="preserve">Zakładani beneficjenci: instytucje/organy zaangażowane w proces zarządzania i wdrażania Programu, włączając w szczególności IZ, WKM, </w:t>
      </w:r>
      <w:r w:rsidR="00C8721F">
        <w:rPr>
          <w:rFonts w:cs="Calibri"/>
          <w:sz w:val="24"/>
          <w:szCs w:val="24"/>
          <w:lang w:eastAsia="pl-PL"/>
        </w:rPr>
        <w:t>WST</w:t>
      </w:r>
      <w:r w:rsidR="00C8721F" w:rsidRPr="001268E7">
        <w:rPr>
          <w:rFonts w:cs="Calibri"/>
          <w:sz w:val="24"/>
          <w:szCs w:val="24"/>
          <w:lang w:eastAsia="pl-PL"/>
        </w:rPr>
        <w:t xml:space="preserve"> </w:t>
      </w:r>
      <w:r w:rsidRPr="001268E7">
        <w:rPr>
          <w:rFonts w:cs="Calibri"/>
          <w:sz w:val="24"/>
          <w:szCs w:val="24"/>
          <w:lang w:eastAsia="pl-PL"/>
        </w:rPr>
        <w:t>i Oddział, KPK oraz IK.</w:t>
      </w:r>
    </w:p>
    <w:p w:rsidR="004168BB" w:rsidRPr="001268E7" w:rsidRDefault="004168BB" w:rsidP="00426089">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 xml:space="preserve"> </w:t>
      </w:r>
      <w:r w:rsidR="00426089" w:rsidRPr="001268E7">
        <w:rPr>
          <w:rFonts w:cs="Calibri"/>
          <w:sz w:val="24"/>
          <w:szCs w:val="24"/>
          <w:lang w:eastAsia="pl-PL"/>
        </w:rPr>
        <w:t>Jeśli podczas wykorzystywania środków budżetu PT wymagane jest udzielenie zamówienia, stosowane postępowanie przeprowadzane jest zgodnie z następującymi zasadami:</w:t>
      </w:r>
      <w:r w:rsidRPr="001268E7">
        <w:rPr>
          <w:rFonts w:cs="Calibri"/>
          <w:bCs/>
          <w:color w:val="000000"/>
          <w:sz w:val="24"/>
          <w:szCs w:val="24"/>
        </w:rPr>
        <w:t xml:space="preserve"> </w:t>
      </w:r>
    </w:p>
    <w:p w:rsidR="00426089" w:rsidRPr="00447013" w:rsidRDefault="00426089" w:rsidP="00246345">
      <w:pPr>
        <w:numPr>
          <w:ilvl w:val="0"/>
          <w:numId w:val="100"/>
        </w:num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t>w przypadku podmiotu mającego siedzibę w państwie członkowskim zastosowanie mają krajowe przepisy, regulacje i przepisy administracyjne przyjęte w związku z przepisami Unii dotyczącymi udzielania zamówień publicznych lub przepisy w tym zakresie określone w Części Drugiej Tytuł IV Rozporządzenia (UE, Euratom) nr 966/2012 oraz Części Drugiej Tytuł II Rozporządzenia delegowanego (UE) nr 1268/2012;</w:t>
      </w:r>
      <w:r w:rsidRPr="00447013">
        <w:rPr>
          <w:rFonts w:cs="Calibri"/>
          <w:sz w:val="24"/>
          <w:szCs w:val="24"/>
          <w:lang w:eastAsia="pl-PL"/>
        </w:rPr>
        <w:t xml:space="preserve"> </w:t>
      </w:r>
    </w:p>
    <w:p w:rsidR="00426089" w:rsidRPr="00447013" w:rsidRDefault="00426089" w:rsidP="00246345">
      <w:pPr>
        <w:numPr>
          <w:ilvl w:val="0"/>
          <w:numId w:val="100"/>
        </w:num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t>na potrzeby zawierania umów z Oddział</w:t>
      </w:r>
      <w:r w:rsidR="00D54B4B" w:rsidRPr="001268E7">
        <w:rPr>
          <w:rFonts w:cs="Calibri"/>
          <w:sz w:val="24"/>
          <w:szCs w:val="24"/>
          <w:lang w:eastAsia="pl-PL"/>
        </w:rPr>
        <w:t>em</w:t>
      </w:r>
      <w:r w:rsidRPr="001268E7">
        <w:rPr>
          <w:rFonts w:cs="Calibri"/>
          <w:sz w:val="24"/>
          <w:szCs w:val="24"/>
          <w:lang w:eastAsia="pl-PL"/>
        </w:rPr>
        <w:t>, Program powinien stosować postanowienia PRAG w wersji mającej zastosowanie w momencie przyjęcia WPO przez KE;</w:t>
      </w:r>
      <w:r w:rsidRPr="00447013">
        <w:rPr>
          <w:rFonts w:cs="Calibri"/>
          <w:sz w:val="24"/>
          <w:szCs w:val="24"/>
          <w:lang w:eastAsia="pl-PL"/>
        </w:rPr>
        <w:t xml:space="preserve"> </w:t>
      </w:r>
    </w:p>
    <w:p w:rsidR="00426089" w:rsidRPr="00447013" w:rsidRDefault="00426089" w:rsidP="00246345">
      <w:pPr>
        <w:numPr>
          <w:ilvl w:val="0"/>
          <w:numId w:val="100"/>
        </w:num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t>we wszystkich innych przypadkach odpowiednie zasady udzielani</w:t>
      </w:r>
      <w:r w:rsidR="00D54B4B" w:rsidRPr="001268E7">
        <w:rPr>
          <w:rFonts w:cs="Calibri"/>
          <w:sz w:val="24"/>
          <w:szCs w:val="24"/>
          <w:lang w:eastAsia="pl-PL"/>
        </w:rPr>
        <w:t>a zamówień określa się w umowie finansowej, o której</w:t>
      </w:r>
      <w:r w:rsidR="002E4F70" w:rsidRPr="001268E7">
        <w:rPr>
          <w:rFonts w:cs="Calibri"/>
          <w:sz w:val="24"/>
          <w:szCs w:val="24"/>
          <w:lang w:eastAsia="pl-PL"/>
        </w:rPr>
        <w:t xml:space="preserve"> mowa w art. 8 i 9 R</w:t>
      </w:r>
      <w:r w:rsidRPr="001268E7">
        <w:rPr>
          <w:rFonts w:cs="Calibri"/>
          <w:sz w:val="24"/>
          <w:szCs w:val="24"/>
          <w:lang w:eastAsia="pl-PL"/>
        </w:rPr>
        <w:t>W.</w:t>
      </w:r>
      <w:r w:rsidR="00650AC0" w:rsidRPr="00447013">
        <w:rPr>
          <w:rFonts w:cs="Calibri"/>
          <w:sz w:val="24"/>
          <w:szCs w:val="24"/>
          <w:lang w:eastAsia="pl-PL"/>
        </w:rPr>
        <w:t xml:space="preserve"> </w:t>
      </w:r>
    </w:p>
    <w:p w:rsidR="004168BB" w:rsidRPr="001268E7" w:rsidRDefault="00426089" w:rsidP="00447013">
      <w:pPr>
        <w:autoSpaceDE w:val="0"/>
        <w:autoSpaceDN w:val="0"/>
        <w:adjustRightInd w:val="0"/>
        <w:spacing w:before="100" w:beforeAutospacing="1" w:after="100" w:afterAutospacing="1" w:line="240" w:lineRule="auto"/>
        <w:jc w:val="both"/>
        <w:rPr>
          <w:rFonts w:cs="Calibri"/>
          <w:sz w:val="24"/>
          <w:szCs w:val="24"/>
          <w:lang w:eastAsia="pl-PL"/>
        </w:rPr>
      </w:pPr>
      <w:r w:rsidRPr="001268E7">
        <w:rPr>
          <w:rFonts w:cs="Calibri"/>
          <w:sz w:val="24"/>
          <w:szCs w:val="24"/>
          <w:lang w:eastAsia="pl-PL"/>
        </w:rPr>
        <w:t xml:space="preserve">Działania przygotowawcze Programu (np. organizacja spotkania WKP, opracowanie różnych ekspertyz zewnętrznych) były prowadzone od 2013 r. i były finansowane z PWT EISP Litwa-Polska-Rosja 2007-2013. </w:t>
      </w:r>
      <w:r w:rsidR="00024D1C">
        <w:rPr>
          <w:rFonts w:cs="Calibri"/>
          <w:sz w:val="24"/>
          <w:szCs w:val="24"/>
          <w:lang w:eastAsia="pl-PL"/>
        </w:rPr>
        <w:t xml:space="preserve">Jak wskazano w Decyzji wykonawczej Komisji C(2015) 9211 z 18.12.2015 </w:t>
      </w:r>
      <w:r w:rsidRPr="001268E7">
        <w:rPr>
          <w:rFonts w:cs="Calibri"/>
          <w:sz w:val="24"/>
          <w:szCs w:val="24"/>
          <w:lang w:eastAsia="pl-PL"/>
        </w:rPr>
        <w:t>modyfikującej PWT EISP Litwa-Polska-Rosja 2007-2013, budżet PT tego Programu będzie</w:t>
      </w:r>
      <w:r w:rsidR="00A42D28">
        <w:rPr>
          <w:rFonts w:cs="Calibri"/>
          <w:sz w:val="24"/>
          <w:szCs w:val="24"/>
          <w:lang w:eastAsia="pl-PL"/>
        </w:rPr>
        <w:t xml:space="preserve"> wykorzystywany do kontynuacji </w:t>
      </w:r>
      <w:r w:rsidRPr="001268E7">
        <w:rPr>
          <w:rFonts w:cs="Calibri"/>
          <w:sz w:val="24"/>
          <w:szCs w:val="24"/>
          <w:lang w:eastAsia="pl-PL"/>
        </w:rPr>
        <w:t>finansowa</w:t>
      </w:r>
      <w:r w:rsidR="00A42D28">
        <w:rPr>
          <w:rFonts w:cs="Calibri"/>
          <w:sz w:val="24"/>
          <w:szCs w:val="24"/>
          <w:lang w:eastAsia="pl-PL"/>
        </w:rPr>
        <w:t>nia</w:t>
      </w:r>
      <w:r w:rsidRPr="001268E7">
        <w:rPr>
          <w:rFonts w:cs="Calibri"/>
          <w:sz w:val="24"/>
          <w:szCs w:val="24"/>
          <w:lang w:eastAsia="pl-PL"/>
        </w:rPr>
        <w:t xml:space="preserve"> działa</w:t>
      </w:r>
      <w:r w:rsidR="00A42D28">
        <w:rPr>
          <w:rFonts w:cs="Calibri"/>
          <w:sz w:val="24"/>
          <w:szCs w:val="24"/>
          <w:lang w:eastAsia="pl-PL"/>
        </w:rPr>
        <w:t>ń</w:t>
      </w:r>
      <w:r w:rsidRPr="001268E7">
        <w:rPr>
          <w:rFonts w:cs="Calibri"/>
          <w:sz w:val="24"/>
          <w:szCs w:val="24"/>
          <w:lang w:eastAsia="pl-PL"/>
        </w:rPr>
        <w:t xml:space="preserve"> przygotowawcz</w:t>
      </w:r>
      <w:r w:rsidR="00A42D28">
        <w:rPr>
          <w:rFonts w:cs="Calibri"/>
          <w:sz w:val="24"/>
          <w:szCs w:val="24"/>
          <w:lang w:eastAsia="pl-PL"/>
        </w:rPr>
        <w:t>ych</w:t>
      </w:r>
      <w:r w:rsidRPr="001268E7">
        <w:rPr>
          <w:rFonts w:cs="Calibri"/>
          <w:sz w:val="24"/>
          <w:szCs w:val="24"/>
          <w:lang w:eastAsia="pl-PL"/>
        </w:rPr>
        <w:t xml:space="preserve"> dla Programu</w:t>
      </w:r>
      <w:r w:rsidR="00A42D28">
        <w:rPr>
          <w:rFonts w:cs="Calibri"/>
          <w:sz w:val="24"/>
          <w:szCs w:val="24"/>
          <w:lang w:eastAsia="pl-PL"/>
        </w:rPr>
        <w:t xml:space="preserve"> Polska-Rosja 2014-2020</w:t>
      </w:r>
      <w:r w:rsidRPr="001268E7">
        <w:rPr>
          <w:rFonts w:cs="Calibri"/>
          <w:sz w:val="24"/>
          <w:szCs w:val="24"/>
          <w:lang w:eastAsia="pl-PL"/>
        </w:rPr>
        <w:t xml:space="preserve"> do </w:t>
      </w:r>
      <w:r w:rsidR="00A42D28">
        <w:rPr>
          <w:rFonts w:cs="Calibri"/>
          <w:sz w:val="24"/>
          <w:szCs w:val="24"/>
          <w:lang w:eastAsia="pl-PL"/>
        </w:rPr>
        <w:t xml:space="preserve">momentu </w:t>
      </w:r>
      <w:r w:rsidRPr="001268E7">
        <w:rPr>
          <w:rFonts w:cs="Calibri"/>
          <w:sz w:val="24"/>
          <w:szCs w:val="24"/>
          <w:lang w:eastAsia="pl-PL"/>
        </w:rPr>
        <w:t xml:space="preserve">otrzymania pierwszej zaliczki w ramach </w:t>
      </w:r>
      <w:r w:rsidR="002C24EE">
        <w:rPr>
          <w:rFonts w:cs="Calibri"/>
          <w:sz w:val="24"/>
          <w:szCs w:val="24"/>
          <w:lang w:eastAsia="pl-PL"/>
        </w:rPr>
        <w:t>tego</w:t>
      </w:r>
      <w:r w:rsidR="002C24EE" w:rsidRPr="001268E7">
        <w:rPr>
          <w:rFonts w:cs="Calibri"/>
          <w:sz w:val="24"/>
          <w:szCs w:val="24"/>
          <w:lang w:eastAsia="pl-PL"/>
        </w:rPr>
        <w:t xml:space="preserve"> </w:t>
      </w:r>
      <w:r w:rsidRPr="001268E7">
        <w:rPr>
          <w:rFonts w:cs="Calibri"/>
          <w:sz w:val="24"/>
          <w:szCs w:val="24"/>
          <w:lang w:eastAsia="pl-PL"/>
        </w:rPr>
        <w:t>Programu.</w:t>
      </w:r>
      <w:r w:rsidR="004168BB" w:rsidRPr="00447013">
        <w:rPr>
          <w:rFonts w:cs="Calibri"/>
          <w:sz w:val="24"/>
          <w:szCs w:val="24"/>
          <w:lang w:eastAsia="pl-PL"/>
        </w:rPr>
        <w:t xml:space="preserve"> </w:t>
      </w:r>
      <w:r w:rsidRPr="001268E7">
        <w:rPr>
          <w:rFonts w:cs="Calibri"/>
          <w:sz w:val="24"/>
          <w:szCs w:val="24"/>
          <w:lang w:eastAsia="pl-PL"/>
        </w:rPr>
        <w:t>Jednocześnie, w razie potrzeby, powinno być możliwe finansowanie działań przygotowawczych</w:t>
      </w:r>
      <w:r w:rsidR="002E4F70" w:rsidRPr="001268E7">
        <w:rPr>
          <w:rFonts w:cs="Calibri"/>
          <w:sz w:val="24"/>
          <w:szCs w:val="24"/>
          <w:lang w:eastAsia="pl-PL"/>
        </w:rPr>
        <w:t>, o których mowa w artykule 16 R</w:t>
      </w:r>
      <w:r w:rsidRPr="001268E7">
        <w:rPr>
          <w:rFonts w:cs="Calibri"/>
          <w:sz w:val="24"/>
          <w:szCs w:val="24"/>
          <w:lang w:eastAsia="pl-PL"/>
        </w:rPr>
        <w:t>W</w:t>
      </w:r>
      <w:r w:rsidR="00D54B4B" w:rsidRPr="001268E7">
        <w:rPr>
          <w:rFonts w:cs="Calibri"/>
          <w:sz w:val="24"/>
          <w:szCs w:val="24"/>
          <w:lang w:eastAsia="pl-PL"/>
        </w:rPr>
        <w:t>,</w:t>
      </w:r>
      <w:r w:rsidRPr="001268E7">
        <w:rPr>
          <w:rFonts w:cs="Calibri"/>
          <w:sz w:val="24"/>
          <w:szCs w:val="24"/>
          <w:lang w:eastAsia="pl-PL"/>
        </w:rPr>
        <w:t xml:space="preserve"> również z PWT EIS Polska-Rosja 2014-2020. W tym przypadku koszty działań przygotowawczych</w:t>
      </w:r>
      <w:r w:rsidR="002E4F70" w:rsidRPr="001268E7">
        <w:rPr>
          <w:rFonts w:cs="Calibri"/>
          <w:sz w:val="24"/>
          <w:szCs w:val="24"/>
          <w:lang w:eastAsia="pl-PL"/>
        </w:rPr>
        <w:t>, o których mowa w artykule 16 R</w:t>
      </w:r>
      <w:r w:rsidRPr="001268E7">
        <w:rPr>
          <w:rFonts w:cs="Calibri"/>
          <w:sz w:val="24"/>
          <w:szCs w:val="24"/>
          <w:lang w:eastAsia="pl-PL"/>
        </w:rPr>
        <w:t>W, są kwalifikowalne po przedstawieniu Programu Komisji, jednak nie wcześniej niż 1 stycznia 2014 r., pod warunkiem, że Program został zatwierdzony pr</w:t>
      </w:r>
      <w:r w:rsidR="002E4F70" w:rsidRPr="001268E7">
        <w:rPr>
          <w:rFonts w:cs="Calibri"/>
          <w:sz w:val="24"/>
          <w:szCs w:val="24"/>
          <w:lang w:eastAsia="pl-PL"/>
        </w:rPr>
        <w:t>zez Komisję, zgodnie z art. 36 R</w:t>
      </w:r>
      <w:r w:rsidRPr="001268E7">
        <w:rPr>
          <w:rFonts w:cs="Calibri"/>
          <w:sz w:val="24"/>
          <w:szCs w:val="24"/>
          <w:lang w:eastAsia="pl-PL"/>
        </w:rPr>
        <w:t>W.</w:t>
      </w:r>
      <w:r w:rsidR="004168BB" w:rsidRPr="00447013">
        <w:rPr>
          <w:rFonts w:cs="Calibri"/>
          <w:sz w:val="24"/>
          <w:szCs w:val="24"/>
          <w:lang w:eastAsia="pl-PL"/>
        </w:rPr>
        <w:t xml:space="preserve"> </w:t>
      </w:r>
    </w:p>
    <w:p w:rsidR="004168BB" w:rsidRPr="001268E7" w:rsidRDefault="00665500" w:rsidP="00665500">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Umow</w:t>
      </w:r>
      <w:r w:rsidR="00684887">
        <w:rPr>
          <w:rFonts w:cs="Calibri"/>
          <w:b/>
          <w:i/>
          <w:sz w:val="24"/>
          <w:szCs w:val="24"/>
          <w:u w:val="single"/>
        </w:rPr>
        <w:t>a</w:t>
      </w:r>
      <w:r w:rsidRPr="001268E7">
        <w:rPr>
          <w:rFonts w:cs="Calibri"/>
          <w:b/>
          <w:i/>
          <w:sz w:val="24"/>
          <w:szCs w:val="24"/>
          <w:u w:val="single"/>
        </w:rPr>
        <w:t xml:space="preserve"> serwisow</w:t>
      </w:r>
      <w:r w:rsidR="00684887">
        <w:rPr>
          <w:rFonts w:cs="Calibri"/>
          <w:b/>
          <w:i/>
          <w:sz w:val="24"/>
          <w:szCs w:val="24"/>
          <w:u w:val="single"/>
        </w:rPr>
        <w:t>a</w:t>
      </w:r>
      <w:r w:rsidRPr="001268E7">
        <w:rPr>
          <w:rFonts w:cs="Calibri"/>
          <w:b/>
          <w:i/>
          <w:sz w:val="24"/>
          <w:szCs w:val="24"/>
          <w:u w:val="single"/>
        </w:rPr>
        <w:t xml:space="preserve"> ustanawiając</w:t>
      </w:r>
      <w:r w:rsidR="00684887">
        <w:rPr>
          <w:rFonts w:cs="Calibri"/>
          <w:b/>
          <w:i/>
          <w:sz w:val="24"/>
          <w:szCs w:val="24"/>
          <w:u w:val="single"/>
        </w:rPr>
        <w:t>a</w:t>
      </w:r>
      <w:r w:rsidRPr="001268E7">
        <w:rPr>
          <w:rFonts w:cs="Calibri"/>
          <w:b/>
          <w:i/>
          <w:sz w:val="24"/>
          <w:szCs w:val="24"/>
          <w:u w:val="single"/>
        </w:rPr>
        <w:t xml:space="preserve"> Oddział</w:t>
      </w:r>
      <w:r w:rsidR="004168BB" w:rsidRPr="001268E7">
        <w:rPr>
          <w:rFonts w:cs="Calibri"/>
          <w:b/>
          <w:i/>
          <w:sz w:val="24"/>
          <w:szCs w:val="24"/>
          <w:u w:val="single"/>
        </w:rPr>
        <w:t xml:space="preserve"> </w:t>
      </w:r>
    </w:p>
    <w:p w:rsidR="004168BB" w:rsidRPr="001268E7" w:rsidRDefault="00D54B4B" w:rsidP="00FF422A">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Umow</w:t>
      </w:r>
      <w:r w:rsidR="0087656E">
        <w:rPr>
          <w:rFonts w:cs="Calibri"/>
          <w:sz w:val="24"/>
          <w:szCs w:val="24"/>
          <w:lang w:eastAsia="pl-PL"/>
        </w:rPr>
        <w:t>a</w:t>
      </w:r>
      <w:r w:rsidRPr="001268E7">
        <w:rPr>
          <w:rFonts w:cs="Calibri"/>
          <w:sz w:val="24"/>
          <w:szCs w:val="24"/>
          <w:lang w:eastAsia="pl-PL"/>
        </w:rPr>
        <w:t xml:space="preserve"> serwisow</w:t>
      </w:r>
      <w:r w:rsidR="0087656E">
        <w:rPr>
          <w:rFonts w:cs="Calibri"/>
          <w:sz w:val="24"/>
          <w:szCs w:val="24"/>
          <w:lang w:eastAsia="pl-PL"/>
        </w:rPr>
        <w:t>a</w:t>
      </w:r>
      <w:r w:rsidRPr="001268E7">
        <w:rPr>
          <w:rFonts w:cs="Calibri"/>
          <w:sz w:val="24"/>
          <w:szCs w:val="24"/>
          <w:lang w:eastAsia="pl-PL"/>
        </w:rPr>
        <w:t xml:space="preserve"> ustanawiając</w:t>
      </w:r>
      <w:r w:rsidR="0087656E">
        <w:rPr>
          <w:rFonts w:cs="Calibri"/>
          <w:sz w:val="24"/>
          <w:szCs w:val="24"/>
          <w:lang w:eastAsia="pl-PL"/>
        </w:rPr>
        <w:t>a</w:t>
      </w:r>
      <w:r w:rsidR="00665500" w:rsidRPr="001268E7">
        <w:rPr>
          <w:rFonts w:cs="Calibri"/>
          <w:sz w:val="24"/>
          <w:szCs w:val="24"/>
          <w:lang w:eastAsia="pl-PL"/>
        </w:rPr>
        <w:t xml:space="preserve"> Oddział w Rosji zawieran</w:t>
      </w:r>
      <w:r w:rsidR="006A4040">
        <w:rPr>
          <w:rFonts w:cs="Calibri"/>
          <w:sz w:val="24"/>
          <w:szCs w:val="24"/>
          <w:lang w:eastAsia="pl-PL"/>
        </w:rPr>
        <w:t>a</w:t>
      </w:r>
      <w:r w:rsidR="00665500" w:rsidRPr="001268E7">
        <w:rPr>
          <w:rFonts w:cs="Calibri"/>
          <w:sz w:val="24"/>
          <w:szCs w:val="24"/>
          <w:lang w:eastAsia="pl-PL"/>
        </w:rPr>
        <w:t xml:space="preserve"> będ</w:t>
      </w:r>
      <w:r w:rsidR="006A4040">
        <w:rPr>
          <w:rFonts w:cs="Calibri"/>
          <w:sz w:val="24"/>
          <w:szCs w:val="24"/>
          <w:lang w:eastAsia="pl-PL"/>
        </w:rPr>
        <w:t>zie</w:t>
      </w:r>
      <w:r w:rsidR="00665500" w:rsidRPr="001268E7">
        <w:rPr>
          <w:rFonts w:cs="Calibri"/>
          <w:sz w:val="24"/>
          <w:szCs w:val="24"/>
          <w:lang w:eastAsia="pl-PL"/>
        </w:rPr>
        <w:t xml:space="preserve"> w następstwie przeprowadzenia procedury negocjacyjnej na podstawie jednej oferty, uw</w:t>
      </w:r>
      <w:r w:rsidR="00A22945" w:rsidRPr="001268E7">
        <w:rPr>
          <w:rFonts w:cs="Calibri"/>
          <w:sz w:val="24"/>
          <w:szCs w:val="24"/>
          <w:lang w:eastAsia="pl-PL"/>
        </w:rPr>
        <w:t>zględniając sytuację</w:t>
      </w:r>
      <w:r w:rsidR="00665500" w:rsidRPr="001268E7">
        <w:rPr>
          <w:rFonts w:cs="Calibri"/>
          <w:sz w:val="24"/>
          <w:szCs w:val="24"/>
          <w:lang w:eastAsia="pl-PL"/>
        </w:rPr>
        <w:t>, gdy z przyczyn technicznych zamówienie może zostać udzielone tylko jednemu, konkretnemu usługodawcy (art.</w:t>
      </w:r>
      <w:r w:rsidR="004168BB" w:rsidRPr="001268E7">
        <w:rPr>
          <w:rFonts w:cs="Calibri"/>
          <w:bCs/>
          <w:color w:val="000000"/>
          <w:sz w:val="24"/>
          <w:szCs w:val="24"/>
        </w:rPr>
        <w:t xml:space="preserve"> </w:t>
      </w:r>
      <w:r w:rsidR="00FF422A" w:rsidRPr="001268E7">
        <w:rPr>
          <w:rFonts w:cs="Calibri"/>
          <w:sz w:val="24"/>
          <w:szCs w:val="24"/>
          <w:lang w:eastAsia="pl-PL"/>
        </w:rPr>
        <w:t>266 Rozporządzenia delegowanego (UE, Euratom) nr 1268/2012).</w:t>
      </w:r>
      <w:r w:rsidR="004168BB" w:rsidRPr="001268E7">
        <w:rPr>
          <w:rFonts w:cs="Calibri"/>
          <w:bCs/>
          <w:color w:val="000000"/>
          <w:sz w:val="24"/>
          <w:szCs w:val="24"/>
        </w:rPr>
        <w:t xml:space="preserve"> </w:t>
      </w:r>
    </w:p>
    <w:p w:rsidR="004168BB" w:rsidRPr="001268E7" w:rsidRDefault="00FF422A" w:rsidP="004005B2">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Zgodnie z postanowieniami art.</w:t>
      </w:r>
      <w:r w:rsidR="004168BB" w:rsidRPr="001268E7">
        <w:rPr>
          <w:rFonts w:cs="Calibri"/>
          <w:bCs/>
          <w:color w:val="000000"/>
          <w:sz w:val="24"/>
          <w:szCs w:val="24"/>
        </w:rPr>
        <w:t xml:space="preserve"> </w:t>
      </w:r>
      <w:r w:rsidR="002E4F70" w:rsidRPr="001268E7">
        <w:rPr>
          <w:rFonts w:cs="Calibri"/>
          <w:bCs/>
          <w:color w:val="000000"/>
          <w:sz w:val="24"/>
          <w:szCs w:val="24"/>
        </w:rPr>
        <w:t>37 R</w:t>
      </w:r>
      <w:r w:rsidR="00800E36" w:rsidRPr="001268E7">
        <w:rPr>
          <w:rFonts w:cs="Calibri"/>
          <w:bCs/>
          <w:color w:val="000000"/>
          <w:sz w:val="24"/>
          <w:szCs w:val="24"/>
        </w:rPr>
        <w:t>W</w:t>
      </w:r>
      <w:r w:rsidRPr="001268E7">
        <w:rPr>
          <w:rFonts w:cs="Calibri"/>
          <w:bCs/>
          <w:color w:val="000000"/>
          <w:sz w:val="24"/>
          <w:szCs w:val="24"/>
        </w:rPr>
        <w:t>, art.</w:t>
      </w:r>
      <w:r w:rsidR="004168BB" w:rsidRPr="001268E7">
        <w:rPr>
          <w:rFonts w:cs="Calibri"/>
          <w:bCs/>
          <w:color w:val="000000"/>
          <w:sz w:val="24"/>
          <w:szCs w:val="24"/>
        </w:rPr>
        <w:t xml:space="preserve"> </w:t>
      </w:r>
      <w:r w:rsidRPr="001268E7">
        <w:rPr>
          <w:rFonts w:cs="Calibri"/>
          <w:sz w:val="24"/>
          <w:szCs w:val="24"/>
          <w:lang w:eastAsia="pl-PL"/>
        </w:rPr>
        <w:t>273 Rozporządzenia delegowanego (UE) nr 1268/2012 oraz zgodnie z decyzją podjętą przez WKP post</w:t>
      </w:r>
      <w:r w:rsidR="00800E36" w:rsidRPr="001268E7">
        <w:rPr>
          <w:rFonts w:cs="Calibri"/>
          <w:sz w:val="24"/>
          <w:szCs w:val="24"/>
          <w:lang w:eastAsia="pl-PL"/>
        </w:rPr>
        <w:t>anowiono, że dokumentacja um</w:t>
      </w:r>
      <w:r w:rsidR="007C0629">
        <w:rPr>
          <w:rFonts w:cs="Calibri"/>
          <w:sz w:val="24"/>
          <w:szCs w:val="24"/>
          <w:lang w:eastAsia="pl-PL"/>
        </w:rPr>
        <w:t>owy</w:t>
      </w:r>
      <w:r w:rsidR="00800E36" w:rsidRPr="001268E7">
        <w:rPr>
          <w:rFonts w:cs="Calibri"/>
          <w:sz w:val="24"/>
          <w:szCs w:val="24"/>
          <w:lang w:eastAsia="pl-PL"/>
        </w:rPr>
        <w:t xml:space="preserve"> serwisow</w:t>
      </w:r>
      <w:r w:rsidR="007C0629">
        <w:rPr>
          <w:rFonts w:cs="Calibri"/>
          <w:sz w:val="24"/>
          <w:szCs w:val="24"/>
          <w:lang w:eastAsia="pl-PL"/>
        </w:rPr>
        <w:t>ej</w:t>
      </w:r>
      <w:r w:rsidRPr="001268E7">
        <w:rPr>
          <w:rFonts w:cs="Calibri"/>
          <w:sz w:val="24"/>
          <w:szCs w:val="24"/>
          <w:lang w:eastAsia="pl-PL"/>
        </w:rPr>
        <w:t>, na mocy któr</w:t>
      </w:r>
      <w:r w:rsidR="007C0629">
        <w:rPr>
          <w:rFonts w:cs="Calibri"/>
          <w:sz w:val="24"/>
          <w:szCs w:val="24"/>
          <w:lang w:eastAsia="pl-PL"/>
        </w:rPr>
        <w:t>ej</w:t>
      </w:r>
      <w:r w:rsidRPr="001268E7">
        <w:rPr>
          <w:rFonts w:cs="Calibri"/>
          <w:sz w:val="24"/>
          <w:szCs w:val="24"/>
          <w:lang w:eastAsia="pl-PL"/>
        </w:rPr>
        <w:t xml:space="preserve"> powołan</w:t>
      </w:r>
      <w:r w:rsidR="007C0629">
        <w:rPr>
          <w:rFonts w:cs="Calibri"/>
          <w:sz w:val="24"/>
          <w:szCs w:val="24"/>
          <w:lang w:eastAsia="pl-PL"/>
        </w:rPr>
        <w:t>y</w:t>
      </w:r>
      <w:r w:rsidRPr="001268E7">
        <w:rPr>
          <w:rFonts w:cs="Calibri"/>
          <w:sz w:val="24"/>
          <w:szCs w:val="24"/>
          <w:lang w:eastAsia="pl-PL"/>
        </w:rPr>
        <w:t xml:space="preserve"> zostan</w:t>
      </w:r>
      <w:r w:rsidR="007C0629">
        <w:rPr>
          <w:rFonts w:cs="Calibri"/>
          <w:sz w:val="24"/>
          <w:szCs w:val="24"/>
          <w:lang w:eastAsia="pl-PL"/>
        </w:rPr>
        <w:t>ie</w:t>
      </w:r>
      <w:r w:rsidRPr="001268E7">
        <w:rPr>
          <w:rFonts w:cs="Calibri"/>
          <w:sz w:val="24"/>
          <w:szCs w:val="24"/>
          <w:lang w:eastAsia="pl-PL"/>
        </w:rPr>
        <w:t xml:space="preserve"> Oddział w Rosji w ramach Programu</w:t>
      </w:r>
      <w:r w:rsidR="00800E36" w:rsidRPr="001268E7">
        <w:rPr>
          <w:rFonts w:cs="Calibri"/>
          <w:sz w:val="24"/>
          <w:szCs w:val="24"/>
          <w:lang w:eastAsia="pl-PL"/>
        </w:rPr>
        <w:t>,</w:t>
      </w:r>
      <w:r w:rsidRPr="001268E7">
        <w:rPr>
          <w:rFonts w:cs="Calibri"/>
          <w:sz w:val="24"/>
          <w:szCs w:val="24"/>
          <w:lang w:eastAsia="pl-PL"/>
        </w:rPr>
        <w:t xml:space="preserve"> przygotowana zostanie na podstawie</w:t>
      </w:r>
      <w:r w:rsidR="004005B2" w:rsidRPr="001268E7">
        <w:rPr>
          <w:rFonts w:cs="Calibri"/>
          <w:sz w:val="24"/>
          <w:szCs w:val="24"/>
          <w:lang w:eastAsia="pl-PL"/>
        </w:rPr>
        <w:t xml:space="preserve"> P</w:t>
      </w:r>
      <w:r w:rsidR="00800E36" w:rsidRPr="001268E7">
        <w:rPr>
          <w:rFonts w:cs="Calibri"/>
          <w:sz w:val="24"/>
          <w:szCs w:val="24"/>
          <w:lang w:eastAsia="pl-PL"/>
        </w:rPr>
        <w:t xml:space="preserve">raktycznego przewodnika po procedurach udzielania </w:t>
      </w:r>
      <w:r w:rsidR="00800E36" w:rsidRPr="001268E7">
        <w:rPr>
          <w:rFonts w:cs="Calibri"/>
          <w:sz w:val="24"/>
          <w:szCs w:val="24"/>
          <w:lang w:eastAsia="pl-PL"/>
        </w:rPr>
        <w:lastRenderedPageBreak/>
        <w:t>zamówień publicznych i dotacji na potrzeby działań zewnętrznych UE (PRAG), który stanowi najlepsze międzynarodowe praktyki</w:t>
      </w:r>
      <w:r w:rsidRPr="001268E7">
        <w:rPr>
          <w:rFonts w:ascii="Calibri,Italic" w:hAnsi="Calibri,Italic" w:cs="Calibri,Italic"/>
          <w:i/>
          <w:iCs/>
          <w:sz w:val="24"/>
          <w:szCs w:val="24"/>
          <w:lang w:eastAsia="pl-PL"/>
        </w:rPr>
        <w:t xml:space="preserve"> </w:t>
      </w:r>
      <w:r w:rsidRPr="001268E7">
        <w:rPr>
          <w:rFonts w:cs="Calibri"/>
          <w:sz w:val="24"/>
          <w:szCs w:val="24"/>
          <w:lang w:eastAsia="pl-PL"/>
        </w:rPr>
        <w:t>(w wersji obowiązującej w momencie zatwierdzenia</w:t>
      </w:r>
      <w:r w:rsidR="00800E36" w:rsidRPr="001268E7">
        <w:rPr>
          <w:rFonts w:cs="Calibri"/>
          <w:sz w:val="24"/>
          <w:szCs w:val="24"/>
          <w:lang w:eastAsia="pl-PL"/>
        </w:rPr>
        <w:t xml:space="preserve"> WPO</w:t>
      </w:r>
      <w:r w:rsidR="004005B2" w:rsidRPr="001268E7">
        <w:rPr>
          <w:rFonts w:cs="Calibri"/>
          <w:sz w:val="24"/>
          <w:szCs w:val="24"/>
          <w:lang w:eastAsia="pl-PL"/>
        </w:rPr>
        <w:t>), z uwzględnieniem, w razie konieczności</w:t>
      </w:r>
      <w:r w:rsidR="00800E36" w:rsidRPr="001268E7">
        <w:rPr>
          <w:rFonts w:cs="Calibri"/>
          <w:sz w:val="24"/>
          <w:szCs w:val="24"/>
          <w:lang w:eastAsia="pl-PL"/>
        </w:rPr>
        <w:t>,</w:t>
      </w:r>
      <w:r w:rsidR="004005B2" w:rsidRPr="001268E7">
        <w:rPr>
          <w:rFonts w:cs="Calibri"/>
          <w:sz w:val="24"/>
          <w:szCs w:val="24"/>
          <w:lang w:eastAsia="pl-PL"/>
        </w:rPr>
        <w:t xml:space="preserve"> k</w:t>
      </w:r>
      <w:r w:rsidR="00755418" w:rsidRPr="001268E7">
        <w:rPr>
          <w:rFonts w:cs="Calibri"/>
          <w:sz w:val="24"/>
          <w:szCs w:val="24"/>
          <w:lang w:eastAsia="pl-PL"/>
        </w:rPr>
        <w:t>orekt wynikających z decyzji IZ</w:t>
      </w:r>
      <w:r w:rsidR="004005B2" w:rsidRPr="001268E7">
        <w:rPr>
          <w:rFonts w:cs="Calibri"/>
          <w:sz w:val="24"/>
          <w:szCs w:val="24"/>
          <w:lang w:eastAsia="pl-PL"/>
        </w:rPr>
        <w:t>.</w:t>
      </w:r>
      <w:r w:rsidR="004168BB" w:rsidRPr="001268E7">
        <w:rPr>
          <w:rFonts w:cs="Calibri"/>
          <w:bCs/>
          <w:color w:val="000000"/>
          <w:sz w:val="24"/>
          <w:szCs w:val="24"/>
        </w:rPr>
        <w:t xml:space="preserve"> </w:t>
      </w:r>
    </w:p>
    <w:p w:rsidR="004168BB" w:rsidRPr="001268E7" w:rsidRDefault="004005B2" w:rsidP="004005B2">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Zak</w:t>
      </w:r>
      <w:r w:rsidR="00755418" w:rsidRPr="001268E7">
        <w:rPr>
          <w:rFonts w:cs="Calibri"/>
          <w:bCs/>
          <w:color w:val="000000"/>
          <w:sz w:val="24"/>
          <w:szCs w:val="24"/>
        </w:rPr>
        <w:t>res głównych zadań realizowanych w ramach um</w:t>
      </w:r>
      <w:r w:rsidR="00BE01DF">
        <w:rPr>
          <w:rFonts w:cs="Calibri"/>
          <w:bCs/>
          <w:color w:val="000000"/>
          <w:sz w:val="24"/>
          <w:szCs w:val="24"/>
        </w:rPr>
        <w:t>owy</w:t>
      </w:r>
      <w:r w:rsidR="00755418" w:rsidRPr="001268E7">
        <w:rPr>
          <w:rFonts w:cs="Calibri"/>
          <w:bCs/>
          <w:color w:val="000000"/>
          <w:sz w:val="24"/>
          <w:szCs w:val="24"/>
        </w:rPr>
        <w:t xml:space="preserve"> (który stanowić będzie część</w:t>
      </w:r>
      <w:r w:rsidRPr="001268E7">
        <w:rPr>
          <w:rFonts w:cs="Calibri"/>
          <w:bCs/>
          <w:color w:val="000000"/>
          <w:sz w:val="24"/>
          <w:szCs w:val="24"/>
        </w:rPr>
        <w:t xml:space="preserve"> dokumentacj</w:t>
      </w:r>
      <w:r w:rsidR="00755418" w:rsidRPr="001268E7">
        <w:rPr>
          <w:rFonts w:cs="Calibri"/>
          <w:bCs/>
          <w:color w:val="000000"/>
          <w:sz w:val="24"/>
          <w:szCs w:val="24"/>
        </w:rPr>
        <w:t>i jako SIWZ) odzwierciedlał będzie</w:t>
      </w:r>
      <w:r w:rsidRPr="001268E7">
        <w:rPr>
          <w:rFonts w:cs="Calibri"/>
          <w:bCs/>
          <w:color w:val="000000"/>
          <w:sz w:val="24"/>
          <w:szCs w:val="24"/>
        </w:rPr>
        <w:t xml:space="preserve"> wyniki konsultacji </w:t>
      </w:r>
      <w:r w:rsidR="00755418" w:rsidRPr="001268E7">
        <w:rPr>
          <w:rFonts w:cs="Calibri"/>
          <w:bCs/>
          <w:color w:val="000000"/>
          <w:sz w:val="24"/>
          <w:szCs w:val="24"/>
        </w:rPr>
        <w:t xml:space="preserve">prowadzonych </w:t>
      </w:r>
      <w:r w:rsidRPr="001268E7">
        <w:rPr>
          <w:rFonts w:cs="Calibri"/>
          <w:bCs/>
          <w:color w:val="000000"/>
          <w:sz w:val="24"/>
          <w:szCs w:val="24"/>
        </w:rPr>
        <w:t>z k</w:t>
      </w:r>
      <w:r w:rsidR="00800E36" w:rsidRPr="001268E7">
        <w:rPr>
          <w:rFonts w:cs="Calibri"/>
          <w:bCs/>
          <w:color w:val="000000"/>
          <w:sz w:val="24"/>
          <w:szCs w:val="24"/>
        </w:rPr>
        <w:t xml:space="preserve">rajową i/lub regionalną instytucją </w:t>
      </w:r>
      <w:r w:rsidRPr="001268E7">
        <w:rPr>
          <w:rFonts w:cs="Calibri"/>
          <w:bCs/>
          <w:color w:val="000000"/>
          <w:sz w:val="24"/>
          <w:szCs w:val="24"/>
        </w:rPr>
        <w:t>państwa, w k</w:t>
      </w:r>
      <w:r w:rsidR="00755418" w:rsidRPr="001268E7">
        <w:rPr>
          <w:rFonts w:cs="Calibri"/>
          <w:bCs/>
          <w:color w:val="000000"/>
          <w:sz w:val="24"/>
          <w:szCs w:val="24"/>
        </w:rPr>
        <w:t>tórym Oddział ma zostać utworzony</w:t>
      </w:r>
      <w:r w:rsidRPr="001268E7">
        <w:rPr>
          <w:rFonts w:cs="Calibri"/>
          <w:bCs/>
          <w:color w:val="000000"/>
          <w:sz w:val="24"/>
          <w:szCs w:val="24"/>
        </w:rPr>
        <w:t>.</w:t>
      </w:r>
      <w:r w:rsidR="004168BB" w:rsidRPr="001268E7">
        <w:rPr>
          <w:rFonts w:cs="Calibri"/>
          <w:bCs/>
          <w:color w:val="000000"/>
          <w:sz w:val="24"/>
          <w:szCs w:val="24"/>
        </w:rPr>
        <w:t xml:space="preserve"> </w:t>
      </w:r>
      <w:r w:rsidR="00755418" w:rsidRPr="001268E7">
        <w:rPr>
          <w:rFonts w:cs="Calibri"/>
          <w:bCs/>
          <w:color w:val="000000"/>
          <w:sz w:val="24"/>
          <w:szCs w:val="24"/>
        </w:rPr>
        <w:t xml:space="preserve">Umowa serwisowa </w:t>
      </w:r>
      <w:r w:rsidRPr="001268E7">
        <w:rPr>
          <w:rFonts w:cs="Calibri"/>
          <w:bCs/>
          <w:color w:val="000000"/>
          <w:sz w:val="24"/>
          <w:szCs w:val="24"/>
        </w:rPr>
        <w:t xml:space="preserve">podpisana </w:t>
      </w:r>
      <w:r w:rsidR="00755418" w:rsidRPr="001268E7">
        <w:rPr>
          <w:rFonts w:cs="Calibri"/>
          <w:bCs/>
          <w:color w:val="000000"/>
          <w:sz w:val="24"/>
          <w:szCs w:val="24"/>
        </w:rPr>
        <w:t xml:space="preserve">będzie </w:t>
      </w:r>
      <w:r w:rsidRPr="001268E7">
        <w:rPr>
          <w:rFonts w:cs="Calibri"/>
          <w:bCs/>
          <w:color w:val="000000"/>
          <w:sz w:val="24"/>
          <w:szCs w:val="24"/>
        </w:rPr>
        <w:t>przez IZ.</w:t>
      </w:r>
      <w:r w:rsidR="004168BB" w:rsidRPr="001268E7">
        <w:rPr>
          <w:rFonts w:cs="Calibri"/>
          <w:bCs/>
          <w:color w:val="000000"/>
          <w:sz w:val="24"/>
          <w:szCs w:val="24"/>
        </w:rPr>
        <w:t xml:space="preserve"> </w:t>
      </w:r>
    </w:p>
    <w:p w:rsidR="00BC67E1" w:rsidRPr="001268E7" w:rsidRDefault="004005B2" w:rsidP="004005B2">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bCs/>
          <w:color w:val="000000"/>
          <w:sz w:val="24"/>
          <w:szCs w:val="24"/>
        </w:rPr>
        <w:t>Koszty funkcjonowania Oddziału w Kaliningradzie zostaną pokryte z wkładu finansowego Federacji Rosyjskiej przeznaczonego na Pomoc Techniczną.</w:t>
      </w:r>
    </w:p>
    <w:p w:rsidR="004168BB" w:rsidRPr="001268E7" w:rsidRDefault="004005B2" w:rsidP="004005B2">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Kwalifikowalność kosztów ponoszonych przez Oddzia</w:t>
      </w:r>
      <w:r w:rsidR="007416B2">
        <w:rPr>
          <w:rFonts w:cs="Calibri"/>
          <w:b/>
          <w:i/>
          <w:sz w:val="24"/>
          <w:szCs w:val="24"/>
          <w:u w:val="single"/>
        </w:rPr>
        <w:t>ł</w:t>
      </w:r>
    </w:p>
    <w:p w:rsidR="004168BB" w:rsidRPr="001268E7" w:rsidRDefault="004005B2" w:rsidP="00755418">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Wymagania dotyczące kwalifikowalności wskazane w art.</w:t>
      </w:r>
      <w:r w:rsidR="004168BB" w:rsidRPr="001268E7">
        <w:rPr>
          <w:rFonts w:cs="Calibri"/>
          <w:bCs/>
          <w:color w:val="000000"/>
          <w:sz w:val="24"/>
          <w:szCs w:val="24"/>
        </w:rPr>
        <w:t xml:space="preserve"> </w:t>
      </w:r>
      <w:r w:rsidR="002E4F70" w:rsidRPr="001268E7">
        <w:rPr>
          <w:rFonts w:cs="Calibri"/>
          <w:sz w:val="24"/>
          <w:szCs w:val="24"/>
          <w:lang w:eastAsia="pl-PL"/>
        </w:rPr>
        <w:t>48 R</w:t>
      </w:r>
      <w:r w:rsidRPr="001268E7">
        <w:rPr>
          <w:rFonts w:cs="Calibri"/>
          <w:sz w:val="24"/>
          <w:szCs w:val="24"/>
          <w:lang w:eastAsia="pl-PL"/>
        </w:rPr>
        <w:t>W stosuje się odpowiednio do kosztów PT.</w:t>
      </w:r>
      <w:r w:rsidR="004168BB" w:rsidRPr="001268E7">
        <w:rPr>
          <w:rFonts w:cs="Calibri"/>
          <w:bCs/>
          <w:color w:val="000000"/>
          <w:sz w:val="24"/>
          <w:szCs w:val="24"/>
        </w:rPr>
        <w:t xml:space="preserve"> </w:t>
      </w:r>
      <w:r w:rsidRPr="001268E7">
        <w:rPr>
          <w:rFonts w:cs="Calibri"/>
          <w:sz w:val="24"/>
          <w:szCs w:val="24"/>
          <w:lang w:eastAsia="pl-PL"/>
        </w:rPr>
        <w:t>Zamówienia publiczne udzielane przez Oddział ograniczać się będą do kosztów zwykłego</w:t>
      </w:r>
      <w:r w:rsidR="00755418" w:rsidRPr="001268E7">
        <w:rPr>
          <w:rFonts w:cs="Calibri"/>
          <w:sz w:val="24"/>
          <w:szCs w:val="24"/>
          <w:lang w:eastAsia="pl-PL"/>
        </w:rPr>
        <w:t xml:space="preserve"> prowadzenia działalności oraz kosztów działań komunikacyjnych i działań dotyczących widoczności.</w:t>
      </w:r>
      <w:r w:rsidR="004168BB" w:rsidRPr="001268E7">
        <w:rPr>
          <w:rFonts w:cs="Calibri"/>
          <w:bCs/>
          <w:color w:val="000000"/>
          <w:sz w:val="24"/>
          <w:szCs w:val="24"/>
        </w:rPr>
        <w:t xml:space="preserve"> </w:t>
      </w:r>
      <w:r w:rsidR="00755418" w:rsidRPr="001268E7">
        <w:rPr>
          <w:rFonts w:cs="Calibri"/>
          <w:sz w:val="24"/>
          <w:szCs w:val="24"/>
          <w:lang w:eastAsia="pl-PL"/>
        </w:rPr>
        <w:t>Płatności na rzecz Oddział</w:t>
      </w:r>
      <w:r w:rsidR="00800E36" w:rsidRPr="001268E7">
        <w:rPr>
          <w:rFonts w:cs="Calibri"/>
          <w:sz w:val="24"/>
          <w:szCs w:val="24"/>
          <w:lang w:eastAsia="pl-PL"/>
        </w:rPr>
        <w:t>u</w:t>
      </w:r>
      <w:r w:rsidR="00755418" w:rsidRPr="001268E7">
        <w:rPr>
          <w:rFonts w:cs="Calibri"/>
          <w:sz w:val="24"/>
          <w:szCs w:val="24"/>
          <w:lang w:eastAsia="pl-PL"/>
        </w:rPr>
        <w:t xml:space="preserve"> dokonywane będą przez IZ w walucie euro.</w:t>
      </w:r>
      <w:r w:rsidR="004168BB" w:rsidRPr="001268E7">
        <w:rPr>
          <w:rFonts w:cs="Calibri"/>
          <w:bCs/>
          <w:color w:val="000000"/>
          <w:sz w:val="24"/>
          <w:szCs w:val="24"/>
        </w:rPr>
        <w:t xml:space="preserve"> </w:t>
      </w:r>
      <w:r w:rsidR="00755418" w:rsidRPr="001268E7">
        <w:rPr>
          <w:rFonts w:cs="Calibri"/>
          <w:bCs/>
          <w:color w:val="000000"/>
          <w:sz w:val="24"/>
          <w:szCs w:val="24"/>
        </w:rPr>
        <w:t>Zgodnie z art.</w:t>
      </w:r>
      <w:r w:rsidR="004168BB" w:rsidRPr="001268E7">
        <w:rPr>
          <w:rFonts w:cs="Calibri"/>
          <w:bCs/>
          <w:color w:val="000000"/>
          <w:sz w:val="24"/>
          <w:szCs w:val="24"/>
        </w:rPr>
        <w:t xml:space="preserve"> </w:t>
      </w:r>
      <w:r w:rsidR="002E4F70" w:rsidRPr="001268E7">
        <w:rPr>
          <w:rFonts w:cs="Calibri"/>
          <w:sz w:val="24"/>
          <w:szCs w:val="24"/>
          <w:lang w:eastAsia="pl-PL"/>
        </w:rPr>
        <w:t>67 R</w:t>
      </w:r>
      <w:r w:rsidR="00755418" w:rsidRPr="001268E7">
        <w:rPr>
          <w:rFonts w:cs="Calibri"/>
          <w:sz w:val="24"/>
          <w:szCs w:val="24"/>
          <w:lang w:eastAsia="pl-PL"/>
        </w:rPr>
        <w:t>W w odniesieniu do kosztów PT IZ wybierze metodę przeliczania na walutę euro kosztów poniesionych w walucie innej niż euro.</w:t>
      </w:r>
      <w:r w:rsidR="004168BB" w:rsidRPr="001268E7">
        <w:rPr>
          <w:rFonts w:cs="Calibri"/>
          <w:bCs/>
          <w:color w:val="000000"/>
          <w:sz w:val="24"/>
          <w:szCs w:val="24"/>
        </w:rPr>
        <w:t xml:space="preserve"> </w:t>
      </w:r>
      <w:r w:rsidR="00755418" w:rsidRPr="001268E7">
        <w:rPr>
          <w:rFonts w:cs="Calibri"/>
          <w:sz w:val="24"/>
          <w:szCs w:val="24"/>
          <w:lang w:eastAsia="pl-PL"/>
        </w:rPr>
        <w:t>Metoda ta mieć będzie następnie zastosowanie przez cały okres realizacji Programu.</w:t>
      </w:r>
      <w:r w:rsidR="004168BB" w:rsidRPr="001268E7">
        <w:rPr>
          <w:rFonts w:cs="Calibri"/>
          <w:bCs/>
          <w:color w:val="000000"/>
          <w:sz w:val="24"/>
          <w:szCs w:val="24"/>
        </w:rPr>
        <w:t xml:space="preserve"> </w:t>
      </w:r>
      <w:r w:rsidR="00755418" w:rsidRPr="001268E7">
        <w:rPr>
          <w:rFonts w:cs="Calibri"/>
          <w:bCs/>
          <w:color w:val="000000"/>
          <w:sz w:val="24"/>
          <w:szCs w:val="24"/>
        </w:rPr>
        <w:t>Wydatki poniesione w walucie innej niż euro powinny być przeliczane na euro przez Oddział z wykorzystaniem stosowanego przez Komisję Europejską miesięcznego kursu księgowego wymiany z miesiąca, w którym wydatki te zostały poniesione.</w:t>
      </w:r>
      <w:r w:rsidR="004168BB" w:rsidRPr="001268E7">
        <w:rPr>
          <w:rFonts w:cs="Calibri"/>
          <w:bCs/>
          <w:color w:val="000000"/>
          <w:sz w:val="24"/>
          <w:szCs w:val="24"/>
        </w:rPr>
        <w:t xml:space="preserve"> </w:t>
      </w:r>
    </w:p>
    <w:p w:rsidR="004168BB" w:rsidRPr="001268E7" w:rsidRDefault="00755418" w:rsidP="00755418">
      <w:pPr>
        <w:autoSpaceDE w:val="0"/>
        <w:autoSpaceDN w:val="0"/>
        <w:adjustRightInd w:val="0"/>
        <w:spacing w:before="100" w:beforeAutospacing="1" w:after="100" w:afterAutospacing="1" w:line="240" w:lineRule="auto"/>
        <w:jc w:val="both"/>
        <w:rPr>
          <w:rFonts w:cs="Calibri"/>
          <w:b/>
          <w:i/>
          <w:sz w:val="24"/>
          <w:szCs w:val="24"/>
          <w:u w:val="single"/>
        </w:rPr>
      </w:pPr>
      <w:r w:rsidRPr="001268E7">
        <w:rPr>
          <w:rFonts w:cs="Calibri"/>
          <w:b/>
          <w:i/>
          <w:sz w:val="24"/>
          <w:szCs w:val="24"/>
          <w:u w:val="single"/>
        </w:rPr>
        <w:t>Zmiany w umow</w:t>
      </w:r>
      <w:r w:rsidR="0082107C">
        <w:rPr>
          <w:rFonts w:cs="Calibri"/>
          <w:b/>
          <w:i/>
          <w:sz w:val="24"/>
          <w:szCs w:val="24"/>
          <w:u w:val="single"/>
        </w:rPr>
        <w:t>ie</w:t>
      </w:r>
      <w:r w:rsidRPr="001268E7">
        <w:rPr>
          <w:rFonts w:cs="Calibri"/>
          <w:b/>
          <w:i/>
          <w:sz w:val="24"/>
          <w:szCs w:val="24"/>
          <w:u w:val="single"/>
        </w:rPr>
        <w:t xml:space="preserve"> </w:t>
      </w:r>
      <w:r w:rsidR="00800E36" w:rsidRPr="001268E7">
        <w:rPr>
          <w:rFonts w:cs="Calibri"/>
          <w:b/>
          <w:i/>
          <w:sz w:val="24"/>
          <w:szCs w:val="24"/>
          <w:u w:val="single"/>
        </w:rPr>
        <w:t>serwisow</w:t>
      </w:r>
      <w:r w:rsidR="0082107C">
        <w:rPr>
          <w:rFonts w:cs="Calibri"/>
          <w:b/>
          <w:i/>
          <w:sz w:val="24"/>
          <w:szCs w:val="24"/>
          <w:u w:val="single"/>
        </w:rPr>
        <w:t>ej</w:t>
      </w:r>
      <w:r w:rsidRPr="001268E7">
        <w:rPr>
          <w:rFonts w:cs="Calibri"/>
          <w:b/>
          <w:i/>
          <w:sz w:val="24"/>
          <w:szCs w:val="24"/>
          <w:u w:val="single"/>
        </w:rPr>
        <w:t xml:space="preserve"> zawieran</w:t>
      </w:r>
      <w:r w:rsidR="0082107C">
        <w:rPr>
          <w:rFonts w:cs="Calibri"/>
          <w:b/>
          <w:i/>
          <w:sz w:val="24"/>
          <w:szCs w:val="24"/>
          <w:u w:val="single"/>
        </w:rPr>
        <w:t>ej</w:t>
      </w:r>
      <w:r w:rsidRPr="001268E7">
        <w:rPr>
          <w:rFonts w:cs="Calibri"/>
          <w:b/>
          <w:i/>
          <w:sz w:val="24"/>
          <w:szCs w:val="24"/>
          <w:u w:val="single"/>
        </w:rPr>
        <w:t xml:space="preserve"> z Oddziałem</w:t>
      </w:r>
    </w:p>
    <w:p w:rsidR="004168BB" w:rsidRPr="001268E7" w:rsidRDefault="00755418" w:rsidP="00755418">
      <w:pPr>
        <w:autoSpaceDE w:val="0"/>
        <w:autoSpaceDN w:val="0"/>
        <w:adjustRightInd w:val="0"/>
        <w:spacing w:before="100" w:beforeAutospacing="1" w:after="100" w:afterAutospacing="1" w:line="240" w:lineRule="auto"/>
        <w:jc w:val="both"/>
        <w:rPr>
          <w:rFonts w:cs="Calibri"/>
          <w:bCs/>
          <w:color w:val="000000"/>
          <w:sz w:val="24"/>
          <w:szCs w:val="24"/>
        </w:rPr>
      </w:pPr>
      <w:r w:rsidRPr="001268E7">
        <w:rPr>
          <w:rFonts w:cs="Calibri"/>
          <w:sz w:val="24"/>
          <w:szCs w:val="24"/>
          <w:lang w:eastAsia="pl-PL"/>
        </w:rPr>
        <w:t>Konkretne procedury dotyczące wprowadzania zmian w treści um</w:t>
      </w:r>
      <w:r w:rsidR="003C0A6E">
        <w:rPr>
          <w:rFonts w:cs="Calibri"/>
          <w:sz w:val="24"/>
          <w:szCs w:val="24"/>
          <w:lang w:eastAsia="pl-PL"/>
        </w:rPr>
        <w:t>owy</w:t>
      </w:r>
      <w:r w:rsidRPr="001268E7">
        <w:rPr>
          <w:rFonts w:cs="Calibri"/>
          <w:sz w:val="24"/>
          <w:szCs w:val="24"/>
          <w:lang w:eastAsia="pl-PL"/>
        </w:rPr>
        <w:t xml:space="preserve"> serwisow</w:t>
      </w:r>
      <w:r w:rsidR="003C0A6E">
        <w:rPr>
          <w:rFonts w:cs="Calibri"/>
          <w:sz w:val="24"/>
          <w:szCs w:val="24"/>
          <w:lang w:eastAsia="pl-PL"/>
        </w:rPr>
        <w:t>ej</w:t>
      </w:r>
      <w:r w:rsidRPr="001268E7">
        <w:rPr>
          <w:rFonts w:cs="Calibri"/>
          <w:sz w:val="24"/>
          <w:szCs w:val="24"/>
          <w:lang w:eastAsia="pl-PL"/>
        </w:rPr>
        <w:t xml:space="preserve"> zawart</w:t>
      </w:r>
      <w:r w:rsidR="003C0A6E">
        <w:rPr>
          <w:rFonts w:cs="Calibri"/>
          <w:sz w:val="24"/>
          <w:szCs w:val="24"/>
          <w:lang w:eastAsia="pl-PL"/>
        </w:rPr>
        <w:t>ej</w:t>
      </w:r>
      <w:r w:rsidRPr="001268E7">
        <w:rPr>
          <w:rFonts w:cs="Calibri"/>
          <w:sz w:val="24"/>
          <w:szCs w:val="24"/>
          <w:lang w:eastAsia="pl-PL"/>
        </w:rPr>
        <w:t xml:space="preserve"> przez IZ </w:t>
      </w:r>
      <w:r w:rsidR="00800E36" w:rsidRPr="001268E7">
        <w:rPr>
          <w:rFonts w:cs="Calibri"/>
          <w:sz w:val="24"/>
          <w:szCs w:val="24"/>
          <w:lang w:eastAsia="pl-PL"/>
        </w:rPr>
        <w:t>w celu utworzenia</w:t>
      </w:r>
      <w:r w:rsidRPr="001268E7">
        <w:rPr>
          <w:rFonts w:cs="Calibri"/>
          <w:sz w:val="24"/>
          <w:szCs w:val="24"/>
          <w:lang w:eastAsia="pl-PL"/>
        </w:rPr>
        <w:t xml:space="preserve"> Oddział</w:t>
      </w:r>
      <w:r w:rsidR="00800E36" w:rsidRPr="001268E7">
        <w:rPr>
          <w:rFonts w:cs="Calibri"/>
          <w:sz w:val="24"/>
          <w:szCs w:val="24"/>
          <w:lang w:eastAsia="pl-PL"/>
        </w:rPr>
        <w:t>u</w:t>
      </w:r>
      <w:r w:rsidRPr="001268E7">
        <w:rPr>
          <w:rFonts w:cs="Calibri"/>
          <w:sz w:val="24"/>
          <w:szCs w:val="24"/>
          <w:lang w:eastAsia="pl-PL"/>
        </w:rPr>
        <w:t xml:space="preserve"> ujęte zostaną w t</w:t>
      </w:r>
      <w:r w:rsidR="000F5958">
        <w:rPr>
          <w:rFonts w:cs="Calibri"/>
          <w:sz w:val="24"/>
          <w:szCs w:val="24"/>
          <w:lang w:eastAsia="pl-PL"/>
        </w:rPr>
        <w:t>ej</w:t>
      </w:r>
      <w:r w:rsidRPr="001268E7">
        <w:rPr>
          <w:rFonts w:cs="Calibri"/>
          <w:sz w:val="24"/>
          <w:szCs w:val="24"/>
          <w:lang w:eastAsia="pl-PL"/>
        </w:rPr>
        <w:t xml:space="preserve"> umow</w:t>
      </w:r>
      <w:r w:rsidR="000F5958">
        <w:rPr>
          <w:rFonts w:cs="Calibri"/>
          <w:sz w:val="24"/>
          <w:szCs w:val="24"/>
          <w:lang w:eastAsia="pl-PL"/>
        </w:rPr>
        <w:t>ie</w:t>
      </w:r>
      <w:r w:rsidRPr="001268E7">
        <w:rPr>
          <w:rFonts w:cs="Calibri"/>
          <w:sz w:val="24"/>
          <w:szCs w:val="24"/>
          <w:lang w:eastAsia="pl-PL"/>
        </w:rPr>
        <w:t>.</w:t>
      </w:r>
    </w:p>
    <w:p w:rsidR="00002973" w:rsidRPr="00594F4D" w:rsidRDefault="001476D6" w:rsidP="00002973">
      <w:pPr>
        <w:spacing w:after="0" w:line="240" w:lineRule="auto"/>
        <w:contextualSpacing/>
        <w:jc w:val="both"/>
        <w:rPr>
          <w:b/>
          <w:i/>
          <w:sz w:val="20"/>
        </w:rPr>
      </w:pPr>
      <w:r>
        <w:rPr>
          <w:rFonts w:cs="Calibri"/>
          <w:sz w:val="24"/>
          <w:szCs w:val="24"/>
        </w:rPr>
        <w:br w:type="page"/>
      </w:r>
      <w:r w:rsidR="00002973" w:rsidRPr="00594F4D">
        <w:rPr>
          <w:b/>
          <w:i/>
          <w:sz w:val="20"/>
        </w:rPr>
        <w:lastRenderedPageBreak/>
        <w:t>Tabela 2. Powierzchnia, populacja oraz liczba mieszkańców regionów Programu</w:t>
      </w:r>
    </w:p>
    <w:p w:rsidR="001476D6" w:rsidRDefault="001476D6">
      <w:pPr>
        <w:spacing w:after="0" w:line="240" w:lineRule="auto"/>
        <w:rPr>
          <w:rFonts w:cs="Calibri"/>
          <w:sz w:val="24"/>
          <w:szCs w:val="24"/>
        </w:rPr>
      </w:pPr>
    </w:p>
    <w:p w:rsidR="00642599" w:rsidRPr="00753BC5" w:rsidRDefault="00642599" w:rsidP="00753BC5">
      <w:pPr>
        <w:pStyle w:val="Nagwek1"/>
        <w:jc w:val="both"/>
        <w:rPr>
          <w:rFonts w:cs="Calibri"/>
        </w:rPr>
      </w:pPr>
      <w:bookmarkStart w:id="68" w:name="_Toc530737600"/>
      <w:r w:rsidRPr="00753BC5">
        <w:rPr>
          <w:rFonts w:cs="Calibri"/>
        </w:rPr>
        <w:t>Lista tabel</w:t>
      </w:r>
      <w:bookmarkEnd w:id="68"/>
    </w:p>
    <w:p w:rsidR="00642599" w:rsidRDefault="00002973" w:rsidP="00002973">
      <w:pPr>
        <w:pStyle w:val="Akapitzlist"/>
        <w:numPr>
          <w:ilvl w:val="3"/>
          <w:numId w:val="89"/>
        </w:numPr>
        <w:spacing w:after="0" w:line="240" w:lineRule="auto"/>
        <w:ind w:left="426"/>
        <w:rPr>
          <w:rFonts w:cs="Calibri"/>
          <w:sz w:val="24"/>
          <w:szCs w:val="24"/>
        </w:rPr>
      </w:pPr>
      <w:r w:rsidRPr="00002973">
        <w:rPr>
          <w:sz w:val="20"/>
        </w:rPr>
        <w:t>Tabela 1. Cele tematyczne i priorytety Programu Współpracy Transgranicznej Polska-Rosja 2014-2020 str.11)</w:t>
      </w:r>
    </w:p>
    <w:p w:rsidR="001476D6" w:rsidRDefault="00002973" w:rsidP="00246345">
      <w:pPr>
        <w:pStyle w:val="Akapitzlist"/>
        <w:numPr>
          <w:ilvl w:val="3"/>
          <w:numId w:val="89"/>
        </w:numPr>
        <w:spacing w:after="0" w:line="240" w:lineRule="auto"/>
        <w:ind w:left="426"/>
        <w:rPr>
          <w:rFonts w:cs="Calibri"/>
          <w:sz w:val="24"/>
          <w:szCs w:val="24"/>
        </w:rPr>
      </w:pPr>
      <w:r>
        <w:rPr>
          <w:rFonts w:cs="Calibri"/>
          <w:sz w:val="24"/>
          <w:szCs w:val="24"/>
        </w:rPr>
        <w:t xml:space="preserve">Powierzchnia, populacja oraz liczba mieszkańców regionów Programu </w:t>
      </w:r>
      <w:r w:rsidR="001476D6">
        <w:rPr>
          <w:rFonts w:cs="Calibri"/>
          <w:sz w:val="24"/>
          <w:szCs w:val="24"/>
        </w:rPr>
        <w:t>(str.</w:t>
      </w:r>
      <w:r>
        <w:rPr>
          <w:rFonts w:cs="Calibri"/>
          <w:sz w:val="24"/>
          <w:szCs w:val="24"/>
        </w:rPr>
        <w:t>16</w:t>
      </w:r>
      <w:r w:rsidR="001476D6">
        <w:rPr>
          <w:rFonts w:cs="Calibri"/>
          <w:sz w:val="24"/>
          <w:szCs w:val="24"/>
        </w:rPr>
        <w:t>)</w:t>
      </w:r>
    </w:p>
    <w:p w:rsidR="00002973" w:rsidRDefault="00002973" w:rsidP="00246345">
      <w:pPr>
        <w:pStyle w:val="Akapitzlist"/>
        <w:numPr>
          <w:ilvl w:val="3"/>
          <w:numId w:val="89"/>
        </w:numPr>
        <w:spacing w:after="0" w:line="240" w:lineRule="auto"/>
        <w:ind w:left="426"/>
        <w:rPr>
          <w:rFonts w:cs="Calibri"/>
          <w:sz w:val="24"/>
          <w:szCs w:val="24"/>
        </w:rPr>
      </w:pPr>
      <w:r>
        <w:rPr>
          <w:rFonts w:cs="Calibri"/>
          <w:sz w:val="24"/>
          <w:szCs w:val="24"/>
        </w:rPr>
        <w:t>Analiza SWOT (str. 23)</w:t>
      </w:r>
    </w:p>
    <w:p w:rsidR="001476D6" w:rsidRDefault="00002973" w:rsidP="00246345">
      <w:pPr>
        <w:pStyle w:val="Akapitzlist"/>
        <w:numPr>
          <w:ilvl w:val="3"/>
          <w:numId w:val="89"/>
        </w:numPr>
        <w:spacing w:after="0" w:line="240" w:lineRule="auto"/>
        <w:ind w:left="426"/>
        <w:rPr>
          <w:rFonts w:cs="Calibri"/>
          <w:sz w:val="24"/>
          <w:szCs w:val="24"/>
        </w:rPr>
      </w:pPr>
      <w:r>
        <w:rPr>
          <w:rFonts w:cs="Calibri"/>
          <w:sz w:val="24"/>
          <w:szCs w:val="24"/>
        </w:rPr>
        <w:t>Zagrożenia</w:t>
      </w:r>
      <w:r w:rsidR="001476D6">
        <w:rPr>
          <w:rFonts w:cs="Calibri"/>
          <w:sz w:val="24"/>
          <w:szCs w:val="24"/>
        </w:rPr>
        <w:t xml:space="preserve"> Programu (str.</w:t>
      </w:r>
      <w:r>
        <w:rPr>
          <w:rFonts w:cs="Calibri"/>
          <w:sz w:val="24"/>
          <w:szCs w:val="24"/>
        </w:rPr>
        <w:t>31</w:t>
      </w:r>
      <w:r w:rsidR="001476D6">
        <w:rPr>
          <w:rFonts w:cs="Calibri"/>
          <w:sz w:val="24"/>
          <w:szCs w:val="24"/>
        </w:rPr>
        <w:t>)</w:t>
      </w:r>
    </w:p>
    <w:p w:rsidR="001476D6" w:rsidRDefault="001476D6" w:rsidP="00246345">
      <w:pPr>
        <w:pStyle w:val="Akapitzlist"/>
        <w:numPr>
          <w:ilvl w:val="3"/>
          <w:numId w:val="89"/>
        </w:numPr>
        <w:spacing w:after="0" w:line="240" w:lineRule="auto"/>
        <w:ind w:left="426"/>
        <w:rPr>
          <w:rFonts w:cs="Calibri"/>
          <w:sz w:val="24"/>
          <w:szCs w:val="24"/>
        </w:rPr>
      </w:pPr>
      <w:r>
        <w:rPr>
          <w:rFonts w:cs="Calibri"/>
          <w:sz w:val="24"/>
          <w:szCs w:val="24"/>
        </w:rPr>
        <w:t>Wskaźniki Programu (str.</w:t>
      </w:r>
      <w:r w:rsidR="00002973">
        <w:rPr>
          <w:rFonts w:cs="Calibri"/>
          <w:sz w:val="24"/>
          <w:szCs w:val="24"/>
        </w:rPr>
        <w:t>34</w:t>
      </w:r>
      <w:r>
        <w:rPr>
          <w:rFonts w:cs="Calibri"/>
          <w:sz w:val="24"/>
          <w:szCs w:val="24"/>
        </w:rPr>
        <w:t>)</w:t>
      </w:r>
    </w:p>
    <w:p w:rsidR="001476D6" w:rsidRDefault="00002973" w:rsidP="00246345">
      <w:pPr>
        <w:pStyle w:val="Akapitzlist"/>
        <w:numPr>
          <w:ilvl w:val="3"/>
          <w:numId w:val="89"/>
        </w:numPr>
        <w:spacing w:after="0" w:line="240" w:lineRule="auto"/>
        <w:ind w:left="426"/>
        <w:rPr>
          <w:rFonts w:cs="Calibri"/>
          <w:sz w:val="24"/>
          <w:szCs w:val="24"/>
        </w:rPr>
      </w:pPr>
      <w:r>
        <w:rPr>
          <w:rFonts w:cs="Calibri"/>
          <w:sz w:val="24"/>
          <w:szCs w:val="24"/>
        </w:rPr>
        <w:t>Skład</w:t>
      </w:r>
      <w:r w:rsidR="001476D6">
        <w:rPr>
          <w:rFonts w:cs="Calibri"/>
          <w:sz w:val="24"/>
          <w:szCs w:val="24"/>
        </w:rPr>
        <w:t xml:space="preserve"> WKM (str.</w:t>
      </w:r>
      <w:r>
        <w:rPr>
          <w:rFonts w:cs="Calibri"/>
          <w:sz w:val="24"/>
          <w:szCs w:val="24"/>
        </w:rPr>
        <w:t>38</w:t>
      </w:r>
      <w:r w:rsidR="001476D6">
        <w:rPr>
          <w:rFonts w:cs="Calibri"/>
          <w:sz w:val="24"/>
          <w:szCs w:val="24"/>
        </w:rPr>
        <w:t>)</w:t>
      </w:r>
    </w:p>
    <w:p w:rsidR="001476D6" w:rsidRDefault="00002973" w:rsidP="00246345">
      <w:pPr>
        <w:pStyle w:val="Akapitzlist"/>
        <w:numPr>
          <w:ilvl w:val="3"/>
          <w:numId w:val="89"/>
        </w:numPr>
        <w:spacing w:after="0" w:line="240" w:lineRule="auto"/>
        <w:ind w:left="426"/>
        <w:rPr>
          <w:rFonts w:cs="Calibri"/>
          <w:sz w:val="24"/>
          <w:szCs w:val="24"/>
        </w:rPr>
      </w:pPr>
      <w:r>
        <w:rPr>
          <w:rFonts w:cs="Calibri"/>
          <w:sz w:val="24"/>
          <w:szCs w:val="24"/>
        </w:rPr>
        <w:t>Kluczowe etapy realizacji Programu</w:t>
      </w:r>
      <w:r w:rsidR="00F7641A">
        <w:rPr>
          <w:rFonts w:cs="Calibri"/>
          <w:sz w:val="24"/>
          <w:szCs w:val="24"/>
        </w:rPr>
        <w:t xml:space="preserve"> (str.</w:t>
      </w:r>
      <w:r>
        <w:rPr>
          <w:rFonts w:cs="Calibri"/>
          <w:sz w:val="24"/>
          <w:szCs w:val="24"/>
        </w:rPr>
        <w:t>58</w:t>
      </w:r>
      <w:r w:rsidR="00F7641A">
        <w:rPr>
          <w:rFonts w:cs="Calibri"/>
          <w:sz w:val="24"/>
          <w:szCs w:val="24"/>
        </w:rPr>
        <w:t>)</w:t>
      </w:r>
    </w:p>
    <w:p w:rsidR="00F7641A" w:rsidRDefault="00F7641A" w:rsidP="00246345">
      <w:pPr>
        <w:pStyle w:val="Akapitzlist"/>
        <w:numPr>
          <w:ilvl w:val="3"/>
          <w:numId w:val="89"/>
        </w:numPr>
        <w:spacing w:after="0" w:line="240" w:lineRule="auto"/>
        <w:ind w:left="426"/>
        <w:rPr>
          <w:rFonts w:cs="Calibri"/>
          <w:sz w:val="24"/>
          <w:szCs w:val="24"/>
        </w:rPr>
      </w:pPr>
      <w:r>
        <w:rPr>
          <w:rFonts w:cs="Calibri"/>
          <w:sz w:val="24"/>
          <w:szCs w:val="24"/>
        </w:rPr>
        <w:t>Kontrole i Audyt Programu (str.</w:t>
      </w:r>
      <w:r w:rsidR="00D07A00">
        <w:rPr>
          <w:rFonts w:cs="Calibri"/>
          <w:sz w:val="24"/>
          <w:szCs w:val="24"/>
        </w:rPr>
        <w:t>75</w:t>
      </w:r>
      <w:r>
        <w:rPr>
          <w:rFonts w:cs="Calibri"/>
          <w:sz w:val="24"/>
          <w:szCs w:val="24"/>
        </w:rPr>
        <w:t>)</w:t>
      </w:r>
    </w:p>
    <w:p w:rsidR="00F7641A" w:rsidRDefault="00F7641A" w:rsidP="00246345">
      <w:pPr>
        <w:pStyle w:val="Akapitzlist"/>
        <w:numPr>
          <w:ilvl w:val="3"/>
          <w:numId w:val="89"/>
        </w:numPr>
        <w:spacing w:after="0" w:line="240" w:lineRule="auto"/>
        <w:ind w:left="426"/>
        <w:rPr>
          <w:rFonts w:cs="Calibri"/>
          <w:sz w:val="24"/>
          <w:szCs w:val="24"/>
        </w:rPr>
      </w:pPr>
      <w:r>
        <w:rPr>
          <w:rFonts w:cs="Calibri"/>
          <w:sz w:val="24"/>
          <w:szCs w:val="24"/>
        </w:rPr>
        <w:t xml:space="preserve">Orientacyjny Plan </w:t>
      </w:r>
      <w:r w:rsidR="00D07A00">
        <w:rPr>
          <w:rFonts w:cs="Calibri"/>
          <w:sz w:val="24"/>
          <w:szCs w:val="24"/>
        </w:rPr>
        <w:t>Monitorowania i Ewaluacji</w:t>
      </w:r>
      <w:r>
        <w:rPr>
          <w:rFonts w:cs="Calibri"/>
          <w:sz w:val="24"/>
          <w:szCs w:val="24"/>
        </w:rPr>
        <w:t xml:space="preserve"> (str.</w:t>
      </w:r>
      <w:r w:rsidR="00D07A00">
        <w:rPr>
          <w:rFonts w:cs="Calibri"/>
          <w:sz w:val="24"/>
          <w:szCs w:val="24"/>
        </w:rPr>
        <w:t>81</w:t>
      </w:r>
      <w:r>
        <w:rPr>
          <w:rFonts w:cs="Calibri"/>
          <w:sz w:val="24"/>
          <w:szCs w:val="24"/>
        </w:rPr>
        <w:t>)</w:t>
      </w:r>
    </w:p>
    <w:p w:rsidR="00F7641A" w:rsidRDefault="00F7641A" w:rsidP="00246345">
      <w:pPr>
        <w:pStyle w:val="Akapitzlist"/>
        <w:numPr>
          <w:ilvl w:val="3"/>
          <w:numId w:val="89"/>
        </w:numPr>
        <w:spacing w:after="0" w:line="240" w:lineRule="auto"/>
        <w:ind w:left="426"/>
        <w:rPr>
          <w:rFonts w:cs="Calibri"/>
          <w:sz w:val="24"/>
          <w:szCs w:val="24"/>
        </w:rPr>
      </w:pPr>
      <w:r>
        <w:rPr>
          <w:rFonts w:cs="Calibri"/>
          <w:sz w:val="24"/>
          <w:szCs w:val="24"/>
        </w:rPr>
        <w:t xml:space="preserve">Orientacyjna </w:t>
      </w:r>
      <w:r w:rsidR="00D07A00">
        <w:rPr>
          <w:rFonts w:cs="Calibri"/>
          <w:sz w:val="24"/>
          <w:szCs w:val="24"/>
        </w:rPr>
        <w:t>plan</w:t>
      </w:r>
      <w:r>
        <w:rPr>
          <w:rFonts w:cs="Calibri"/>
          <w:sz w:val="24"/>
          <w:szCs w:val="24"/>
        </w:rPr>
        <w:t xml:space="preserve"> finansowa (str.</w:t>
      </w:r>
      <w:r w:rsidR="00D07A00">
        <w:rPr>
          <w:rFonts w:cs="Calibri"/>
          <w:sz w:val="24"/>
          <w:szCs w:val="24"/>
        </w:rPr>
        <w:t>94</w:t>
      </w:r>
      <w:r>
        <w:rPr>
          <w:rFonts w:cs="Calibri"/>
          <w:sz w:val="24"/>
          <w:szCs w:val="24"/>
        </w:rPr>
        <w:t>)</w:t>
      </w:r>
    </w:p>
    <w:p w:rsidR="00F7641A" w:rsidRDefault="00F7641A" w:rsidP="00246345">
      <w:pPr>
        <w:pStyle w:val="Akapitzlist"/>
        <w:numPr>
          <w:ilvl w:val="3"/>
          <w:numId w:val="89"/>
        </w:numPr>
        <w:spacing w:after="0" w:line="240" w:lineRule="auto"/>
        <w:ind w:left="426"/>
        <w:rPr>
          <w:rFonts w:cs="Calibri"/>
          <w:sz w:val="24"/>
          <w:szCs w:val="24"/>
        </w:rPr>
      </w:pPr>
      <w:r>
        <w:rPr>
          <w:rFonts w:cs="Calibri"/>
          <w:sz w:val="24"/>
          <w:szCs w:val="24"/>
        </w:rPr>
        <w:t>Roczne zobowiązania UE w</w:t>
      </w:r>
      <w:r w:rsidR="00D07A00">
        <w:rPr>
          <w:rFonts w:cs="Calibri"/>
          <w:sz w:val="24"/>
          <w:szCs w:val="24"/>
        </w:rPr>
        <w:t>zględem</w:t>
      </w:r>
      <w:r>
        <w:rPr>
          <w:rFonts w:cs="Calibri"/>
          <w:sz w:val="24"/>
          <w:szCs w:val="24"/>
        </w:rPr>
        <w:t xml:space="preserve"> Programu (str.</w:t>
      </w:r>
      <w:r w:rsidR="00D07A00">
        <w:rPr>
          <w:rFonts w:cs="Calibri"/>
          <w:sz w:val="24"/>
          <w:szCs w:val="24"/>
        </w:rPr>
        <w:t>96</w:t>
      </w:r>
      <w:r>
        <w:rPr>
          <w:rFonts w:cs="Calibri"/>
          <w:sz w:val="24"/>
          <w:szCs w:val="24"/>
        </w:rPr>
        <w:t>)</w:t>
      </w:r>
    </w:p>
    <w:p w:rsidR="00D07A00" w:rsidRDefault="00D07A00" w:rsidP="00246345">
      <w:pPr>
        <w:pStyle w:val="Akapitzlist"/>
        <w:numPr>
          <w:ilvl w:val="3"/>
          <w:numId w:val="89"/>
        </w:numPr>
        <w:spacing w:after="0" w:line="240" w:lineRule="auto"/>
        <w:ind w:left="426"/>
        <w:rPr>
          <w:rFonts w:cs="Calibri"/>
          <w:sz w:val="24"/>
          <w:szCs w:val="24"/>
        </w:rPr>
      </w:pPr>
      <w:r>
        <w:rPr>
          <w:rFonts w:cs="Calibri"/>
          <w:sz w:val="24"/>
          <w:szCs w:val="24"/>
        </w:rPr>
        <w:t>Roczne Zobowiązania Federacji Rosyjskiej w Programie (str.96)</w:t>
      </w:r>
    </w:p>
    <w:p w:rsidR="00F7641A" w:rsidRDefault="00F7641A" w:rsidP="00F7641A">
      <w:pPr>
        <w:spacing w:after="0" w:line="240" w:lineRule="auto"/>
        <w:rPr>
          <w:rFonts w:cs="Calibri"/>
          <w:sz w:val="24"/>
          <w:szCs w:val="24"/>
        </w:rPr>
      </w:pPr>
    </w:p>
    <w:p w:rsidR="00F7641A" w:rsidRPr="00753BC5" w:rsidRDefault="00F7641A" w:rsidP="00753BC5">
      <w:pPr>
        <w:pStyle w:val="Nagwek1"/>
        <w:jc w:val="both"/>
        <w:rPr>
          <w:rFonts w:cs="Calibri"/>
        </w:rPr>
      </w:pPr>
      <w:bookmarkStart w:id="69" w:name="_Toc530737601"/>
      <w:r w:rsidRPr="00753BC5">
        <w:rPr>
          <w:rFonts w:cs="Calibri"/>
        </w:rPr>
        <w:t xml:space="preserve">Lista </w:t>
      </w:r>
      <w:r w:rsidR="00D0092B" w:rsidRPr="00753BC5">
        <w:rPr>
          <w:rFonts w:cs="Calibri"/>
        </w:rPr>
        <w:t>wykresów</w:t>
      </w:r>
      <w:bookmarkEnd w:id="69"/>
    </w:p>
    <w:p w:rsidR="00D0092B" w:rsidRDefault="00021C6A" w:rsidP="00246345">
      <w:pPr>
        <w:pStyle w:val="Akapitzlist"/>
        <w:numPr>
          <w:ilvl w:val="4"/>
          <w:numId w:val="89"/>
        </w:numPr>
        <w:spacing w:after="0" w:line="240" w:lineRule="auto"/>
        <w:ind w:left="426"/>
        <w:rPr>
          <w:rFonts w:cs="Calibri"/>
          <w:sz w:val="24"/>
          <w:szCs w:val="24"/>
        </w:rPr>
      </w:pPr>
      <w:r>
        <w:rPr>
          <w:rFonts w:cs="Calibri"/>
          <w:sz w:val="24"/>
          <w:szCs w:val="24"/>
        </w:rPr>
        <w:t>Struktura zarządzania Programu (str.</w:t>
      </w:r>
      <w:r w:rsidR="00D07A00">
        <w:rPr>
          <w:rFonts w:cs="Calibri"/>
          <w:sz w:val="24"/>
          <w:szCs w:val="24"/>
        </w:rPr>
        <w:t>36</w:t>
      </w:r>
      <w:r>
        <w:rPr>
          <w:rFonts w:cs="Calibri"/>
          <w:sz w:val="24"/>
          <w:szCs w:val="24"/>
        </w:rPr>
        <w:t>)</w:t>
      </w:r>
    </w:p>
    <w:p w:rsidR="00021C6A" w:rsidRDefault="00021C6A" w:rsidP="00246345">
      <w:pPr>
        <w:pStyle w:val="Akapitzlist"/>
        <w:numPr>
          <w:ilvl w:val="4"/>
          <w:numId w:val="89"/>
        </w:numPr>
        <w:spacing w:after="0" w:line="240" w:lineRule="auto"/>
        <w:ind w:left="426"/>
        <w:rPr>
          <w:rFonts w:cs="Calibri"/>
          <w:sz w:val="24"/>
          <w:szCs w:val="24"/>
        </w:rPr>
      </w:pPr>
      <w:r>
        <w:rPr>
          <w:rFonts w:cs="Calibri"/>
          <w:sz w:val="24"/>
          <w:szCs w:val="24"/>
        </w:rPr>
        <w:t>Struktura kontroli Programu (str.</w:t>
      </w:r>
      <w:r w:rsidR="00D07A00">
        <w:rPr>
          <w:rFonts w:cs="Calibri"/>
          <w:sz w:val="24"/>
          <w:szCs w:val="24"/>
        </w:rPr>
        <w:t>37</w:t>
      </w:r>
      <w:r>
        <w:rPr>
          <w:rFonts w:cs="Calibri"/>
          <w:sz w:val="24"/>
          <w:szCs w:val="24"/>
        </w:rPr>
        <w:t>)</w:t>
      </w:r>
    </w:p>
    <w:p w:rsidR="00021C6A" w:rsidRDefault="00021C6A" w:rsidP="00246345">
      <w:pPr>
        <w:pStyle w:val="Akapitzlist"/>
        <w:numPr>
          <w:ilvl w:val="4"/>
          <w:numId w:val="89"/>
        </w:numPr>
        <w:spacing w:after="0" w:line="240" w:lineRule="auto"/>
        <w:ind w:left="426"/>
        <w:rPr>
          <w:rFonts w:cs="Calibri"/>
          <w:sz w:val="24"/>
          <w:szCs w:val="24"/>
        </w:rPr>
      </w:pPr>
      <w:r>
        <w:rPr>
          <w:rFonts w:cs="Calibri"/>
          <w:sz w:val="24"/>
          <w:szCs w:val="24"/>
        </w:rPr>
        <w:t>Struktura audytu Programu (str.</w:t>
      </w:r>
      <w:r w:rsidR="00D07A00">
        <w:rPr>
          <w:rFonts w:cs="Calibri"/>
          <w:sz w:val="24"/>
          <w:szCs w:val="24"/>
        </w:rPr>
        <w:t>37</w:t>
      </w:r>
      <w:r>
        <w:rPr>
          <w:rFonts w:cs="Calibri"/>
          <w:sz w:val="24"/>
          <w:szCs w:val="24"/>
        </w:rPr>
        <w:t>)</w:t>
      </w:r>
    </w:p>
    <w:p w:rsidR="00021C6A" w:rsidRDefault="00021C6A" w:rsidP="00246345">
      <w:pPr>
        <w:pStyle w:val="Akapitzlist"/>
        <w:numPr>
          <w:ilvl w:val="4"/>
          <w:numId w:val="89"/>
        </w:numPr>
        <w:spacing w:after="0" w:line="240" w:lineRule="auto"/>
        <w:ind w:left="426"/>
        <w:rPr>
          <w:rFonts w:cs="Calibri"/>
          <w:sz w:val="24"/>
          <w:szCs w:val="24"/>
        </w:rPr>
      </w:pPr>
      <w:r>
        <w:rPr>
          <w:rFonts w:cs="Calibri"/>
          <w:sz w:val="24"/>
          <w:szCs w:val="24"/>
        </w:rPr>
        <w:t xml:space="preserve">Schemat organizacyjny IZ i </w:t>
      </w:r>
      <w:r w:rsidR="00D07A00">
        <w:rPr>
          <w:rFonts w:cs="Calibri"/>
          <w:sz w:val="24"/>
          <w:szCs w:val="24"/>
        </w:rPr>
        <w:t xml:space="preserve">polskiej </w:t>
      </w:r>
      <w:r>
        <w:rPr>
          <w:rFonts w:cs="Calibri"/>
          <w:sz w:val="24"/>
          <w:szCs w:val="24"/>
        </w:rPr>
        <w:t>IK (str.</w:t>
      </w:r>
      <w:r w:rsidR="00D07A00">
        <w:rPr>
          <w:rFonts w:cs="Calibri"/>
          <w:sz w:val="24"/>
          <w:szCs w:val="24"/>
        </w:rPr>
        <w:t>45</w:t>
      </w:r>
      <w:r>
        <w:rPr>
          <w:rFonts w:cs="Calibri"/>
          <w:sz w:val="24"/>
          <w:szCs w:val="24"/>
        </w:rPr>
        <w:t xml:space="preserve"> )</w:t>
      </w:r>
    </w:p>
    <w:p w:rsidR="00021C6A" w:rsidRDefault="00021C6A" w:rsidP="00246345">
      <w:pPr>
        <w:pStyle w:val="Akapitzlist"/>
        <w:numPr>
          <w:ilvl w:val="4"/>
          <w:numId w:val="89"/>
        </w:numPr>
        <w:spacing w:after="0" w:line="240" w:lineRule="auto"/>
        <w:ind w:left="426"/>
        <w:rPr>
          <w:rFonts w:cs="Calibri"/>
          <w:sz w:val="24"/>
          <w:szCs w:val="24"/>
        </w:rPr>
      </w:pPr>
      <w:r>
        <w:rPr>
          <w:rFonts w:cs="Calibri"/>
          <w:sz w:val="24"/>
          <w:szCs w:val="24"/>
        </w:rPr>
        <w:t xml:space="preserve">Struktura organizacyjna Ministerstwa </w:t>
      </w:r>
      <w:r w:rsidR="00D07A00">
        <w:rPr>
          <w:rFonts w:cs="Calibri"/>
          <w:sz w:val="24"/>
          <w:szCs w:val="24"/>
        </w:rPr>
        <w:t xml:space="preserve">Inwestycji i </w:t>
      </w:r>
      <w:r>
        <w:rPr>
          <w:rFonts w:cs="Calibri"/>
          <w:sz w:val="24"/>
          <w:szCs w:val="24"/>
        </w:rPr>
        <w:t xml:space="preserve">Rozwoju Polski w </w:t>
      </w:r>
      <w:r w:rsidR="00D07A00">
        <w:rPr>
          <w:rFonts w:cs="Calibri"/>
          <w:sz w:val="24"/>
          <w:szCs w:val="24"/>
        </w:rPr>
        <w:t xml:space="preserve">zakresie </w:t>
      </w:r>
      <w:r>
        <w:rPr>
          <w:rFonts w:cs="Calibri"/>
          <w:sz w:val="24"/>
          <w:szCs w:val="24"/>
        </w:rPr>
        <w:t>EIS (str.</w:t>
      </w:r>
      <w:r w:rsidR="00D07A00">
        <w:rPr>
          <w:rFonts w:cs="Calibri"/>
          <w:sz w:val="24"/>
          <w:szCs w:val="24"/>
        </w:rPr>
        <w:t>46</w:t>
      </w:r>
      <w:r>
        <w:rPr>
          <w:rFonts w:cs="Calibri"/>
          <w:sz w:val="24"/>
          <w:szCs w:val="24"/>
        </w:rPr>
        <w:t>)</w:t>
      </w:r>
    </w:p>
    <w:p w:rsidR="00021C6A" w:rsidRDefault="00021C6A" w:rsidP="00021C6A">
      <w:pPr>
        <w:spacing w:after="0" w:line="240" w:lineRule="auto"/>
        <w:rPr>
          <w:rFonts w:cs="Calibri"/>
          <w:sz w:val="24"/>
          <w:szCs w:val="24"/>
        </w:rPr>
      </w:pPr>
    </w:p>
    <w:p w:rsidR="00021C6A" w:rsidRPr="00F222BF" w:rsidRDefault="009D0FA8" w:rsidP="00F222BF">
      <w:pPr>
        <w:pStyle w:val="Nagwek1"/>
        <w:jc w:val="both"/>
        <w:rPr>
          <w:rFonts w:cs="Calibri"/>
        </w:rPr>
      </w:pPr>
      <w:bookmarkStart w:id="70" w:name="_Toc530737602"/>
      <w:r w:rsidRPr="00F222BF">
        <w:rPr>
          <w:rFonts w:cs="Calibri"/>
        </w:rPr>
        <w:t>Lista map</w:t>
      </w:r>
      <w:bookmarkEnd w:id="70"/>
    </w:p>
    <w:p w:rsidR="009D0FA8" w:rsidRDefault="009D0FA8" w:rsidP="00246345">
      <w:pPr>
        <w:pStyle w:val="Akapitzlist"/>
        <w:numPr>
          <w:ilvl w:val="0"/>
          <w:numId w:val="105"/>
        </w:numPr>
        <w:spacing w:after="0" w:line="240" w:lineRule="auto"/>
        <w:ind w:left="426"/>
        <w:rPr>
          <w:rFonts w:cs="Calibri"/>
          <w:sz w:val="24"/>
          <w:szCs w:val="24"/>
        </w:rPr>
      </w:pPr>
      <w:r>
        <w:rPr>
          <w:rFonts w:cs="Calibri"/>
          <w:sz w:val="24"/>
          <w:szCs w:val="24"/>
        </w:rPr>
        <w:t>Obszar Programu (str.</w:t>
      </w:r>
      <w:r w:rsidR="00D07A00">
        <w:rPr>
          <w:rFonts w:cs="Calibri"/>
          <w:sz w:val="24"/>
          <w:szCs w:val="24"/>
        </w:rPr>
        <w:t>7</w:t>
      </w:r>
      <w:r>
        <w:rPr>
          <w:rFonts w:cs="Calibri"/>
          <w:sz w:val="24"/>
          <w:szCs w:val="24"/>
        </w:rPr>
        <w:t>)</w:t>
      </w:r>
    </w:p>
    <w:p w:rsidR="009D0FA8" w:rsidRDefault="009D0FA8" w:rsidP="009D0FA8">
      <w:pPr>
        <w:spacing w:after="0" w:line="240" w:lineRule="auto"/>
        <w:rPr>
          <w:rFonts w:cs="Calibri"/>
          <w:sz w:val="24"/>
          <w:szCs w:val="24"/>
        </w:rPr>
      </w:pPr>
    </w:p>
    <w:p w:rsidR="009D0FA8" w:rsidRPr="00F222BF" w:rsidRDefault="009D0FA8" w:rsidP="00F222BF">
      <w:pPr>
        <w:pStyle w:val="Nagwek1"/>
        <w:jc w:val="both"/>
        <w:rPr>
          <w:rFonts w:cs="Calibri"/>
        </w:rPr>
      </w:pPr>
      <w:bookmarkStart w:id="71" w:name="_Toc530737603"/>
      <w:r w:rsidRPr="00F222BF">
        <w:rPr>
          <w:rFonts w:cs="Calibri"/>
        </w:rPr>
        <w:t>Lista aneksów</w:t>
      </w:r>
      <w:bookmarkEnd w:id="71"/>
    </w:p>
    <w:p w:rsidR="009D0FA8" w:rsidRDefault="009D0FA8" w:rsidP="00246345">
      <w:pPr>
        <w:pStyle w:val="Akapitzlist"/>
        <w:numPr>
          <w:ilvl w:val="0"/>
          <w:numId w:val="106"/>
        </w:numPr>
        <w:spacing w:after="0" w:line="240" w:lineRule="auto"/>
        <w:ind w:left="426"/>
        <w:rPr>
          <w:rFonts w:cs="Calibri"/>
          <w:sz w:val="24"/>
          <w:szCs w:val="24"/>
        </w:rPr>
      </w:pPr>
      <w:r>
        <w:rPr>
          <w:rFonts w:cs="Calibri"/>
          <w:sz w:val="24"/>
          <w:szCs w:val="24"/>
        </w:rPr>
        <w:t>Komunikat dotyczący Strategicznej Oceny Oddziaływania na Środowisko (streszczenie OOŚ)</w:t>
      </w:r>
    </w:p>
    <w:p w:rsidR="009D0FA8" w:rsidRPr="009D0FA8" w:rsidRDefault="009D0FA8" w:rsidP="009D0FA8">
      <w:pPr>
        <w:spacing w:after="0" w:line="240" w:lineRule="auto"/>
        <w:ind w:left="66"/>
        <w:rPr>
          <w:rFonts w:cs="Calibri"/>
          <w:sz w:val="24"/>
          <w:szCs w:val="24"/>
        </w:rPr>
      </w:pPr>
      <w:bookmarkStart w:id="72" w:name="_GoBack"/>
      <w:bookmarkEnd w:id="72"/>
    </w:p>
    <w:sectPr w:rsidR="009D0FA8" w:rsidRPr="009D0FA8" w:rsidSect="00806B71">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BEB" w:rsidRDefault="00B47BEB" w:rsidP="00072822">
      <w:pPr>
        <w:spacing w:after="0" w:line="240" w:lineRule="auto"/>
      </w:pPr>
      <w:r>
        <w:separator/>
      </w:r>
    </w:p>
  </w:endnote>
  <w:endnote w:type="continuationSeparator" w:id="0">
    <w:p w:rsidR="00B47BEB" w:rsidRDefault="00B47BEB" w:rsidP="0007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NewsGothCnEU">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font>
  <w:font w:name="Calibri,Italic">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zcionka tekstu podstawowego">
    <w:panose1 w:val="00000000000000000000"/>
    <w:charset w:val="EE"/>
    <w:family w:val="auto"/>
    <w:notTrueType/>
    <w:pitch w:val="default"/>
    <w:sig w:usb0="00000005" w:usb1="00000000" w:usb2="00000000" w:usb3="00000000" w:csb0="00000002"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551" w:rsidRDefault="00D61551">
    <w:pPr>
      <w:pStyle w:val="Stopka"/>
      <w:jc w:val="center"/>
    </w:pPr>
    <w:r>
      <w:fldChar w:fldCharType="begin"/>
    </w:r>
    <w:r>
      <w:instrText xml:space="preserve"> PAGE   \* MERGEFORMAT </w:instrText>
    </w:r>
    <w:r>
      <w:fldChar w:fldCharType="separate"/>
    </w:r>
    <w:r w:rsidR="008741F4">
      <w:rPr>
        <w:noProof/>
      </w:rPr>
      <w:t>100</w:t>
    </w:r>
    <w:r>
      <w:rPr>
        <w:noProof/>
      </w:rPr>
      <w:fldChar w:fldCharType="end"/>
    </w:r>
  </w:p>
  <w:p w:rsidR="00D61551" w:rsidRDefault="00D6155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BEB" w:rsidRDefault="00B47BEB" w:rsidP="00072822">
      <w:pPr>
        <w:spacing w:after="0" w:line="240" w:lineRule="auto"/>
      </w:pPr>
      <w:r>
        <w:separator/>
      </w:r>
    </w:p>
  </w:footnote>
  <w:footnote w:type="continuationSeparator" w:id="0">
    <w:p w:rsidR="00B47BEB" w:rsidRDefault="00B47BEB" w:rsidP="00072822">
      <w:pPr>
        <w:spacing w:after="0" w:line="240" w:lineRule="auto"/>
      </w:pPr>
      <w:r>
        <w:continuationSeparator/>
      </w:r>
    </w:p>
  </w:footnote>
  <w:footnote w:id="1">
    <w:p w:rsidR="00D61551" w:rsidRPr="00650AC0" w:rsidRDefault="00D61551" w:rsidP="003B42AD">
      <w:pPr>
        <w:pStyle w:val="Tekstprzypisudolnego"/>
        <w:rPr>
          <w:i/>
        </w:rPr>
      </w:pPr>
      <w:r w:rsidRPr="00393C93">
        <w:rPr>
          <w:rStyle w:val="Odwoanieprzypisudolnego"/>
          <w:i/>
        </w:rPr>
        <w:footnoteRef/>
      </w:r>
      <w:r w:rsidRPr="00650AC0">
        <w:rPr>
          <w:i/>
        </w:rPr>
        <w:t xml:space="preserve"> Źródło: </w:t>
      </w:r>
      <w:hyperlink r:id="rId1" w:history="1">
        <w:r w:rsidRPr="00650AC0">
          <w:rPr>
            <w:rStyle w:val="Hipercze"/>
            <w:color w:val="auto"/>
          </w:rPr>
          <w:t>http://stat.gov.pl/</w:t>
        </w:r>
      </w:hyperlink>
      <w:r w:rsidRPr="00650AC0">
        <w:t xml:space="preserve">, </w:t>
      </w:r>
      <w:hyperlink r:id="rId2" w:history="1">
        <w:r w:rsidRPr="00650AC0">
          <w:rPr>
            <w:rStyle w:val="Hipercze"/>
            <w:color w:val="auto"/>
          </w:rPr>
          <w:t>http://kaliningrad.gks.ru</w:t>
        </w:r>
      </w:hyperlink>
      <w:r w:rsidRPr="00650AC0">
        <w:t xml:space="preserve"> </w:t>
      </w:r>
    </w:p>
  </w:footnote>
  <w:footnote w:id="2">
    <w:p w:rsidR="00D61551" w:rsidRPr="00650AC0" w:rsidRDefault="00D61551" w:rsidP="00EC6F2E">
      <w:pPr>
        <w:pStyle w:val="Tekstprzypisudolnego"/>
        <w:rPr>
          <w:i/>
        </w:rPr>
      </w:pPr>
      <w:r w:rsidRPr="00393C93">
        <w:rPr>
          <w:rStyle w:val="Odwoanieprzypisudolnego"/>
          <w:i/>
          <w:lang w:val="en-GB"/>
        </w:rPr>
        <w:footnoteRef/>
      </w:r>
      <w:r w:rsidRPr="00650AC0">
        <w:rPr>
          <w:i/>
        </w:rPr>
        <w:t xml:space="preserve"> Źródło: WWW.strazgraniczna.pl</w:t>
      </w:r>
    </w:p>
  </w:footnote>
  <w:footnote w:id="3">
    <w:p w:rsidR="00D61551" w:rsidRPr="00AE62B4" w:rsidRDefault="00D61551">
      <w:pPr>
        <w:pStyle w:val="Tekstprzypisudolnego"/>
        <w:rPr>
          <w:i/>
        </w:rPr>
      </w:pPr>
      <w:r>
        <w:rPr>
          <w:rStyle w:val="Odwoanieprzypisudolnego"/>
        </w:rPr>
        <w:footnoteRef/>
      </w:r>
      <w:r>
        <w:t xml:space="preserve"> </w:t>
      </w:r>
      <w:r>
        <w:rPr>
          <w:i/>
        </w:rPr>
        <w:t>Źródło: Ministerstwo Spraw Zagranicznych Rzeczpospolitej Polskiej</w:t>
      </w:r>
    </w:p>
  </w:footnote>
  <w:footnote w:id="4">
    <w:p w:rsidR="00D61551" w:rsidRDefault="00D61551">
      <w:pPr>
        <w:pStyle w:val="Tekstprzypisudolnego"/>
      </w:pPr>
      <w:r>
        <w:rPr>
          <w:rStyle w:val="Odwoanieprzypisudolnego"/>
        </w:rPr>
        <w:footnoteRef/>
      </w:r>
      <w:r>
        <w:t xml:space="preserve"> </w:t>
      </w:r>
      <w:r w:rsidRPr="000478E8">
        <w:t>Dla polskich beneficjentów: także podmioty nieposiadające osobowości prawnej: jeżeli ich jednostki nadrzędne (posiadające osobowość prawną) dają im upoważnienie i przejmuje na siebie odpowiedzialności finansowej w celu realizacji projektu lub w przypadku, gdy jednostka nadrzędna aplikuje o finansowanie w imieniu danego podmiotu (ze wskazaniem, która jednostka będzie wdrażała projekt).</w:t>
      </w:r>
    </w:p>
  </w:footnote>
  <w:footnote w:id="5">
    <w:p w:rsidR="00D61551" w:rsidRPr="000B49E3" w:rsidRDefault="00D61551">
      <w:pPr>
        <w:pStyle w:val="Tekstprzypisudolnego"/>
        <w:rPr>
          <w:sz w:val="18"/>
          <w:szCs w:val="18"/>
        </w:rPr>
      </w:pPr>
      <w:r w:rsidRPr="000B49E3">
        <w:rPr>
          <w:rStyle w:val="Odwoanieprzypisudolnego"/>
          <w:sz w:val="18"/>
          <w:szCs w:val="18"/>
        </w:rPr>
        <w:footnoteRef/>
      </w:r>
      <w:r w:rsidRPr="000B49E3">
        <w:rPr>
          <w:sz w:val="18"/>
          <w:szCs w:val="18"/>
        </w:rPr>
        <w:t xml:space="preserve"> Rozporządzenie wykonawcze Komisji (UE) nr 897/2014 z dnia 18 sierpnia 2014 r. Ustanawiające przepisy szczegółowe dotyczące wdrażania programów współpracy transgranicznej finansowanych na podstawie rozporządzenia Parlamentu Europejskiego i Rady (UE) nr 232/20124 ustanawiającego europejski instrument sąsiedztwa.</w:t>
      </w:r>
    </w:p>
  </w:footnote>
  <w:footnote w:id="6">
    <w:p w:rsidR="00D61551" w:rsidRDefault="00D61551">
      <w:pPr>
        <w:pStyle w:val="Tekstprzypisudolnego"/>
      </w:pPr>
      <w:r w:rsidRPr="000B49E3">
        <w:rPr>
          <w:rStyle w:val="Odwoanieprzypisudolnego"/>
          <w:sz w:val="18"/>
          <w:szCs w:val="18"/>
        </w:rPr>
        <w:footnoteRef/>
      </w:r>
      <w:r w:rsidRPr="000B49E3">
        <w:rPr>
          <w:sz w:val="18"/>
          <w:szCs w:val="18"/>
        </w:rPr>
        <w:t xml:space="preserve"> W przypadku wydatków objętych stawkami ryczałtowymi lub kwotami ryczałtowymi dokumenty uzupełniające nie będą wymagane do celów sprawozdawczości dotyczącej projektu. Wydatki związane z kwotami ryczałtowymi powinny być udokumentowane wynikami projektu, na przykład dokumenty potwierdzające, że działania przewidziane w projekcie zostały zrealizowane. Nie muszą to być dokumenty finansowe, ale raczej dowody natury niefinansowej, takie jak fotografie, próbki wyników projektów, takie jak publikacje i inne materiały.</w:t>
      </w:r>
    </w:p>
  </w:footnote>
  <w:footnote w:id="7">
    <w:p w:rsidR="00D61551" w:rsidRDefault="00D61551" w:rsidP="0019002A">
      <w:pPr>
        <w:autoSpaceDE w:val="0"/>
        <w:autoSpaceDN w:val="0"/>
        <w:adjustRightInd w:val="0"/>
        <w:spacing w:after="0" w:line="240" w:lineRule="auto"/>
        <w:rPr>
          <w:rFonts w:cs="Calibri"/>
          <w:sz w:val="16"/>
          <w:szCs w:val="16"/>
          <w:lang w:eastAsia="pl-PL"/>
        </w:rPr>
      </w:pPr>
      <w:r w:rsidRPr="004E18FA">
        <w:rPr>
          <w:rStyle w:val="Odwoanieprzypisudolnego"/>
        </w:rPr>
        <w:footnoteRef/>
      </w:r>
      <w:r w:rsidRPr="00650AC0">
        <w:t xml:space="preserve"> </w:t>
      </w:r>
      <w:r>
        <w:rPr>
          <w:rFonts w:cs="Calibri"/>
          <w:sz w:val="16"/>
          <w:szCs w:val="16"/>
          <w:lang w:eastAsia="pl-PL"/>
        </w:rPr>
        <w:t>Zgodnie z definicją zawartą w art. 2(m) RW, „nieprawidłowości” oznaczają wszelkie naruszenia umowy finansowej, kontraktu lub</w:t>
      </w:r>
    </w:p>
    <w:p w:rsidR="00D61551" w:rsidRPr="00FC1D0A" w:rsidRDefault="00D61551" w:rsidP="00FC1D0A">
      <w:pPr>
        <w:autoSpaceDE w:val="0"/>
        <w:autoSpaceDN w:val="0"/>
        <w:adjustRightInd w:val="0"/>
        <w:spacing w:after="0" w:line="240" w:lineRule="auto"/>
        <w:rPr>
          <w:rFonts w:cs="Calibri"/>
          <w:sz w:val="16"/>
          <w:szCs w:val="16"/>
          <w:lang w:eastAsia="pl-PL"/>
        </w:rPr>
      </w:pPr>
      <w:r>
        <w:rPr>
          <w:rFonts w:cs="Calibri"/>
          <w:sz w:val="16"/>
          <w:szCs w:val="16"/>
          <w:lang w:eastAsia="pl-PL"/>
        </w:rPr>
        <w:t xml:space="preserve">obowiązującego prawa wynikające z działania lub zaniechania podmiotu gospodarczego zaangażowanego we wdrażanie Programu, które </w:t>
      </w:r>
      <w:r>
        <w:rPr>
          <w:sz w:val="16"/>
          <w:szCs w:val="16"/>
          <w:lang w:eastAsia="pl-PL"/>
        </w:rPr>
        <w:t>powodują lub mogłyby spowodować szkodę w budżecie Unii przez jego obciążenie nieuzasadnionym wydatkiem.</w:t>
      </w:r>
    </w:p>
    <w:p w:rsidR="00D61551" w:rsidRPr="00650AC0" w:rsidRDefault="00D61551" w:rsidP="0019002A">
      <w:pPr>
        <w:pStyle w:val="Tekstprzypisudolnego"/>
      </w:pPr>
    </w:p>
  </w:footnote>
  <w:footnote w:id="8">
    <w:p w:rsidR="00D61551" w:rsidRPr="004E15E2" w:rsidRDefault="00D61551">
      <w:pPr>
        <w:pStyle w:val="Tekstprzypisudolnego"/>
        <w:rPr>
          <w:sz w:val="16"/>
          <w:szCs w:val="16"/>
        </w:rPr>
      </w:pPr>
      <w:r w:rsidRPr="004E15E2">
        <w:rPr>
          <w:rStyle w:val="Odwoanieprzypisudolnego"/>
          <w:sz w:val="16"/>
          <w:szCs w:val="16"/>
        </w:rPr>
        <w:footnoteRef/>
      </w:r>
      <w:r w:rsidRPr="004E15E2">
        <w:rPr>
          <w:sz w:val="16"/>
          <w:szCs w:val="16"/>
        </w:rPr>
        <w:t xml:space="preserve"> Dyrektywa 2001/42/WE Parlamentu Europejskiego i Rady </w:t>
      </w:r>
    </w:p>
  </w:footnote>
  <w:footnote w:id="9">
    <w:p w:rsidR="00D61551" w:rsidRPr="004E15E2" w:rsidRDefault="00D61551" w:rsidP="004E15E2">
      <w:pPr>
        <w:pStyle w:val="Tekstprzypisudolnego"/>
        <w:rPr>
          <w:sz w:val="16"/>
          <w:szCs w:val="16"/>
        </w:rPr>
      </w:pPr>
      <w:r w:rsidRPr="004E15E2">
        <w:rPr>
          <w:rStyle w:val="Odwoanieprzypisudolnego"/>
          <w:sz w:val="16"/>
          <w:szCs w:val="16"/>
        </w:rPr>
        <w:t>12</w:t>
      </w:r>
      <w:r w:rsidRPr="004E15E2">
        <w:rPr>
          <w:sz w:val="16"/>
          <w:szCs w:val="16"/>
        </w:rPr>
        <w:t xml:space="preserve"> Zgodnie z polską ustawą z dnia 3 października 2008 r. O udostępnianiu informacji o środowisku [...] raport środowiskowy nosi nazwę "Prognoza oddziaływania na środowisko".</w:t>
      </w:r>
    </w:p>
    <w:p w:rsidR="00D61551" w:rsidRDefault="00D61551">
      <w:pPr>
        <w:pStyle w:val="Tekstprzypisudolnego"/>
      </w:pPr>
    </w:p>
  </w:footnote>
  <w:footnote w:id="10">
    <w:p w:rsidR="00D61551" w:rsidRPr="005608F6" w:rsidRDefault="00D61551" w:rsidP="005608F6">
      <w:pPr>
        <w:pStyle w:val="Tekstprzypisudolnego"/>
        <w:rPr>
          <w:sz w:val="16"/>
          <w:szCs w:val="16"/>
        </w:rPr>
      </w:pPr>
      <w:r w:rsidRPr="004E15E2">
        <w:rPr>
          <w:rStyle w:val="Odwoanieprzypisudolnego"/>
          <w:sz w:val="16"/>
          <w:szCs w:val="16"/>
        </w:rPr>
        <w:footnoteRef/>
      </w:r>
      <w:r w:rsidRPr="004E15E2">
        <w:rPr>
          <w:sz w:val="16"/>
          <w:szCs w:val="16"/>
        </w:rPr>
        <w:t xml:space="preserve"> Dz.U. nr 199 poz. 1227 z późn. zm.</w:t>
      </w:r>
    </w:p>
  </w:footnote>
  <w:footnote w:id="11">
    <w:p w:rsidR="00D61551" w:rsidRPr="005608F6" w:rsidRDefault="00D61551" w:rsidP="005608F6">
      <w:pPr>
        <w:pStyle w:val="Tekstprzypisudolnego"/>
        <w:rPr>
          <w:sz w:val="16"/>
          <w:szCs w:val="16"/>
        </w:rPr>
      </w:pPr>
      <w:r>
        <w:rPr>
          <w:rStyle w:val="Odwoanieprzypisudolnego"/>
          <w:sz w:val="16"/>
        </w:rPr>
        <w:footnoteRef/>
      </w:r>
      <w:r>
        <w:rPr>
          <w:sz w:val="16"/>
        </w:rPr>
        <w:t xml:space="preserve"> Dziennik Urzędowy Wspólnot Europejskich L197 z 21.07.2001, s. 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BE9"/>
    <w:multiLevelType w:val="hybridMultilevel"/>
    <w:tmpl w:val="25987A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D0203D"/>
    <w:multiLevelType w:val="hybridMultilevel"/>
    <w:tmpl w:val="6706C2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D42900"/>
    <w:multiLevelType w:val="hybridMultilevel"/>
    <w:tmpl w:val="60284C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98660B"/>
    <w:multiLevelType w:val="hybridMultilevel"/>
    <w:tmpl w:val="FA5E98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523B84"/>
    <w:multiLevelType w:val="hybridMultilevel"/>
    <w:tmpl w:val="EF1475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B928F4"/>
    <w:multiLevelType w:val="hybridMultilevel"/>
    <w:tmpl w:val="B8146420"/>
    <w:lvl w:ilvl="0" w:tplc="04150003">
      <w:start w:val="1"/>
      <w:numFmt w:val="bullet"/>
      <w:lvlText w:val="o"/>
      <w:lvlJc w:val="left"/>
      <w:pPr>
        <w:ind w:left="1429" w:hanging="360"/>
      </w:pPr>
      <w:rPr>
        <w:rFonts w:ascii="Courier New" w:hAnsi="Courier New" w:cs="Courier New" w:hint="default"/>
      </w:rPr>
    </w:lvl>
    <w:lvl w:ilvl="1" w:tplc="78DAA49A">
      <w:numFmt w:val="bullet"/>
      <w:lvlText w:val="-"/>
      <w:lvlJc w:val="left"/>
      <w:pPr>
        <w:ind w:left="2149" w:hanging="360"/>
      </w:pPr>
      <w:rPr>
        <w:rFonts w:ascii="Calibri" w:eastAsia="Calibri" w:hAnsi="Calibri"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06482922"/>
    <w:multiLevelType w:val="hybridMultilevel"/>
    <w:tmpl w:val="8EF4CE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522C33"/>
    <w:multiLevelType w:val="hybridMultilevel"/>
    <w:tmpl w:val="D7020804"/>
    <w:lvl w:ilvl="0" w:tplc="E7F2CE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D0677C"/>
    <w:multiLevelType w:val="hybridMultilevel"/>
    <w:tmpl w:val="7B0C05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89909C4"/>
    <w:multiLevelType w:val="hybridMultilevel"/>
    <w:tmpl w:val="BFA0E7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9830A07"/>
    <w:multiLevelType w:val="hybridMultilevel"/>
    <w:tmpl w:val="AF3898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C0332D"/>
    <w:multiLevelType w:val="hybridMultilevel"/>
    <w:tmpl w:val="E7F415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A0176CD"/>
    <w:multiLevelType w:val="multilevel"/>
    <w:tmpl w:val="DFFC8AA4"/>
    <w:lvl w:ilvl="0">
      <w:start w:val="1"/>
      <w:numFmt w:val="decimal"/>
      <w:lvlText w:val="%1."/>
      <w:lvlJc w:val="left"/>
      <w:pPr>
        <w:ind w:left="1159" w:hanging="360"/>
      </w:pPr>
      <w:rPr>
        <w:rFonts w:hint="default"/>
      </w:rPr>
    </w:lvl>
    <w:lvl w:ilvl="1">
      <w:start w:val="8"/>
      <w:numFmt w:val="decimal"/>
      <w:isLgl/>
      <w:lvlText w:val="%1.%2."/>
      <w:lvlJc w:val="left"/>
      <w:pPr>
        <w:ind w:left="1444" w:hanging="645"/>
      </w:pPr>
      <w:rPr>
        <w:rFonts w:hint="default"/>
      </w:rPr>
    </w:lvl>
    <w:lvl w:ilvl="2">
      <w:start w:val="1"/>
      <w:numFmt w:val="decimal"/>
      <w:isLgl/>
      <w:lvlText w:val="%1.%2.%3."/>
      <w:lvlJc w:val="left"/>
      <w:pPr>
        <w:ind w:left="1519" w:hanging="720"/>
      </w:pPr>
      <w:rPr>
        <w:rFonts w:hint="default"/>
      </w:rPr>
    </w:lvl>
    <w:lvl w:ilvl="3">
      <w:start w:val="1"/>
      <w:numFmt w:val="decimal"/>
      <w:isLgl/>
      <w:lvlText w:val="%1.%2.%3.%4."/>
      <w:lvlJc w:val="left"/>
      <w:pPr>
        <w:ind w:left="1519" w:hanging="720"/>
      </w:pPr>
      <w:rPr>
        <w:rFonts w:hint="default"/>
      </w:rPr>
    </w:lvl>
    <w:lvl w:ilvl="4">
      <w:start w:val="1"/>
      <w:numFmt w:val="decimal"/>
      <w:isLgl/>
      <w:lvlText w:val="%1.%2.%3.%4.%5."/>
      <w:lvlJc w:val="left"/>
      <w:pPr>
        <w:ind w:left="1879" w:hanging="1080"/>
      </w:pPr>
      <w:rPr>
        <w:rFonts w:hint="default"/>
      </w:rPr>
    </w:lvl>
    <w:lvl w:ilvl="5">
      <w:start w:val="1"/>
      <w:numFmt w:val="decimal"/>
      <w:isLgl/>
      <w:lvlText w:val="%1.%2.%3.%4.%5.%6."/>
      <w:lvlJc w:val="left"/>
      <w:pPr>
        <w:ind w:left="1879" w:hanging="1080"/>
      </w:pPr>
      <w:rPr>
        <w:rFonts w:hint="default"/>
      </w:rPr>
    </w:lvl>
    <w:lvl w:ilvl="6">
      <w:start w:val="1"/>
      <w:numFmt w:val="decimal"/>
      <w:isLgl/>
      <w:lvlText w:val="%1.%2.%3.%4.%5.%6.%7."/>
      <w:lvlJc w:val="left"/>
      <w:pPr>
        <w:ind w:left="2239" w:hanging="1440"/>
      </w:pPr>
      <w:rPr>
        <w:rFonts w:hint="default"/>
      </w:rPr>
    </w:lvl>
    <w:lvl w:ilvl="7">
      <w:start w:val="1"/>
      <w:numFmt w:val="decimal"/>
      <w:isLgl/>
      <w:lvlText w:val="%1.%2.%3.%4.%5.%6.%7.%8."/>
      <w:lvlJc w:val="left"/>
      <w:pPr>
        <w:ind w:left="2239" w:hanging="1440"/>
      </w:pPr>
      <w:rPr>
        <w:rFonts w:hint="default"/>
      </w:rPr>
    </w:lvl>
    <w:lvl w:ilvl="8">
      <w:start w:val="1"/>
      <w:numFmt w:val="decimal"/>
      <w:isLgl/>
      <w:lvlText w:val="%1.%2.%3.%4.%5.%6.%7.%8.%9."/>
      <w:lvlJc w:val="left"/>
      <w:pPr>
        <w:ind w:left="2599" w:hanging="1800"/>
      </w:pPr>
      <w:rPr>
        <w:rFonts w:hint="default"/>
      </w:rPr>
    </w:lvl>
  </w:abstractNum>
  <w:abstractNum w:abstractNumId="13">
    <w:nsid w:val="0ADD5FB9"/>
    <w:multiLevelType w:val="multilevel"/>
    <w:tmpl w:val="E9FAA3CC"/>
    <w:lvl w:ilvl="0">
      <w:start w:val="5"/>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4">
    <w:nsid w:val="0B03256D"/>
    <w:multiLevelType w:val="hybridMultilevel"/>
    <w:tmpl w:val="DB9EB9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E5577DB"/>
    <w:multiLevelType w:val="hybridMultilevel"/>
    <w:tmpl w:val="CA92CC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ECA031B"/>
    <w:multiLevelType w:val="hybridMultilevel"/>
    <w:tmpl w:val="7DC2F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F7A5D51"/>
    <w:multiLevelType w:val="hybridMultilevel"/>
    <w:tmpl w:val="7C5C6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24A57BD"/>
    <w:multiLevelType w:val="hybridMultilevel"/>
    <w:tmpl w:val="545A85BA"/>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nsid w:val="12A61F23"/>
    <w:multiLevelType w:val="hybridMultilevel"/>
    <w:tmpl w:val="6DA83560"/>
    <w:lvl w:ilvl="0" w:tplc="78DAA49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5C31C8C"/>
    <w:multiLevelType w:val="hybridMultilevel"/>
    <w:tmpl w:val="50509864"/>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1B">
      <w:start w:val="1"/>
      <w:numFmt w:val="lowerRoman"/>
      <w:lvlText w:val="%3."/>
      <w:lvlJc w:val="right"/>
      <w:pPr>
        <w:ind w:left="2160" w:hanging="180"/>
      </w:pPr>
    </w:lvl>
    <w:lvl w:ilvl="3" w:tplc="05A0482E">
      <w:start w:val="1"/>
      <w:numFmt w:val="decimal"/>
      <w:lvlText w:val="%4."/>
      <w:lvlJc w:val="left"/>
      <w:pPr>
        <w:ind w:left="2880" w:hanging="360"/>
      </w:pPr>
      <w:rPr>
        <w:rFonts w:hint="default"/>
      </w:rPr>
    </w:lvl>
    <w:lvl w:ilvl="4" w:tplc="A734E496">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6916274"/>
    <w:multiLevelType w:val="hybridMultilevel"/>
    <w:tmpl w:val="ABF0AEF2"/>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nsid w:val="1A8B0B57"/>
    <w:multiLevelType w:val="hybridMultilevel"/>
    <w:tmpl w:val="87F8C9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B955B68"/>
    <w:multiLevelType w:val="hybridMultilevel"/>
    <w:tmpl w:val="01DCD0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BF6504D"/>
    <w:multiLevelType w:val="hybridMultilevel"/>
    <w:tmpl w:val="A6CEA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BFE0F7B"/>
    <w:multiLevelType w:val="hybridMultilevel"/>
    <w:tmpl w:val="12B04A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E3C2275"/>
    <w:multiLevelType w:val="hybridMultilevel"/>
    <w:tmpl w:val="3498FFB8"/>
    <w:lvl w:ilvl="0" w:tplc="04150001">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27">
    <w:nsid w:val="1E695011"/>
    <w:multiLevelType w:val="hybridMultilevel"/>
    <w:tmpl w:val="E01C0D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1EEA2A0B"/>
    <w:multiLevelType w:val="hybridMultilevel"/>
    <w:tmpl w:val="3B581C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F7F7259"/>
    <w:multiLevelType w:val="hybridMultilevel"/>
    <w:tmpl w:val="0728C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2A37CDE"/>
    <w:multiLevelType w:val="hybridMultilevel"/>
    <w:tmpl w:val="5C7461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37325D"/>
    <w:multiLevelType w:val="hybridMultilevel"/>
    <w:tmpl w:val="A3BE35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5560973"/>
    <w:multiLevelType w:val="hybridMultilevel"/>
    <w:tmpl w:val="3D88DA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7F81216"/>
    <w:multiLevelType w:val="hybridMultilevel"/>
    <w:tmpl w:val="00E0F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2C4DD1"/>
    <w:multiLevelType w:val="hybridMultilevel"/>
    <w:tmpl w:val="1CFA0EF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88F3EF9"/>
    <w:multiLevelType w:val="hybridMultilevel"/>
    <w:tmpl w:val="5380CC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94A3CB1"/>
    <w:multiLevelType w:val="hybridMultilevel"/>
    <w:tmpl w:val="FF12214C"/>
    <w:lvl w:ilvl="0" w:tplc="78DAA49A">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B7B369D"/>
    <w:multiLevelType w:val="hybridMultilevel"/>
    <w:tmpl w:val="AB00C3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C8B021C"/>
    <w:multiLevelType w:val="hybridMultilevel"/>
    <w:tmpl w:val="4A4485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DC9263E"/>
    <w:multiLevelType w:val="hybridMultilevel"/>
    <w:tmpl w:val="B5341BE6"/>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nsid w:val="2EB933DB"/>
    <w:multiLevelType w:val="hybridMultilevel"/>
    <w:tmpl w:val="3F82A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1333E6"/>
    <w:multiLevelType w:val="hybridMultilevel"/>
    <w:tmpl w:val="5546D178"/>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nsid w:val="31361608"/>
    <w:multiLevelType w:val="hybridMultilevel"/>
    <w:tmpl w:val="07FCAB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1554093"/>
    <w:multiLevelType w:val="hybridMultilevel"/>
    <w:tmpl w:val="F1922574"/>
    <w:lvl w:ilvl="0" w:tplc="0415000F">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634178"/>
    <w:multiLevelType w:val="hybridMultilevel"/>
    <w:tmpl w:val="6F86C8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30E56B4"/>
    <w:multiLevelType w:val="hybridMultilevel"/>
    <w:tmpl w:val="FD4E5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3FB7361"/>
    <w:multiLevelType w:val="hybridMultilevel"/>
    <w:tmpl w:val="53C8A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4851A18"/>
    <w:multiLevelType w:val="multilevel"/>
    <w:tmpl w:val="75E42842"/>
    <w:lvl w:ilvl="0">
      <w:start w:val="3"/>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48">
    <w:nsid w:val="36191730"/>
    <w:multiLevelType w:val="hybridMultilevel"/>
    <w:tmpl w:val="6C18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66B776F"/>
    <w:multiLevelType w:val="hybridMultilevel"/>
    <w:tmpl w:val="5164BE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6B450F7"/>
    <w:multiLevelType w:val="hybridMultilevel"/>
    <w:tmpl w:val="CF72D4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74B665D"/>
    <w:multiLevelType w:val="hybridMultilevel"/>
    <w:tmpl w:val="74E87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7796763"/>
    <w:multiLevelType w:val="hybridMultilevel"/>
    <w:tmpl w:val="63842340"/>
    <w:lvl w:ilvl="0" w:tplc="CD20C0B8">
      <w:start w:val="1"/>
      <w:numFmt w:val="decimal"/>
      <w:lvlText w:val="%1."/>
      <w:lvlJc w:val="left"/>
      <w:pPr>
        <w:ind w:left="1146" w:hanging="360"/>
      </w:pPr>
      <w:rPr>
        <w:rFonts w:hint="default"/>
      </w:rPr>
    </w:lvl>
    <w:lvl w:ilvl="1" w:tplc="C1C2BF6A">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nsid w:val="38B96072"/>
    <w:multiLevelType w:val="hybridMultilevel"/>
    <w:tmpl w:val="A490C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8C5234A"/>
    <w:multiLevelType w:val="hybridMultilevel"/>
    <w:tmpl w:val="32705C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98A1702"/>
    <w:multiLevelType w:val="hybridMultilevel"/>
    <w:tmpl w:val="C59EE638"/>
    <w:lvl w:ilvl="0" w:tplc="78DAA49A">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A4C2521"/>
    <w:multiLevelType w:val="hybridMultilevel"/>
    <w:tmpl w:val="7BD06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B514928"/>
    <w:multiLevelType w:val="hybridMultilevel"/>
    <w:tmpl w:val="E8DA9902"/>
    <w:lvl w:ilvl="0" w:tplc="E31E80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DD01EDD"/>
    <w:multiLevelType w:val="hybridMultilevel"/>
    <w:tmpl w:val="6242E7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E94008E"/>
    <w:multiLevelType w:val="hybridMultilevel"/>
    <w:tmpl w:val="F9EEEB86"/>
    <w:lvl w:ilvl="0" w:tplc="04150003">
      <w:start w:val="1"/>
      <w:numFmt w:val="bullet"/>
      <w:lvlText w:val="o"/>
      <w:lvlJc w:val="left"/>
      <w:pPr>
        <w:ind w:left="1429" w:hanging="360"/>
      </w:pPr>
      <w:rPr>
        <w:rFonts w:ascii="Courier New" w:hAnsi="Courier New" w:cs="Courier New" w:hint="default"/>
      </w:rPr>
    </w:lvl>
    <w:lvl w:ilvl="1" w:tplc="78DAA49A">
      <w:numFmt w:val="bullet"/>
      <w:lvlText w:val="-"/>
      <w:lvlJc w:val="left"/>
      <w:pPr>
        <w:ind w:left="2149" w:hanging="360"/>
      </w:pPr>
      <w:rPr>
        <w:rFonts w:ascii="Calibri" w:eastAsia="Calibri" w:hAnsi="Calibri"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nsid w:val="40042157"/>
    <w:multiLevelType w:val="hybridMultilevel"/>
    <w:tmpl w:val="98BAAB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0EA0AFA"/>
    <w:multiLevelType w:val="hybridMultilevel"/>
    <w:tmpl w:val="79A884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26857B8"/>
    <w:multiLevelType w:val="hybridMultilevel"/>
    <w:tmpl w:val="EAF45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2F02966"/>
    <w:multiLevelType w:val="hybridMultilevel"/>
    <w:tmpl w:val="1C9E42C4"/>
    <w:lvl w:ilvl="0" w:tplc="1A2AFF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4662E94"/>
    <w:multiLevelType w:val="hybridMultilevel"/>
    <w:tmpl w:val="1E1EE6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582543B"/>
    <w:multiLevelType w:val="hybridMultilevel"/>
    <w:tmpl w:val="476A36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62F312A"/>
    <w:multiLevelType w:val="hybridMultilevel"/>
    <w:tmpl w:val="9402A9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6B66523"/>
    <w:multiLevelType w:val="hybridMultilevel"/>
    <w:tmpl w:val="6AA4A7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8C02D78"/>
    <w:multiLevelType w:val="hybridMultilevel"/>
    <w:tmpl w:val="23E093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BAA01FB"/>
    <w:multiLevelType w:val="hybridMultilevel"/>
    <w:tmpl w:val="FECC6972"/>
    <w:lvl w:ilvl="0" w:tplc="78DAA49A">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C341A79"/>
    <w:multiLevelType w:val="hybridMultilevel"/>
    <w:tmpl w:val="758E3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C8B3517"/>
    <w:multiLevelType w:val="hybridMultilevel"/>
    <w:tmpl w:val="0192AE84"/>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2">
    <w:nsid w:val="4E6A04B8"/>
    <w:multiLevelType w:val="hybridMultilevel"/>
    <w:tmpl w:val="900215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06E5351"/>
    <w:multiLevelType w:val="hybridMultilevel"/>
    <w:tmpl w:val="84FE95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1742145"/>
    <w:multiLevelType w:val="hybridMultilevel"/>
    <w:tmpl w:val="0A3283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18B05F4"/>
    <w:multiLevelType w:val="hybridMultilevel"/>
    <w:tmpl w:val="0A2A53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1A570A4"/>
    <w:multiLevelType w:val="hybridMultilevel"/>
    <w:tmpl w:val="834EE312"/>
    <w:lvl w:ilvl="0" w:tplc="F9FCE33A">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20E2383"/>
    <w:multiLevelType w:val="hybridMultilevel"/>
    <w:tmpl w:val="4880E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26D7681"/>
    <w:multiLevelType w:val="hybridMultilevel"/>
    <w:tmpl w:val="EABE26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4254B49"/>
    <w:multiLevelType w:val="hybridMultilevel"/>
    <w:tmpl w:val="F55A2466"/>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4BE3447"/>
    <w:multiLevelType w:val="hybridMultilevel"/>
    <w:tmpl w:val="74B6D6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5D8773E"/>
    <w:multiLevelType w:val="hybridMultilevel"/>
    <w:tmpl w:val="B282C0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6A82B31"/>
    <w:multiLevelType w:val="hybridMultilevel"/>
    <w:tmpl w:val="538464DC"/>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3">
    <w:nsid w:val="56BC34C6"/>
    <w:multiLevelType w:val="hybridMultilevel"/>
    <w:tmpl w:val="8DF099A4"/>
    <w:lvl w:ilvl="0" w:tplc="78DAA49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C917FA3"/>
    <w:multiLevelType w:val="hybridMultilevel"/>
    <w:tmpl w:val="E3748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D752C33"/>
    <w:multiLevelType w:val="hybridMultilevel"/>
    <w:tmpl w:val="9E0CC6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F116461"/>
    <w:multiLevelType w:val="hybridMultilevel"/>
    <w:tmpl w:val="2E5605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FCE3176"/>
    <w:multiLevelType w:val="hybridMultilevel"/>
    <w:tmpl w:val="50C4CE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00B3FE8"/>
    <w:multiLevelType w:val="hybridMultilevel"/>
    <w:tmpl w:val="AB4286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090513A"/>
    <w:multiLevelType w:val="hybridMultilevel"/>
    <w:tmpl w:val="E424BF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275788E"/>
    <w:multiLevelType w:val="hybridMultilevel"/>
    <w:tmpl w:val="55807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3382491"/>
    <w:multiLevelType w:val="hybridMultilevel"/>
    <w:tmpl w:val="F9D611FA"/>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2">
    <w:nsid w:val="6522125E"/>
    <w:multiLevelType w:val="hybridMultilevel"/>
    <w:tmpl w:val="96CEDD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5C92AF2"/>
    <w:multiLevelType w:val="hybridMultilevel"/>
    <w:tmpl w:val="64C66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66343447"/>
    <w:multiLevelType w:val="hybridMultilevel"/>
    <w:tmpl w:val="82D489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8345C44"/>
    <w:multiLevelType w:val="hybridMultilevel"/>
    <w:tmpl w:val="B404A6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8F71564"/>
    <w:multiLevelType w:val="hybridMultilevel"/>
    <w:tmpl w:val="99C6C6EA"/>
    <w:lvl w:ilvl="0" w:tplc="78DAA49A">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69815068"/>
    <w:multiLevelType w:val="hybridMultilevel"/>
    <w:tmpl w:val="CE32F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A1C0949"/>
    <w:multiLevelType w:val="hybridMultilevel"/>
    <w:tmpl w:val="C630B2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AD00AEA"/>
    <w:multiLevelType w:val="hybridMultilevel"/>
    <w:tmpl w:val="BBEE2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BB42D05"/>
    <w:multiLevelType w:val="hybridMultilevel"/>
    <w:tmpl w:val="894486EE"/>
    <w:lvl w:ilvl="0" w:tplc="04150003">
      <w:start w:val="1"/>
      <w:numFmt w:val="bullet"/>
      <w:lvlText w:val="o"/>
      <w:lvlJc w:val="left"/>
      <w:pPr>
        <w:ind w:left="1080" w:hanging="360"/>
      </w:pPr>
      <w:rPr>
        <w:rFonts w:ascii="Courier New" w:hAnsi="Courier New" w:cs="Courier New"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1">
    <w:nsid w:val="6C48501C"/>
    <w:multiLevelType w:val="hybridMultilevel"/>
    <w:tmpl w:val="26C81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E8111AB"/>
    <w:multiLevelType w:val="hybridMultilevel"/>
    <w:tmpl w:val="EB327D8E"/>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3">
    <w:nsid w:val="6EB61162"/>
    <w:multiLevelType w:val="hybridMultilevel"/>
    <w:tmpl w:val="5134A6A6"/>
    <w:lvl w:ilvl="0" w:tplc="04150001">
      <w:start w:val="1"/>
      <w:numFmt w:val="bullet"/>
      <w:lvlText w:val=""/>
      <w:lvlJc w:val="left"/>
      <w:pPr>
        <w:ind w:left="720" w:hanging="360"/>
      </w:pPr>
      <w:rPr>
        <w:rFonts w:ascii="Symbol" w:hAnsi="Symbol" w:hint="default"/>
      </w:rPr>
    </w:lvl>
    <w:lvl w:ilvl="1" w:tplc="04150013">
      <w:start w:val="1"/>
      <w:numFmt w:val="upperRoman"/>
      <w:lvlText w:val="%2."/>
      <w:lvlJc w:val="righ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F9B6BD3"/>
    <w:multiLevelType w:val="hybridMultilevel"/>
    <w:tmpl w:val="A4EA55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FD50D02"/>
    <w:multiLevelType w:val="hybridMultilevel"/>
    <w:tmpl w:val="622CA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13129D2"/>
    <w:multiLevelType w:val="hybridMultilevel"/>
    <w:tmpl w:val="176C0E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26E40A8"/>
    <w:multiLevelType w:val="hybridMultilevel"/>
    <w:tmpl w:val="792CFB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5077077"/>
    <w:multiLevelType w:val="hybridMultilevel"/>
    <w:tmpl w:val="8D72CB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75AB75F4"/>
    <w:multiLevelType w:val="hybridMultilevel"/>
    <w:tmpl w:val="C8ECB3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63C1E60"/>
    <w:multiLevelType w:val="hybridMultilevel"/>
    <w:tmpl w:val="2272FC7E"/>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1">
    <w:nsid w:val="780F2A6F"/>
    <w:multiLevelType w:val="multilevel"/>
    <w:tmpl w:val="968AD290"/>
    <w:lvl w:ilvl="0">
      <w:start w:val="1"/>
      <w:numFmt w:val="decimal"/>
      <w:lvlText w:val="%1."/>
      <w:lvlJc w:val="left"/>
      <w:pPr>
        <w:ind w:left="1146" w:hanging="360"/>
      </w:pPr>
      <w:rPr>
        <w:rFonts w:hint="default"/>
      </w:rPr>
    </w:lvl>
    <w:lvl w:ilvl="1">
      <w:start w:val="7"/>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2">
    <w:nsid w:val="785B1DEC"/>
    <w:multiLevelType w:val="hybridMultilevel"/>
    <w:tmpl w:val="2BBC58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A097F7A"/>
    <w:multiLevelType w:val="hybridMultilevel"/>
    <w:tmpl w:val="7D489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A1258EF"/>
    <w:multiLevelType w:val="hybridMultilevel"/>
    <w:tmpl w:val="277E70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C6D47D9"/>
    <w:multiLevelType w:val="hybridMultilevel"/>
    <w:tmpl w:val="2DE4E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CC02551"/>
    <w:multiLevelType w:val="hybridMultilevel"/>
    <w:tmpl w:val="B128D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D7125C2"/>
    <w:multiLevelType w:val="hybridMultilevel"/>
    <w:tmpl w:val="650E2702"/>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8">
    <w:nsid w:val="7EA72301"/>
    <w:multiLevelType w:val="hybridMultilevel"/>
    <w:tmpl w:val="0B2CE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6"/>
  </w:num>
  <w:num w:numId="2">
    <w:abstractNumId w:val="43"/>
  </w:num>
  <w:num w:numId="3">
    <w:abstractNumId w:val="47"/>
  </w:num>
  <w:num w:numId="4">
    <w:abstractNumId w:val="52"/>
  </w:num>
  <w:num w:numId="5">
    <w:abstractNumId w:val="13"/>
  </w:num>
  <w:num w:numId="6">
    <w:abstractNumId w:val="44"/>
  </w:num>
  <w:num w:numId="7">
    <w:abstractNumId w:val="93"/>
  </w:num>
  <w:num w:numId="8">
    <w:abstractNumId w:val="46"/>
  </w:num>
  <w:num w:numId="9">
    <w:abstractNumId w:val="111"/>
  </w:num>
  <w:num w:numId="10">
    <w:abstractNumId w:val="12"/>
  </w:num>
  <w:num w:numId="11">
    <w:abstractNumId w:val="27"/>
  </w:num>
  <w:num w:numId="12">
    <w:abstractNumId w:val="103"/>
  </w:num>
  <w:num w:numId="13">
    <w:abstractNumId w:val="34"/>
  </w:num>
  <w:num w:numId="14">
    <w:abstractNumId w:val="84"/>
  </w:num>
  <w:num w:numId="15">
    <w:abstractNumId w:val="0"/>
  </w:num>
  <w:num w:numId="16">
    <w:abstractNumId w:val="38"/>
  </w:num>
  <w:num w:numId="17">
    <w:abstractNumId w:val="23"/>
  </w:num>
  <w:num w:numId="18">
    <w:abstractNumId w:val="48"/>
  </w:num>
  <w:num w:numId="19">
    <w:abstractNumId w:val="87"/>
  </w:num>
  <w:num w:numId="20">
    <w:abstractNumId w:val="21"/>
  </w:num>
  <w:num w:numId="21">
    <w:abstractNumId w:val="117"/>
  </w:num>
  <w:num w:numId="22">
    <w:abstractNumId w:val="108"/>
  </w:num>
  <w:num w:numId="23">
    <w:abstractNumId w:val="112"/>
  </w:num>
  <w:num w:numId="24">
    <w:abstractNumId w:val="31"/>
  </w:num>
  <w:num w:numId="25">
    <w:abstractNumId w:val="65"/>
  </w:num>
  <w:num w:numId="26">
    <w:abstractNumId w:val="54"/>
  </w:num>
  <w:num w:numId="27">
    <w:abstractNumId w:val="28"/>
  </w:num>
  <w:num w:numId="28">
    <w:abstractNumId w:val="88"/>
  </w:num>
  <w:num w:numId="29">
    <w:abstractNumId w:val="109"/>
  </w:num>
  <w:num w:numId="30">
    <w:abstractNumId w:val="80"/>
  </w:num>
  <w:num w:numId="31">
    <w:abstractNumId w:val="58"/>
  </w:num>
  <w:num w:numId="32">
    <w:abstractNumId w:val="61"/>
  </w:num>
  <w:num w:numId="33">
    <w:abstractNumId w:val="106"/>
  </w:num>
  <w:num w:numId="34">
    <w:abstractNumId w:val="32"/>
  </w:num>
  <w:num w:numId="35">
    <w:abstractNumId w:val="78"/>
  </w:num>
  <w:num w:numId="36">
    <w:abstractNumId w:val="35"/>
  </w:num>
  <w:num w:numId="37">
    <w:abstractNumId w:val="67"/>
  </w:num>
  <w:num w:numId="38">
    <w:abstractNumId w:val="9"/>
  </w:num>
  <w:num w:numId="39">
    <w:abstractNumId w:val="18"/>
  </w:num>
  <w:num w:numId="40">
    <w:abstractNumId w:val="98"/>
  </w:num>
  <w:num w:numId="41">
    <w:abstractNumId w:val="110"/>
  </w:num>
  <w:num w:numId="42">
    <w:abstractNumId w:val="86"/>
  </w:num>
  <w:num w:numId="43">
    <w:abstractNumId w:val="50"/>
  </w:num>
  <w:num w:numId="44">
    <w:abstractNumId w:val="30"/>
  </w:num>
  <w:num w:numId="45">
    <w:abstractNumId w:val="85"/>
  </w:num>
  <w:num w:numId="46">
    <w:abstractNumId w:val="75"/>
  </w:num>
  <w:num w:numId="47">
    <w:abstractNumId w:val="10"/>
  </w:num>
  <w:num w:numId="48">
    <w:abstractNumId w:val="2"/>
  </w:num>
  <w:num w:numId="49">
    <w:abstractNumId w:val="37"/>
  </w:num>
  <w:num w:numId="50">
    <w:abstractNumId w:val="94"/>
  </w:num>
  <w:num w:numId="51">
    <w:abstractNumId w:val="60"/>
  </w:num>
  <w:num w:numId="52">
    <w:abstractNumId w:val="62"/>
  </w:num>
  <w:num w:numId="53">
    <w:abstractNumId w:val="116"/>
  </w:num>
  <w:num w:numId="54">
    <w:abstractNumId w:val="91"/>
  </w:num>
  <w:num w:numId="55">
    <w:abstractNumId w:val="33"/>
  </w:num>
  <w:num w:numId="56">
    <w:abstractNumId w:val="71"/>
  </w:num>
  <w:num w:numId="57">
    <w:abstractNumId w:val="17"/>
  </w:num>
  <w:num w:numId="58">
    <w:abstractNumId w:val="41"/>
  </w:num>
  <w:num w:numId="59">
    <w:abstractNumId w:val="99"/>
  </w:num>
  <w:num w:numId="60">
    <w:abstractNumId w:val="100"/>
  </w:num>
  <w:num w:numId="61">
    <w:abstractNumId w:val="53"/>
  </w:num>
  <w:num w:numId="62">
    <w:abstractNumId w:val="39"/>
  </w:num>
  <w:num w:numId="63">
    <w:abstractNumId w:val="16"/>
  </w:num>
  <w:num w:numId="64">
    <w:abstractNumId w:val="68"/>
  </w:num>
  <w:num w:numId="65">
    <w:abstractNumId w:val="22"/>
  </w:num>
  <w:num w:numId="66">
    <w:abstractNumId w:val="104"/>
  </w:num>
  <w:num w:numId="67">
    <w:abstractNumId w:val="25"/>
  </w:num>
  <w:num w:numId="68">
    <w:abstractNumId w:val="26"/>
  </w:num>
  <w:num w:numId="69">
    <w:abstractNumId w:val="59"/>
  </w:num>
  <w:num w:numId="70">
    <w:abstractNumId w:val="118"/>
  </w:num>
  <w:num w:numId="71">
    <w:abstractNumId w:val="97"/>
  </w:num>
  <w:num w:numId="72">
    <w:abstractNumId w:val="5"/>
  </w:num>
  <w:num w:numId="73">
    <w:abstractNumId w:val="70"/>
  </w:num>
  <w:num w:numId="74">
    <w:abstractNumId w:val="51"/>
  </w:num>
  <w:num w:numId="75">
    <w:abstractNumId w:val="40"/>
  </w:num>
  <w:num w:numId="76">
    <w:abstractNumId w:val="72"/>
  </w:num>
  <w:num w:numId="77">
    <w:abstractNumId w:val="11"/>
  </w:num>
  <w:num w:numId="78">
    <w:abstractNumId w:val="114"/>
  </w:num>
  <w:num w:numId="79">
    <w:abstractNumId w:val="92"/>
  </w:num>
  <w:num w:numId="80">
    <w:abstractNumId w:val="3"/>
  </w:num>
  <w:num w:numId="81">
    <w:abstractNumId w:val="95"/>
  </w:num>
  <w:num w:numId="82">
    <w:abstractNumId w:val="107"/>
  </w:num>
  <w:num w:numId="83">
    <w:abstractNumId w:val="89"/>
  </w:num>
  <w:num w:numId="84">
    <w:abstractNumId w:val="102"/>
  </w:num>
  <w:num w:numId="85">
    <w:abstractNumId w:val="82"/>
  </w:num>
  <w:num w:numId="86">
    <w:abstractNumId w:val="8"/>
  </w:num>
  <w:num w:numId="87">
    <w:abstractNumId w:val="1"/>
  </w:num>
  <w:num w:numId="88">
    <w:abstractNumId w:val="49"/>
  </w:num>
  <w:num w:numId="89">
    <w:abstractNumId w:val="20"/>
  </w:num>
  <w:num w:numId="90">
    <w:abstractNumId w:val="4"/>
  </w:num>
  <w:num w:numId="91">
    <w:abstractNumId w:val="6"/>
  </w:num>
  <w:num w:numId="92">
    <w:abstractNumId w:val="81"/>
  </w:num>
  <w:num w:numId="93">
    <w:abstractNumId w:val="66"/>
  </w:num>
  <w:num w:numId="94">
    <w:abstractNumId w:val="74"/>
  </w:num>
  <w:num w:numId="95">
    <w:abstractNumId w:val="15"/>
  </w:num>
  <w:num w:numId="96">
    <w:abstractNumId w:val="101"/>
  </w:num>
  <w:num w:numId="97">
    <w:abstractNumId w:val="45"/>
  </w:num>
  <w:num w:numId="98">
    <w:abstractNumId w:val="24"/>
  </w:num>
  <w:num w:numId="99">
    <w:abstractNumId w:val="14"/>
  </w:num>
  <w:num w:numId="100">
    <w:abstractNumId w:val="64"/>
  </w:num>
  <w:num w:numId="101">
    <w:abstractNumId w:val="79"/>
  </w:num>
  <w:num w:numId="102">
    <w:abstractNumId w:val="113"/>
  </w:num>
  <w:num w:numId="103">
    <w:abstractNumId w:val="115"/>
  </w:num>
  <w:num w:numId="104">
    <w:abstractNumId w:val="42"/>
  </w:num>
  <w:num w:numId="105">
    <w:abstractNumId w:val="63"/>
  </w:num>
  <w:num w:numId="106">
    <w:abstractNumId w:val="57"/>
  </w:num>
  <w:num w:numId="107">
    <w:abstractNumId w:val="7"/>
  </w:num>
  <w:num w:numId="108">
    <w:abstractNumId w:val="77"/>
  </w:num>
  <w:num w:numId="109">
    <w:abstractNumId w:val="105"/>
  </w:num>
  <w:num w:numId="110">
    <w:abstractNumId w:val="19"/>
  </w:num>
  <w:num w:numId="111">
    <w:abstractNumId w:val="83"/>
  </w:num>
  <w:num w:numId="112">
    <w:abstractNumId w:val="96"/>
  </w:num>
  <w:num w:numId="113">
    <w:abstractNumId w:val="69"/>
  </w:num>
  <w:num w:numId="114">
    <w:abstractNumId w:val="36"/>
  </w:num>
  <w:num w:numId="115">
    <w:abstractNumId w:val="55"/>
  </w:num>
  <w:num w:numId="116">
    <w:abstractNumId w:val="29"/>
  </w:num>
  <w:num w:numId="117">
    <w:abstractNumId w:val="73"/>
  </w:num>
  <w:num w:numId="118">
    <w:abstractNumId w:val="90"/>
  </w:num>
  <w:num w:numId="119">
    <w:abstractNumId w:val="5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oNotTrackFormatting/>
  <w:defaultTabStop w:val="708"/>
  <w:hyphenationZone w:val="425"/>
  <w:drawingGridHorizontalSpacing w:val="110"/>
  <w:displayHorizontalDrawingGridEvery w:val="2"/>
  <w:characterSpacingControl w:val="doNotCompress"/>
  <w:hdrShapeDefaults>
    <o:shapedefaults v:ext="edit" spidmax="12289" fillcolor="white">
      <v:fill color="white"/>
      <v:shadow on="t" opacity=".5" offset="-6pt,-6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8B8"/>
    <w:rsid w:val="0000268A"/>
    <w:rsid w:val="0000269C"/>
    <w:rsid w:val="000028D0"/>
    <w:rsid w:val="00002973"/>
    <w:rsid w:val="00002E4C"/>
    <w:rsid w:val="00003230"/>
    <w:rsid w:val="000048E8"/>
    <w:rsid w:val="00005304"/>
    <w:rsid w:val="00005BBF"/>
    <w:rsid w:val="00006DB0"/>
    <w:rsid w:val="00007558"/>
    <w:rsid w:val="00007F92"/>
    <w:rsid w:val="000106A0"/>
    <w:rsid w:val="00010BCD"/>
    <w:rsid w:val="00011577"/>
    <w:rsid w:val="000119C8"/>
    <w:rsid w:val="000129B2"/>
    <w:rsid w:val="00013307"/>
    <w:rsid w:val="000139C7"/>
    <w:rsid w:val="0001411A"/>
    <w:rsid w:val="00014120"/>
    <w:rsid w:val="00014920"/>
    <w:rsid w:val="00014B46"/>
    <w:rsid w:val="00016EDC"/>
    <w:rsid w:val="000177E7"/>
    <w:rsid w:val="00017E8C"/>
    <w:rsid w:val="00021C6A"/>
    <w:rsid w:val="00022999"/>
    <w:rsid w:val="00022BA8"/>
    <w:rsid w:val="000232E9"/>
    <w:rsid w:val="00024D1C"/>
    <w:rsid w:val="00024E08"/>
    <w:rsid w:val="000256A5"/>
    <w:rsid w:val="000259C3"/>
    <w:rsid w:val="00026CC6"/>
    <w:rsid w:val="00027498"/>
    <w:rsid w:val="0002784D"/>
    <w:rsid w:val="000306B8"/>
    <w:rsid w:val="00030C32"/>
    <w:rsid w:val="000325BD"/>
    <w:rsid w:val="000329B4"/>
    <w:rsid w:val="00032AD7"/>
    <w:rsid w:val="00032F52"/>
    <w:rsid w:val="00033BD2"/>
    <w:rsid w:val="0003421F"/>
    <w:rsid w:val="00034D78"/>
    <w:rsid w:val="000354E1"/>
    <w:rsid w:val="00035924"/>
    <w:rsid w:val="00035FB1"/>
    <w:rsid w:val="00035FC3"/>
    <w:rsid w:val="00036542"/>
    <w:rsid w:val="000365A3"/>
    <w:rsid w:val="0003670C"/>
    <w:rsid w:val="00036AC2"/>
    <w:rsid w:val="00037BAA"/>
    <w:rsid w:val="00041971"/>
    <w:rsid w:val="000431A1"/>
    <w:rsid w:val="00043280"/>
    <w:rsid w:val="00044B06"/>
    <w:rsid w:val="00044BE2"/>
    <w:rsid w:val="00045585"/>
    <w:rsid w:val="000457C0"/>
    <w:rsid w:val="000473B7"/>
    <w:rsid w:val="000478E8"/>
    <w:rsid w:val="000479B1"/>
    <w:rsid w:val="00047E75"/>
    <w:rsid w:val="0005027E"/>
    <w:rsid w:val="00050763"/>
    <w:rsid w:val="000515A9"/>
    <w:rsid w:val="00051BAD"/>
    <w:rsid w:val="00051D26"/>
    <w:rsid w:val="000523FB"/>
    <w:rsid w:val="00052EFA"/>
    <w:rsid w:val="00053129"/>
    <w:rsid w:val="00053B62"/>
    <w:rsid w:val="000541E3"/>
    <w:rsid w:val="000546B9"/>
    <w:rsid w:val="00054C29"/>
    <w:rsid w:val="00055C5F"/>
    <w:rsid w:val="00056093"/>
    <w:rsid w:val="000569FB"/>
    <w:rsid w:val="00056C0B"/>
    <w:rsid w:val="0005756C"/>
    <w:rsid w:val="000576EA"/>
    <w:rsid w:val="00057EB5"/>
    <w:rsid w:val="000618D9"/>
    <w:rsid w:val="000627EB"/>
    <w:rsid w:val="00062EC5"/>
    <w:rsid w:val="00062ECB"/>
    <w:rsid w:val="0006303E"/>
    <w:rsid w:val="00063482"/>
    <w:rsid w:val="000635F3"/>
    <w:rsid w:val="00063C64"/>
    <w:rsid w:val="00063DFC"/>
    <w:rsid w:val="00065316"/>
    <w:rsid w:val="00065B23"/>
    <w:rsid w:val="0006666B"/>
    <w:rsid w:val="000667E9"/>
    <w:rsid w:val="0006708D"/>
    <w:rsid w:val="000677BA"/>
    <w:rsid w:val="000706A4"/>
    <w:rsid w:val="00070BCC"/>
    <w:rsid w:val="00071005"/>
    <w:rsid w:val="00071BF3"/>
    <w:rsid w:val="00072822"/>
    <w:rsid w:val="00073712"/>
    <w:rsid w:val="00073B6B"/>
    <w:rsid w:val="0007408D"/>
    <w:rsid w:val="00074B5D"/>
    <w:rsid w:val="00074DB4"/>
    <w:rsid w:val="000763BD"/>
    <w:rsid w:val="00076706"/>
    <w:rsid w:val="000767A0"/>
    <w:rsid w:val="000778ED"/>
    <w:rsid w:val="00077A56"/>
    <w:rsid w:val="00077CB1"/>
    <w:rsid w:val="00080476"/>
    <w:rsid w:val="000809B5"/>
    <w:rsid w:val="00080AC6"/>
    <w:rsid w:val="000822E7"/>
    <w:rsid w:val="00082A26"/>
    <w:rsid w:val="000834FB"/>
    <w:rsid w:val="00083CFF"/>
    <w:rsid w:val="0008404E"/>
    <w:rsid w:val="000851F8"/>
    <w:rsid w:val="00085AE3"/>
    <w:rsid w:val="00086A4D"/>
    <w:rsid w:val="0008744C"/>
    <w:rsid w:val="00087896"/>
    <w:rsid w:val="00087D77"/>
    <w:rsid w:val="00090DA1"/>
    <w:rsid w:val="000911AE"/>
    <w:rsid w:val="000920F6"/>
    <w:rsid w:val="00093B12"/>
    <w:rsid w:val="00096306"/>
    <w:rsid w:val="0009651B"/>
    <w:rsid w:val="00096E83"/>
    <w:rsid w:val="000974CF"/>
    <w:rsid w:val="00097F79"/>
    <w:rsid w:val="000A0032"/>
    <w:rsid w:val="000A0980"/>
    <w:rsid w:val="000A0B83"/>
    <w:rsid w:val="000A1B48"/>
    <w:rsid w:val="000A2A74"/>
    <w:rsid w:val="000A3469"/>
    <w:rsid w:val="000A3621"/>
    <w:rsid w:val="000A40AA"/>
    <w:rsid w:val="000A4DED"/>
    <w:rsid w:val="000A4E78"/>
    <w:rsid w:val="000A547B"/>
    <w:rsid w:val="000A5ACE"/>
    <w:rsid w:val="000A7223"/>
    <w:rsid w:val="000A746C"/>
    <w:rsid w:val="000A7B46"/>
    <w:rsid w:val="000A7F17"/>
    <w:rsid w:val="000B0D3F"/>
    <w:rsid w:val="000B1029"/>
    <w:rsid w:val="000B1C64"/>
    <w:rsid w:val="000B24C8"/>
    <w:rsid w:val="000B2E2C"/>
    <w:rsid w:val="000B35B1"/>
    <w:rsid w:val="000B49E3"/>
    <w:rsid w:val="000B673D"/>
    <w:rsid w:val="000B77F9"/>
    <w:rsid w:val="000C0727"/>
    <w:rsid w:val="000C22FA"/>
    <w:rsid w:val="000C2964"/>
    <w:rsid w:val="000C2AF3"/>
    <w:rsid w:val="000C2B7E"/>
    <w:rsid w:val="000C2DA0"/>
    <w:rsid w:val="000C3072"/>
    <w:rsid w:val="000C326A"/>
    <w:rsid w:val="000C46F5"/>
    <w:rsid w:val="000C524E"/>
    <w:rsid w:val="000C564F"/>
    <w:rsid w:val="000C5D89"/>
    <w:rsid w:val="000C7441"/>
    <w:rsid w:val="000C76A6"/>
    <w:rsid w:val="000D00DA"/>
    <w:rsid w:val="000D0BBF"/>
    <w:rsid w:val="000D31DD"/>
    <w:rsid w:val="000D3861"/>
    <w:rsid w:val="000D39FA"/>
    <w:rsid w:val="000D445C"/>
    <w:rsid w:val="000D4516"/>
    <w:rsid w:val="000D48B9"/>
    <w:rsid w:val="000D5DAF"/>
    <w:rsid w:val="000D67E9"/>
    <w:rsid w:val="000D7F7B"/>
    <w:rsid w:val="000E043C"/>
    <w:rsid w:val="000E2B8D"/>
    <w:rsid w:val="000E2BB8"/>
    <w:rsid w:val="000E2F3F"/>
    <w:rsid w:val="000E4A2C"/>
    <w:rsid w:val="000E5221"/>
    <w:rsid w:val="000E5D8E"/>
    <w:rsid w:val="000E5DC9"/>
    <w:rsid w:val="000E5E47"/>
    <w:rsid w:val="000E63D8"/>
    <w:rsid w:val="000E6DAB"/>
    <w:rsid w:val="000E716D"/>
    <w:rsid w:val="000E71E3"/>
    <w:rsid w:val="000E7FFB"/>
    <w:rsid w:val="000F04E4"/>
    <w:rsid w:val="000F0885"/>
    <w:rsid w:val="000F16D3"/>
    <w:rsid w:val="000F303B"/>
    <w:rsid w:val="000F38FF"/>
    <w:rsid w:val="000F3971"/>
    <w:rsid w:val="000F3CD3"/>
    <w:rsid w:val="000F40E3"/>
    <w:rsid w:val="000F55F1"/>
    <w:rsid w:val="000F5958"/>
    <w:rsid w:val="000F6B35"/>
    <w:rsid w:val="000F7D23"/>
    <w:rsid w:val="000F7EEA"/>
    <w:rsid w:val="00102165"/>
    <w:rsid w:val="001046AF"/>
    <w:rsid w:val="00105113"/>
    <w:rsid w:val="0010593F"/>
    <w:rsid w:val="00106878"/>
    <w:rsid w:val="00106D89"/>
    <w:rsid w:val="00106E4B"/>
    <w:rsid w:val="001078B8"/>
    <w:rsid w:val="001104BD"/>
    <w:rsid w:val="00110BB3"/>
    <w:rsid w:val="00111D19"/>
    <w:rsid w:val="00112148"/>
    <w:rsid w:val="0011293B"/>
    <w:rsid w:val="00112AAA"/>
    <w:rsid w:val="00113B0E"/>
    <w:rsid w:val="00114E41"/>
    <w:rsid w:val="0011554A"/>
    <w:rsid w:val="00116383"/>
    <w:rsid w:val="00116F77"/>
    <w:rsid w:val="0011750C"/>
    <w:rsid w:val="00117939"/>
    <w:rsid w:val="00117E08"/>
    <w:rsid w:val="0012104D"/>
    <w:rsid w:val="0012117E"/>
    <w:rsid w:val="00122626"/>
    <w:rsid w:val="00123786"/>
    <w:rsid w:val="00123920"/>
    <w:rsid w:val="001251CC"/>
    <w:rsid w:val="00125526"/>
    <w:rsid w:val="001265EF"/>
    <w:rsid w:val="0012683F"/>
    <w:rsid w:val="001268E7"/>
    <w:rsid w:val="0012693E"/>
    <w:rsid w:val="00126FA1"/>
    <w:rsid w:val="00127D83"/>
    <w:rsid w:val="001305F2"/>
    <w:rsid w:val="00130B1C"/>
    <w:rsid w:val="00130C11"/>
    <w:rsid w:val="001314D2"/>
    <w:rsid w:val="0013181D"/>
    <w:rsid w:val="00133737"/>
    <w:rsid w:val="00134A81"/>
    <w:rsid w:val="00135561"/>
    <w:rsid w:val="001369A1"/>
    <w:rsid w:val="001370E5"/>
    <w:rsid w:val="0013749C"/>
    <w:rsid w:val="00137A08"/>
    <w:rsid w:val="001415C4"/>
    <w:rsid w:val="00141C9C"/>
    <w:rsid w:val="00142604"/>
    <w:rsid w:val="00142944"/>
    <w:rsid w:val="00142A3B"/>
    <w:rsid w:val="00142BF4"/>
    <w:rsid w:val="0014343F"/>
    <w:rsid w:val="00144939"/>
    <w:rsid w:val="00144B17"/>
    <w:rsid w:val="00144B4D"/>
    <w:rsid w:val="00144F28"/>
    <w:rsid w:val="001450D9"/>
    <w:rsid w:val="00145F25"/>
    <w:rsid w:val="00145F6B"/>
    <w:rsid w:val="00146233"/>
    <w:rsid w:val="001476D6"/>
    <w:rsid w:val="00147B33"/>
    <w:rsid w:val="00147D52"/>
    <w:rsid w:val="001510C3"/>
    <w:rsid w:val="00152222"/>
    <w:rsid w:val="001532D7"/>
    <w:rsid w:val="00154225"/>
    <w:rsid w:val="001549C1"/>
    <w:rsid w:val="00155616"/>
    <w:rsid w:val="00155A2E"/>
    <w:rsid w:val="00155ABF"/>
    <w:rsid w:val="00156151"/>
    <w:rsid w:val="00156635"/>
    <w:rsid w:val="00156AEA"/>
    <w:rsid w:val="00156E32"/>
    <w:rsid w:val="00157EF5"/>
    <w:rsid w:val="00160A36"/>
    <w:rsid w:val="001611B5"/>
    <w:rsid w:val="00165D8A"/>
    <w:rsid w:val="00166B85"/>
    <w:rsid w:val="00166E4D"/>
    <w:rsid w:val="001671F1"/>
    <w:rsid w:val="00172381"/>
    <w:rsid w:val="00172CC0"/>
    <w:rsid w:val="00173B8D"/>
    <w:rsid w:val="00173FED"/>
    <w:rsid w:val="001743D0"/>
    <w:rsid w:val="00174882"/>
    <w:rsid w:val="001755E8"/>
    <w:rsid w:val="0017568C"/>
    <w:rsid w:val="0017585B"/>
    <w:rsid w:val="001759F9"/>
    <w:rsid w:val="00176637"/>
    <w:rsid w:val="00180161"/>
    <w:rsid w:val="00180986"/>
    <w:rsid w:val="00180F2F"/>
    <w:rsid w:val="001813FD"/>
    <w:rsid w:val="00181B6A"/>
    <w:rsid w:val="00181CC5"/>
    <w:rsid w:val="001821B7"/>
    <w:rsid w:val="00182F22"/>
    <w:rsid w:val="0018303C"/>
    <w:rsid w:val="00184A29"/>
    <w:rsid w:val="00184BD1"/>
    <w:rsid w:val="00186BC8"/>
    <w:rsid w:val="00187831"/>
    <w:rsid w:val="0019002A"/>
    <w:rsid w:val="0019099E"/>
    <w:rsid w:val="001920EF"/>
    <w:rsid w:val="0019345E"/>
    <w:rsid w:val="00193F2D"/>
    <w:rsid w:val="00195D42"/>
    <w:rsid w:val="001961B7"/>
    <w:rsid w:val="00196375"/>
    <w:rsid w:val="00196B7D"/>
    <w:rsid w:val="001A0823"/>
    <w:rsid w:val="001A0931"/>
    <w:rsid w:val="001A1508"/>
    <w:rsid w:val="001A16ED"/>
    <w:rsid w:val="001A20C1"/>
    <w:rsid w:val="001A2BAF"/>
    <w:rsid w:val="001A2D6E"/>
    <w:rsid w:val="001A33D9"/>
    <w:rsid w:val="001A3C83"/>
    <w:rsid w:val="001A4962"/>
    <w:rsid w:val="001A4E9C"/>
    <w:rsid w:val="001A52D9"/>
    <w:rsid w:val="001A59B6"/>
    <w:rsid w:val="001A68FC"/>
    <w:rsid w:val="001A7FD4"/>
    <w:rsid w:val="001B0A58"/>
    <w:rsid w:val="001B0CE7"/>
    <w:rsid w:val="001B3120"/>
    <w:rsid w:val="001B32F3"/>
    <w:rsid w:val="001B3BFB"/>
    <w:rsid w:val="001B44A8"/>
    <w:rsid w:val="001B4D86"/>
    <w:rsid w:val="001B623B"/>
    <w:rsid w:val="001B6C30"/>
    <w:rsid w:val="001B6F4E"/>
    <w:rsid w:val="001B7308"/>
    <w:rsid w:val="001B7890"/>
    <w:rsid w:val="001C0071"/>
    <w:rsid w:val="001C12EE"/>
    <w:rsid w:val="001C1E89"/>
    <w:rsid w:val="001C1F7F"/>
    <w:rsid w:val="001C30FA"/>
    <w:rsid w:val="001C44AA"/>
    <w:rsid w:val="001C4F8B"/>
    <w:rsid w:val="001C52E1"/>
    <w:rsid w:val="001C5548"/>
    <w:rsid w:val="001C5DD3"/>
    <w:rsid w:val="001C60BA"/>
    <w:rsid w:val="001D0259"/>
    <w:rsid w:val="001D0D4D"/>
    <w:rsid w:val="001D1325"/>
    <w:rsid w:val="001D1C35"/>
    <w:rsid w:val="001D1CDE"/>
    <w:rsid w:val="001D2160"/>
    <w:rsid w:val="001D23F6"/>
    <w:rsid w:val="001D29CC"/>
    <w:rsid w:val="001D2D5A"/>
    <w:rsid w:val="001D4FF1"/>
    <w:rsid w:val="001D5BF3"/>
    <w:rsid w:val="001D60C4"/>
    <w:rsid w:val="001D637D"/>
    <w:rsid w:val="001D6931"/>
    <w:rsid w:val="001D6BB3"/>
    <w:rsid w:val="001E10FB"/>
    <w:rsid w:val="001E2A32"/>
    <w:rsid w:val="001E355B"/>
    <w:rsid w:val="001E3876"/>
    <w:rsid w:val="001E3BCE"/>
    <w:rsid w:val="001E4292"/>
    <w:rsid w:val="001E5D43"/>
    <w:rsid w:val="001E7613"/>
    <w:rsid w:val="001E7796"/>
    <w:rsid w:val="001E7ACD"/>
    <w:rsid w:val="001F0194"/>
    <w:rsid w:val="001F08BE"/>
    <w:rsid w:val="001F0CC6"/>
    <w:rsid w:val="001F1AB2"/>
    <w:rsid w:val="001F21A4"/>
    <w:rsid w:val="001F2827"/>
    <w:rsid w:val="001F2E58"/>
    <w:rsid w:val="001F323F"/>
    <w:rsid w:val="001F47EB"/>
    <w:rsid w:val="001F4C65"/>
    <w:rsid w:val="001F5090"/>
    <w:rsid w:val="001F6832"/>
    <w:rsid w:val="001F72CA"/>
    <w:rsid w:val="001F792C"/>
    <w:rsid w:val="0020031C"/>
    <w:rsid w:val="00200FE3"/>
    <w:rsid w:val="00201908"/>
    <w:rsid w:val="00202834"/>
    <w:rsid w:val="0020340C"/>
    <w:rsid w:val="00203446"/>
    <w:rsid w:val="00203B78"/>
    <w:rsid w:val="00204578"/>
    <w:rsid w:val="002054CF"/>
    <w:rsid w:val="00205F1E"/>
    <w:rsid w:val="00205F61"/>
    <w:rsid w:val="002063D0"/>
    <w:rsid w:val="00211820"/>
    <w:rsid w:val="00211995"/>
    <w:rsid w:val="002121CB"/>
    <w:rsid w:val="002125B0"/>
    <w:rsid w:val="00213715"/>
    <w:rsid w:val="0021376D"/>
    <w:rsid w:val="002141FE"/>
    <w:rsid w:val="002144E7"/>
    <w:rsid w:val="00214E45"/>
    <w:rsid w:val="0021697A"/>
    <w:rsid w:val="00217DBB"/>
    <w:rsid w:val="00221E37"/>
    <w:rsid w:val="00223D3F"/>
    <w:rsid w:val="00224301"/>
    <w:rsid w:val="00224CD8"/>
    <w:rsid w:val="0022525A"/>
    <w:rsid w:val="00226B91"/>
    <w:rsid w:val="00227B7E"/>
    <w:rsid w:val="00231D49"/>
    <w:rsid w:val="00232974"/>
    <w:rsid w:val="00233BCE"/>
    <w:rsid w:val="00234B20"/>
    <w:rsid w:val="00234E23"/>
    <w:rsid w:val="00235268"/>
    <w:rsid w:val="0023555C"/>
    <w:rsid w:val="00235A89"/>
    <w:rsid w:val="00237776"/>
    <w:rsid w:val="002377BD"/>
    <w:rsid w:val="002378C9"/>
    <w:rsid w:val="00237957"/>
    <w:rsid w:val="00241903"/>
    <w:rsid w:val="00241EA9"/>
    <w:rsid w:val="00242534"/>
    <w:rsid w:val="002429E8"/>
    <w:rsid w:val="00242E69"/>
    <w:rsid w:val="002436F5"/>
    <w:rsid w:val="00243B32"/>
    <w:rsid w:val="0024538C"/>
    <w:rsid w:val="00245456"/>
    <w:rsid w:val="00246345"/>
    <w:rsid w:val="0024660E"/>
    <w:rsid w:val="00246C96"/>
    <w:rsid w:val="0024715B"/>
    <w:rsid w:val="002502D8"/>
    <w:rsid w:val="002506E0"/>
    <w:rsid w:val="00250751"/>
    <w:rsid w:val="002508D7"/>
    <w:rsid w:val="002516CF"/>
    <w:rsid w:val="002535D0"/>
    <w:rsid w:val="002536F9"/>
    <w:rsid w:val="002537A4"/>
    <w:rsid w:val="00254081"/>
    <w:rsid w:val="00254A11"/>
    <w:rsid w:val="00254DE7"/>
    <w:rsid w:val="00255EE7"/>
    <w:rsid w:val="00257397"/>
    <w:rsid w:val="0026119B"/>
    <w:rsid w:val="00262BB6"/>
    <w:rsid w:val="00264841"/>
    <w:rsid w:val="00264EBB"/>
    <w:rsid w:val="002672D1"/>
    <w:rsid w:val="0026759A"/>
    <w:rsid w:val="00267C90"/>
    <w:rsid w:val="00267F60"/>
    <w:rsid w:val="00270364"/>
    <w:rsid w:val="002705C5"/>
    <w:rsid w:val="00270849"/>
    <w:rsid w:val="00270B36"/>
    <w:rsid w:val="00270E99"/>
    <w:rsid w:val="00272373"/>
    <w:rsid w:val="002729C9"/>
    <w:rsid w:val="00272E73"/>
    <w:rsid w:val="002767F7"/>
    <w:rsid w:val="00276E00"/>
    <w:rsid w:val="00277777"/>
    <w:rsid w:val="00277D84"/>
    <w:rsid w:val="002815FD"/>
    <w:rsid w:val="0028240D"/>
    <w:rsid w:val="00282425"/>
    <w:rsid w:val="00282485"/>
    <w:rsid w:val="002825EE"/>
    <w:rsid w:val="00283EB4"/>
    <w:rsid w:val="002845E5"/>
    <w:rsid w:val="002849BB"/>
    <w:rsid w:val="00285846"/>
    <w:rsid w:val="00285B6C"/>
    <w:rsid w:val="0028652B"/>
    <w:rsid w:val="00286536"/>
    <w:rsid w:val="00286B1B"/>
    <w:rsid w:val="00287F7F"/>
    <w:rsid w:val="002902D9"/>
    <w:rsid w:val="00290A5E"/>
    <w:rsid w:val="00291219"/>
    <w:rsid w:val="00292AD3"/>
    <w:rsid w:val="00293B02"/>
    <w:rsid w:val="00293CDC"/>
    <w:rsid w:val="002949A9"/>
    <w:rsid w:val="00295F6A"/>
    <w:rsid w:val="00296851"/>
    <w:rsid w:val="002974FD"/>
    <w:rsid w:val="002A02EE"/>
    <w:rsid w:val="002A24AB"/>
    <w:rsid w:val="002A3012"/>
    <w:rsid w:val="002A37E2"/>
    <w:rsid w:val="002A3B66"/>
    <w:rsid w:val="002A447A"/>
    <w:rsid w:val="002A4AA6"/>
    <w:rsid w:val="002A5306"/>
    <w:rsid w:val="002A5753"/>
    <w:rsid w:val="002A5D8F"/>
    <w:rsid w:val="002A61D1"/>
    <w:rsid w:val="002A64F3"/>
    <w:rsid w:val="002A69C3"/>
    <w:rsid w:val="002A6F86"/>
    <w:rsid w:val="002A7429"/>
    <w:rsid w:val="002A7E2A"/>
    <w:rsid w:val="002B05BB"/>
    <w:rsid w:val="002B0734"/>
    <w:rsid w:val="002B0B1A"/>
    <w:rsid w:val="002B13D0"/>
    <w:rsid w:val="002B1440"/>
    <w:rsid w:val="002B1AB6"/>
    <w:rsid w:val="002B20F8"/>
    <w:rsid w:val="002B23EF"/>
    <w:rsid w:val="002B27DD"/>
    <w:rsid w:val="002B31DF"/>
    <w:rsid w:val="002B3F3B"/>
    <w:rsid w:val="002B3F89"/>
    <w:rsid w:val="002B4132"/>
    <w:rsid w:val="002B4199"/>
    <w:rsid w:val="002B4261"/>
    <w:rsid w:val="002B5B14"/>
    <w:rsid w:val="002B5D0E"/>
    <w:rsid w:val="002B66AF"/>
    <w:rsid w:val="002B6F20"/>
    <w:rsid w:val="002B7774"/>
    <w:rsid w:val="002B7C5D"/>
    <w:rsid w:val="002C0517"/>
    <w:rsid w:val="002C202A"/>
    <w:rsid w:val="002C20EF"/>
    <w:rsid w:val="002C23CE"/>
    <w:rsid w:val="002C24EE"/>
    <w:rsid w:val="002C569B"/>
    <w:rsid w:val="002C6158"/>
    <w:rsid w:val="002C707A"/>
    <w:rsid w:val="002C79EE"/>
    <w:rsid w:val="002D0823"/>
    <w:rsid w:val="002D16C3"/>
    <w:rsid w:val="002D1D1B"/>
    <w:rsid w:val="002D23CD"/>
    <w:rsid w:val="002D2B93"/>
    <w:rsid w:val="002D39D8"/>
    <w:rsid w:val="002D41BD"/>
    <w:rsid w:val="002D4E45"/>
    <w:rsid w:val="002D57B7"/>
    <w:rsid w:val="002D5F04"/>
    <w:rsid w:val="002D6C7E"/>
    <w:rsid w:val="002E1A08"/>
    <w:rsid w:val="002E2BE7"/>
    <w:rsid w:val="002E2C62"/>
    <w:rsid w:val="002E3FC2"/>
    <w:rsid w:val="002E4369"/>
    <w:rsid w:val="002E46B3"/>
    <w:rsid w:val="002E4F70"/>
    <w:rsid w:val="002E5A6A"/>
    <w:rsid w:val="002E5C6E"/>
    <w:rsid w:val="002E6095"/>
    <w:rsid w:val="002E61BB"/>
    <w:rsid w:val="002F029B"/>
    <w:rsid w:val="002F0A0F"/>
    <w:rsid w:val="002F0C3E"/>
    <w:rsid w:val="002F19C1"/>
    <w:rsid w:val="002F3258"/>
    <w:rsid w:val="002F3413"/>
    <w:rsid w:val="002F4AB1"/>
    <w:rsid w:val="002F509E"/>
    <w:rsid w:val="002F6C7B"/>
    <w:rsid w:val="002F7F03"/>
    <w:rsid w:val="00300F7C"/>
    <w:rsid w:val="00302009"/>
    <w:rsid w:val="0030611A"/>
    <w:rsid w:val="0030634F"/>
    <w:rsid w:val="00306380"/>
    <w:rsid w:val="00310461"/>
    <w:rsid w:val="00310F63"/>
    <w:rsid w:val="00312025"/>
    <w:rsid w:val="00313349"/>
    <w:rsid w:val="00313C2E"/>
    <w:rsid w:val="00313CE7"/>
    <w:rsid w:val="00313E24"/>
    <w:rsid w:val="00317929"/>
    <w:rsid w:val="00317BC5"/>
    <w:rsid w:val="00321D6B"/>
    <w:rsid w:val="00322148"/>
    <w:rsid w:val="003227BD"/>
    <w:rsid w:val="00323C4C"/>
    <w:rsid w:val="003244B3"/>
    <w:rsid w:val="003246C9"/>
    <w:rsid w:val="00324A31"/>
    <w:rsid w:val="00324BFB"/>
    <w:rsid w:val="003262A4"/>
    <w:rsid w:val="003279F7"/>
    <w:rsid w:val="003307C5"/>
    <w:rsid w:val="00331084"/>
    <w:rsid w:val="003310E4"/>
    <w:rsid w:val="003328A5"/>
    <w:rsid w:val="003329D4"/>
    <w:rsid w:val="0033420F"/>
    <w:rsid w:val="00335651"/>
    <w:rsid w:val="00335886"/>
    <w:rsid w:val="00336059"/>
    <w:rsid w:val="00336D9C"/>
    <w:rsid w:val="00337494"/>
    <w:rsid w:val="003407FB"/>
    <w:rsid w:val="003412A5"/>
    <w:rsid w:val="0034171E"/>
    <w:rsid w:val="003424B9"/>
    <w:rsid w:val="003428E1"/>
    <w:rsid w:val="00342BB7"/>
    <w:rsid w:val="00343014"/>
    <w:rsid w:val="00343507"/>
    <w:rsid w:val="003435DA"/>
    <w:rsid w:val="003446E0"/>
    <w:rsid w:val="003448B9"/>
    <w:rsid w:val="00345814"/>
    <w:rsid w:val="00345866"/>
    <w:rsid w:val="0034686F"/>
    <w:rsid w:val="00346C6B"/>
    <w:rsid w:val="00346F37"/>
    <w:rsid w:val="00347326"/>
    <w:rsid w:val="003478AB"/>
    <w:rsid w:val="00347A3C"/>
    <w:rsid w:val="00347AFA"/>
    <w:rsid w:val="00347B08"/>
    <w:rsid w:val="0035157A"/>
    <w:rsid w:val="00353733"/>
    <w:rsid w:val="00354358"/>
    <w:rsid w:val="003553D4"/>
    <w:rsid w:val="00355512"/>
    <w:rsid w:val="00355F12"/>
    <w:rsid w:val="00356935"/>
    <w:rsid w:val="00357904"/>
    <w:rsid w:val="0036020D"/>
    <w:rsid w:val="003617A2"/>
    <w:rsid w:val="00361AC5"/>
    <w:rsid w:val="003625CC"/>
    <w:rsid w:val="00362D08"/>
    <w:rsid w:val="0036354A"/>
    <w:rsid w:val="003646A9"/>
    <w:rsid w:val="00364B08"/>
    <w:rsid w:val="00364F74"/>
    <w:rsid w:val="003653D3"/>
    <w:rsid w:val="003654BE"/>
    <w:rsid w:val="00366221"/>
    <w:rsid w:val="00367235"/>
    <w:rsid w:val="00367FFE"/>
    <w:rsid w:val="0037053A"/>
    <w:rsid w:val="00370A56"/>
    <w:rsid w:val="00371F7E"/>
    <w:rsid w:val="00373E8C"/>
    <w:rsid w:val="00374C78"/>
    <w:rsid w:val="00374DF7"/>
    <w:rsid w:val="003754D7"/>
    <w:rsid w:val="003764E9"/>
    <w:rsid w:val="00376E06"/>
    <w:rsid w:val="00377DC6"/>
    <w:rsid w:val="00380DA2"/>
    <w:rsid w:val="00380F13"/>
    <w:rsid w:val="0038121B"/>
    <w:rsid w:val="0038135A"/>
    <w:rsid w:val="00381712"/>
    <w:rsid w:val="00381C48"/>
    <w:rsid w:val="00381CED"/>
    <w:rsid w:val="00382621"/>
    <w:rsid w:val="0038262A"/>
    <w:rsid w:val="003901C9"/>
    <w:rsid w:val="0039039A"/>
    <w:rsid w:val="00390853"/>
    <w:rsid w:val="003911A8"/>
    <w:rsid w:val="0039123D"/>
    <w:rsid w:val="00391E88"/>
    <w:rsid w:val="00392D10"/>
    <w:rsid w:val="00393CB5"/>
    <w:rsid w:val="003946A9"/>
    <w:rsid w:val="00395215"/>
    <w:rsid w:val="003953AF"/>
    <w:rsid w:val="0039552D"/>
    <w:rsid w:val="003961B5"/>
    <w:rsid w:val="00396F8E"/>
    <w:rsid w:val="0039726C"/>
    <w:rsid w:val="00397EA1"/>
    <w:rsid w:val="003A119F"/>
    <w:rsid w:val="003A26F8"/>
    <w:rsid w:val="003A2F28"/>
    <w:rsid w:val="003A5B69"/>
    <w:rsid w:val="003A5D7B"/>
    <w:rsid w:val="003A65D3"/>
    <w:rsid w:val="003A72E5"/>
    <w:rsid w:val="003A73CD"/>
    <w:rsid w:val="003A75FE"/>
    <w:rsid w:val="003B04D4"/>
    <w:rsid w:val="003B06C2"/>
    <w:rsid w:val="003B42AD"/>
    <w:rsid w:val="003B4E5B"/>
    <w:rsid w:val="003B65E4"/>
    <w:rsid w:val="003B6661"/>
    <w:rsid w:val="003B6C73"/>
    <w:rsid w:val="003B712E"/>
    <w:rsid w:val="003C011B"/>
    <w:rsid w:val="003C039E"/>
    <w:rsid w:val="003C0A6E"/>
    <w:rsid w:val="003C1497"/>
    <w:rsid w:val="003C1901"/>
    <w:rsid w:val="003C1ACE"/>
    <w:rsid w:val="003C22A4"/>
    <w:rsid w:val="003C2717"/>
    <w:rsid w:val="003C30A6"/>
    <w:rsid w:val="003C3411"/>
    <w:rsid w:val="003C4241"/>
    <w:rsid w:val="003C58BB"/>
    <w:rsid w:val="003D0106"/>
    <w:rsid w:val="003D0B11"/>
    <w:rsid w:val="003D0D06"/>
    <w:rsid w:val="003D1C4D"/>
    <w:rsid w:val="003D1D4C"/>
    <w:rsid w:val="003D3430"/>
    <w:rsid w:val="003D6524"/>
    <w:rsid w:val="003D6A3C"/>
    <w:rsid w:val="003D7951"/>
    <w:rsid w:val="003E1B89"/>
    <w:rsid w:val="003E42FE"/>
    <w:rsid w:val="003E4AEE"/>
    <w:rsid w:val="003E5A82"/>
    <w:rsid w:val="003E6256"/>
    <w:rsid w:val="003E6FD5"/>
    <w:rsid w:val="003E77D9"/>
    <w:rsid w:val="003E7A5C"/>
    <w:rsid w:val="003F04CE"/>
    <w:rsid w:val="003F0771"/>
    <w:rsid w:val="003F18AD"/>
    <w:rsid w:val="003F24B2"/>
    <w:rsid w:val="003F2AC9"/>
    <w:rsid w:val="003F3732"/>
    <w:rsid w:val="003F3D33"/>
    <w:rsid w:val="003F3FAC"/>
    <w:rsid w:val="003F41E6"/>
    <w:rsid w:val="003F50BC"/>
    <w:rsid w:val="003F581A"/>
    <w:rsid w:val="003F58DC"/>
    <w:rsid w:val="003F63E6"/>
    <w:rsid w:val="003F6C52"/>
    <w:rsid w:val="003F7BB5"/>
    <w:rsid w:val="004005B2"/>
    <w:rsid w:val="00402695"/>
    <w:rsid w:val="00403344"/>
    <w:rsid w:val="004038A9"/>
    <w:rsid w:val="00404047"/>
    <w:rsid w:val="00404815"/>
    <w:rsid w:val="00404A9F"/>
    <w:rsid w:val="00406A90"/>
    <w:rsid w:val="00406C81"/>
    <w:rsid w:val="00407729"/>
    <w:rsid w:val="004107A6"/>
    <w:rsid w:val="004125E7"/>
    <w:rsid w:val="00413449"/>
    <w:rsid w:val="0041580F"/>
    <w:rsid w:val="00415B70"/>
    <w:rsid w:val="004168BB"/>
    <w:rsid w:val="004206B8"/>
    <w:rsid w:val="00420BA7"/>
    <w:rsid w:val="00421E0F"/>
    <w:rsid w:val="00422C3C"/>
    <w:rsid w:val="00423206"/>
    <w:rsid w:val="00423890"/>
    <w:rsid w:val="004240AD"/>
    <w:rsid w:val="00424FC8"/>
    <w:rsid w:val="00426089"/>
    <w:rsid w:val="00426698"/>
    <w:rsid w:val="00426F8E"/>
    <w:rsid w:val="00430CAE"/>
    <w:rsid w:val="00430EC6"/>
    <w:rsid w:val="00431746"/>
    <w:rsid w:val="0043246B"/>
    <w:rsid w:val="00436128"/>
    <w:rsid w:val="00436C2A"/>
    <w:rsid w:val="00437B77"/>
    <w:rsid w:val="00437B94"/>
    <w:rsid w:val="00437E62"/>
    <w:rsid w:val="00440290"/>
    <w:rsid w:val="00441E54"/>
    <w:rsid w:val="00441FB8"/>
    <w:rsid w:val="0044395C"/>
    <w:rsid w:val="0044435E"/>
    <w:rsid w:val="0044494C"/>
    <w:rsid w:val="00445643"/>
    <w:rsid w:val="00447013"/>
    <w:rsid w:val="0045163C"/>
    <w:rsid w:val="00454944"/>
    <w:rsid w:val="004554FB"/>
    <w:rsid w:val="00455E20"/>
    <w:rsid w:val="00456274"/>
    <w:rsid w:val="00456423"/>
    <w:rsid w:val="00456895"/>
    <w:rsid w:val="00457248"/>
    <w:rsid w:val="00457F4B"/>
    <w:rsid w:val="00460C0F"/>
    <w:rsid w:val="0046101F"/>
    <w:rsid w:val="004636EC"/>
    <w:rsid w:val="004638C2"/>
    <w:rsid w:val="00465CF3"/>
    <w:rsid w:val="00465FFA"/>
    <w:rsid w:val="004661A2"/>
    <w:rsid w:val="00466422"/>
    <w:rsid w:val="004669A4"/>
    <w:rsid w:val="004679A6"/>
    <w:rsid w:val="004679AC"/>
    <w:rsid w:val="00470C9F"/>
    <w:rsid w:val="0047106A"/>
    <w:rsid w:val="00473168"/>
    <w:rsid w:val="00473182"/>
    <w:rsid w:val="004735DD"/>
    <w:rsid w:val="0047408E"/>
    <w:rsid w:val="00474164"/>
    <w:rsid w:val="0047521E"/>
    <w:rsid w:val="0047570E"/>
    <w:rsid w:val="00475D93"/>
    <w:rsid w:val="00477691"/>
    <w:rsid w:val="0048001E"/>
    <w:rsid w:val="004808C6"/>
    <w:rsid w:val="00480916"/>
    <w:rsid w:val="00480A66"/>
    <w:rsid w:val="00481C67"/>
    <w:rsid w:val="00482097"/>
    <w:rsid w:val="004826F1"/>
    <w:rsid w:val="00482FF4"/>
    <w:rsid w:val="004831C5"/>
    <w:rsid w:val="00483AB4"/>
    <w:rsid w:val="00483D7F"/>
    <w:rsid w:val="004840B2"/>
    <w:rsid w:val="00487C42"/>
    <w:rsid w:val="004908FA"/>
    <w:rsid w:val="00491311"/>
    <w:rsid w:val="004938BE"/>
    <w:rsid w:val="004946F2"/>
    <w:rsid w:val="00494933"/>
    <w:rsid w:val="00495379"/>
    <w:rsid w:val="004954A3"/>
    <w:rsid w:val="00496E7A"/>
    <w:rsid w:val="00497152"/>
    <w:rsid w:val="00497647"/>
    <w:rsid w:val="004A13B6"/>
    <w:rsid w:val="004A1D93"/>
    <w:rsid w:val="004A509F"/>
    <w:rsid w:val="004A54F6"/>
    <w:rsid w:val="004A55FD"/>
    <w:rsid w:val="004A5798"/>
    <w:rsid w:val="004A6D30"/>
    <w:rsid w:val="004A6FCF"/>
    <w:rsid w:val="004B3AA0"/>
    <w:rsid w:val="004B3AD8"/>
    <w:rsid w:val="004B42F6"/>
    <w:rsid w:val="004B654C"/>
    <w:rsid w:val="004B6C1A"/>
    <w:rsid w:val="004B70C6"/>
    <w:rsid w:val="004B7D0A"/>
    <w:rsid w:val="004B7E77"/>
    <w:rsid w:val="004C2CE8"/>
    <w:rsid w:val="004C44EE"/>
    <w:rsid w:val="004C4835"/>
    <w:rsid w:val="004C48B5"/>
    <w:rsid w:val="004C4B16"/>
    <w:rsid w:val="004C4BC0"/>
    <w:rsid w:val="004C6828"/>
    <w:rsid w:val="004C6C7E"/>
    <w:rsid w:val="004C6CB9"/>
    <w:rsid w:val="004C75ED"/>
    <w:rsid w:val="004C7F50"/>
    <w:rsid w:val="004D1CAD"/>
    <w:rsid w:val="004D25DF"/>
    <w:rsid w:val="004D306D"/>
    <w:rsid w:val="004D31CA"/>
    <w:rsid w:val="004D34B5"/>
    <w:rsid w:val="004D4AE1"/>
    <w:rsid w:val="004D6CE6"/>
    <w:rsid w:val="004D7186"/>
    <w:rsid w:val="004E05FD"/>
    <w:rsid w:val="004E08B4"/>
    <w:rsid w:val="004E0C59"/>
    <w:rsid w:val="004E15E2"/>
    <w:rsid w:val="004E1D7D"/>
    <w:rsid w:val="004E382B"/>
    <w:rsid w:val="004E3A41"/>
    <w:rsid w:val="004E3C1B"/>
    <w:rsid w:val="004E3DBA"/>
    <w:rsid w:val="004E40C9"/>
    <w:rsid w:val="004E58CB"/>
    <w:rsid w:val="004E5CB1"/>
    <w:rsid w:val="004E6E96"/>
    <w:rsid w:val="004E7DB9"/>
    <w:rsid w:val="004F16AB"/>
    <w:rsid w:val="004F2756"/>
    <w:rsid w:val="004F372D"/>
    <w:rsid w:val="004F427A"/>
    <w:rsid w:val="004F480D"/>
    <w:rsid w:val="004F49C4"/>
    <w:rsid w:val="004F553F"/>
    <w:rsid w:val="004F5561"/>
    <w:rsid w:val="004F743A"/>
    <w:rsid w:val="004F76BE"/>
    <w:rsid w:val="004F7AF7"/>
    <w:rsid w:val="00500A7A"/>
    <w:rsid w:val="00500DDD"/>
    <w:rsid w:val="00502F02"/>
    <w:rsid w:val="00503129"/>
    <w:rsid w:val="00503648"/>
    <w:rsid w:val="00503F3B"/>
    <w:rsid w:val="005046A3"/>
    <w:rsid w:val="0050484B"/>
    <w:rsid w:val="00505933"/>
    <w:rsid w:val="0050641D"/>
    <w:rsid w:val="00506785"/>
    <w:rsid w:val="005077A0"/>
    <w:rsid w:val="00510E55"/>
    <w:rsid w:val="00513ADE"/>
    <w:rsid w:val="0051415F"/>
    <w:rsid w:val="00514EB5"/>
    <w:rsid w:val="00515834"/>
    <w:rsid w:val="00515D8D"/>
    <w:rsid w:val="00515FA2"/>
    <w:rsid w:val="00516A6C"/>
    <w:rsid w:val="00516B77"/>
    <w:rsid w:val="00516CD8"/>
    <w:rsid w:val="00522A60"/>
    <w:rsid w:val="00522E33"/>
    <w:rsid w:val="0052529A"/>
    <w:rsid w:val="005267EB"/>
    <w:rsid w:val="00526AC0"/>
    <w:rsid w:val="00526D82"/>
    <w:rsid w:val="0052764A"/>
    <w:rsid w:val="0053106B"/>
    <w:rsid w:val="0053132B"/>
    <w:rsid w:val="00534247"/>
    <w:rsid w:val="00535248"/>
    <w:rsid w:val="00535451"/>
    <w:rsid w:val="005357BE"/>
    <w:rsid w:val="0054159E"/>
    <w:rsid w:val="00541C01"/>
    <w:rsid w:val="00542E24"/>
    <w:rsid w:val="00543442"/>
    <w:rsid w:val="0054356D"/>
    <w:rsid w:val="00543CD8"/>
    <w:rsid w:val="005440B5"/>
    <w:rsid w:val="0054413E"/>
    <w:rsid w:val="005451F0"/>
    <w:rsid w:val="0054534B"/>
    <w:rsid w:val="00545999"/>
    <w:rsid w:val="0054628A"/>
    <w:rsid w:val="0054636D"/>
    <w:rsid w:val="005469A7"/>
    <w:rsid w:val="00546DE8"/>
    <w:rsid w:val="005475DF"/>
    <w:rsid w:val="00547C11"/>
    <w:rsid w:val="00550130"/>
    <w:rsid w:val="00552ED8"/>
    <w:rsid w:val="0055325D"/>
    <w:rsid w:val="00553894"/>
    <w:rsid w:val="00553DCD"/>
    <w:rsid w:val="00555369"/>
    <w:rsid w:val="00556D41"/>
    <w:rsid w:val="005605F2"/>
    <w:rsid w:val="005608F6"/>
    <w:rsid w:val="0056091C"/>
    <w:rsid w:val="00562587"/>
    <w:rsid w:val="00563156"/>
    <w:rsid w:val="00564BB8"/>
    <w:rsid w:val="00565C8F"/>
    <w:rsid w:val="00566366"/>
    <w:rsid w:val="00566742"/>
    <w:rsid w:val="0056675D"/>
    <w:rsid w:val="0056680D"/>
    <w:rsid w:val="00566B7B"/>
    <w:rsid w:val="00570563"/>
    <w:rsid w:val="005713AE"/>
    <w:rsid w:val="0057144D"/>
    <w:rsid w:val="00571B1E"/>
    <w:rsid w:val="00572900"/>
    <w:rsid w:val="00572A76"/>
    <w:rsid w:val="00573AC8"/>
    <w:rsid w:val="0057583E"/>
    <w:rsid w:val="00575C65"/>
    <w:rsid w:val="00575F80"/>
    <w:rsid w:val="00576DB8"/>
    <w:rsid w:val="00577C01"/>
    <w:rsid w:val="005803EB"/>
    <w:rsid w:val="00583CE5"/>
    <w:rsid w:val="00585549"/>
    <w:rsid w:val="00585D1A"/>
    <w:rsid w:val="00586F92"/>
    <w:rsid w:val="00590640"/>
    <w:rsid w:val="00592ADA"/>
    <w:rsid w:val="00594971"/>
    <w:rsid w:val="00594F4D"/>
    <w:rsid w:val="00594FFF"/>
    <w:rsid w:val="0059592A"/>
    <w:rsid w:val="00595BD3"/>
    <w:rsid w:val="00595C47"/>
    <w:rsid w:val="00596C50"/>
    <w:rsid w:val="00596DD1"/>
    <w:rsid w:val="005A02BB"/>
    <w:rsid w:val="005A037D"/>
    <w:rsid w:val="005A04BF"/>
    <w:rsid w:val="005A0E6C"/>
    <w:rsid w:val="005A18ED"/>
    <w:rsid w:val="005A2E98"/>
    <w:rsid w:val="005A3071"/>
    <w:rsid w:val="005A3745"/>
    <w:rsid w:val="005A3DFC"/>
    <w:rsid w:val="005A4935"/>
    <w:rsid w:val="005A4939"/>
    <w:rsid w:val="005A6304"/>
    <w:rsid w:val="005A68FA"/>
    <w:rsid w:val="005B1383"/>
    <w:rsid w:val="005B1660"/>
    <w:rsid w:val="005B20A1"/>
    <w:rsid w:val="005B21DE"/>
    <w:rsid w:val="005B3722"/>
    <w:rsid w:val="005B60F8"/>
    <w:rsid w:val="005B6753"/>
    <w:rsid w:val="005B73B9"/>
    <w:rsid w:val="005C0270"/>
    <w:rsid w:val="005C0670"/>
    <w:rsid w:val="005C0923"/>
    <w:rsid w:val="005C23D2"/>
    <w:rsid w:val="005C2FC8"/>
    <w:rsid w:val="005C3FCD"/>
    <w:rsid w:val="005C408C"/>
    <w:rsid w:val="005C53DC"/>
    <w:rsid w:val="005C57AE"/>
    <w:rsid w:val="005C5885"/>
    <w:rsid w:val="005C6138"/>
    <w:rsid w:val="005C7068"/>
    <w:rsid w:val="005D0FDA"/>
    <w:rsid w:val="005D1056"/>
    <w:rsid w:val="005D14E3"/>
    <w:rsid w:val="005D1608"/>
    <w:rsid w:val="005D23B8"/>
    <w:rsid w:val="005D2C45"/>
    <w:rsid w:val="005D2DAE"/>
    <w:rsid w:val="005D3242"/>
    <w:rsid w:val="005D329B"/>
    <w:rsid w:val="005D32BB"/>
    <w:rsid w:val="005D335A"/>
    <w:rsid w:val="005D3C00"/>
    <w:rsid w:val="005D47B6"/>
    <w:rsid w:val="005D4DED"/>
    <w:rsid w:val="005D4E5A"/>
    <w:rsid w:val="005D53F5"/>
    <w:rsid w:val="005D63D1"/>
    <w:rsid w:val="005D74F7"/>
    <w:rsid w:val="005D7543"/>
    <w:rsid w:val="005D7974"/>
    <w:rsid w:val="005E0409"/>
    <w:rsid w:val="005E059A"/>
    <w:rsid w:val="005E1900"/>
    <w:rsid w:val="005E24A4"/>
    <w:rsid w:val="005E26AA"/>
    <w:rsid w:val="005E2AC2"/>
    <w:rsid w:val="005E3349"/>
    <w:rsid w:val="005E3FF1"/>
    <w:rsid w:val="005E4186"/>
    <w:rsid w:val="005E47DD"/>
    <w:rsid w:val="005E50AA"/>
    <w:rsid w:val="005E54BB"/>
    <w:rsid w:val="005E74D2"/>
    <w:rsid w:val="005F0332"/>
    <w:rsid w:val="005F04EA"/>
    <w:rsid w:val="005F2C93"/>
    <w:rsid w:val="005F2C95"/>
    <w:rsid w:val="005F4056"/>
    <w:rsid w:val="005F4068"/>
    <w:rsid w:val="005F4174"/>
    <w:rsid w:val="005F455B"/>
    <w:rsid w:val="005F478C"/>
    <w:rsid w:val="005F480E"/>
    <w:rsid w:val="005F5759"/>
    <w:rsid w:val="005F77CE"/>
    <w:rsid w:val="00601482"/>
    <w:rsid w:val="0060186F"/>
    <w:rsid w:val="00601945"/>
    <w:rsid w:val="00602A56"/>
    <w:rsid w:val="00603250"/>
    <w:rsid w:val="00603D49"/>
    <w:rsid w:val="006040FE"/>
    <w:rsid w:val="00605FE4"/>
    <w:rsid w:val="0060658C"/>
    <w:rsid w:val="00606F18"/>
    <w:rsid w:val="00610E6C"/>
    <w:rsid w:val="00611D96"/>
    <w:rsid w:val="00612942"/>
    <w:rsid w:val="00612FD4"/>
    <w:rsid w:val="00613178"/>
    <w:rsid w:val="00613735"/>
    <w:rsid w:val="00614055"/>
    <w:rsid w:val="00615A4E"/>
    <w:rsid w:val="0061611A"/>
    <w:rsid w:val="0061632B"/>
    <w:rsid w:val="00617CDC"/>
    <w:rsid w:val="00620978"/>
    <w:rsid w:val="00622166"/>
    <w:rsid w:val="00622DA1"/>
    <w:rsid w:val="00623B94"/>
    <w:rsid w:val="0062401C"/>
    <w:rsid w:val="00624B86"/>
    <w:rsid w:val="00624C32"/>
    <w:rsid w:val="00625362"/>
    <w:rsid w:val="00625A6D"/>
    <w:rsid w:val="006260E2"/>
    <w:rsid w:val="006303AC"/>
    <w:rsid w:val="00630E45"/>
    <w:rsid w:val="00632E64"/>
    <w:rsid w:val="00632FD1"/>
    <w:rsid w:val="0063338C"/>
    <w:rsid w:val="00634745"/>
    <w:rsid w:val="00634A21"/>
    <w:rsid w:val="00635796"/>
    <w:rsid w:val="006369C6"/>
    <w:rsid w:val="00642599"/>
    <w:rsid w:val="00645251"/>
    <w:rsid w:val="0064592B"/>
    <w:rsid w:val="006459C9"/>
    <w:rsid w:val="00646189"/>
    <w:rsid w:val="00646DDC"/>
    <w:rsid w:val="00646F1A"/>
    <w:rsid w:val="006502CB"/>
    <w:rsid w:val="00650AC0"/>
    <w:rsid w:val="006511F9"/>
    <w:rsid w:val="00651388"/>
    <w:rsid w:val="006515C9"/>
    <w:rsid w:val="006519D2"/>
    <w:rsid w:val="00651D06"/>
    <w:rsid w:val="00652542"/>
    <w:rsid w:val="00655780"/>
    <w:rsid w:val="00655A92"/>
    <w:rsid w:val="00655D8F"/>
    <w:rsid w:val="00656ADE"/>
    <w:rsid w:val="00660958"/>
    <w:rsid w:val="00660F6E"/>
    <w:rsid w:val="00662C10"/>
    <w:rsid w:val="006641CE"/>
    <w:rsid w:val="00664F19"/>
    <w:rsid w:val="00665500"/>
    <w:rsid w:val="00666220"/>
    <w:rsid w:val="00666B3C"/>
    <w:rsid w:val="00666F85"/>
    <w:rsid w:val="006672D5"/>
    <w:rsid w:val="006679C3"/>
    <w:rsid w:val="0067049C"/>
    <w:rsid w:val="00670CDB"/>
    <w:rsid w:val="006714EF"/>
    <w:rsid w:val="00671770"/>
    <w:rsid w:val="00671D46"/>
    <w:rsid w:val="006720FA"/>
    <w:rsid w:val="0067223A"/>
    <w:rsid w:val="006731E3"/>
    <w:rsid w:val="0067328D"/>
    <w:rsid w:val="006751BE"/>
    <w:rsid w:val="006771FD"/>
    <w:rsid w:val="006805F3"/>
    <w:rsid w:val="0068098C"/>
    <w:rsid w:val="00681B97"/>
    <w:rsid w:val="00681E55"/>
    <w:rsid w:val="0068238C"/>
    <w:rsid w:val="006834ED"/>
    <w:rsid w:val="006836F6"/>
    <w:rsid w:val="0068372C"/>
    <w:rsid w:val="00683758"/>
    <w:rsid w:val="00683850"/>
    <w:rsid w:val="0068390E"/>
    <w:rsid w:val="00684887"/>
    <w:rsid w:val="00684E02"/>
    <w:rsid w:val="006859D2"/>
    <w:rsid w:val="006864E7"/>
    <w:rsid w:val="00687B3A"/>
    <w:rsid w:val="00687B92"/>
    <w:rsid w:val="00687BCE"/>
    <w:rsid w:val="006923EC"/>
    <w:rsid w:val="00692AA1"/>
    <w:rsid w:val="0069374C"/>
    <w:rsid w:val="00693F8B"/>
    <w:rsid w:val="0069488A"/>
    <w:rsid w:val="006957FA"/>
    <w:rsid w:val="006972BE"/>
    <w:rsid w:val="006A070A"/>
    <w:rsid w:val="006A07D5"/>
    <w:rsid w:val="006A09AE"/>
    <w:rsid w:val="006A1D03"/>
    <w:rsid w:val="006A23BC"/>
    <w:rsid w:val="006A296E"/>
    <w:rsid w:val="006A4040"/>
    <w:rsid w:val="006A595D"/>
    <w:rsid w:val="006A6B50"/>
    <w:rsid w:val="006A7B1A"/>
    <w:rsid w:val="006A7C80"/>
    <w:rsid w:val="006B10BB"/>
    <w:rsid w:val="006B18F5"/>
    <w:rsid w:val="006B2031"/>
    <w:rsid w:val="006B2813"/>
    <w:rsid w:val="006B2BE4"/>
    <w:rsid w:val="006B3745"/>
    <w:rsid w:val="006B3C4B"/>
    <w:rsid w:val="006B541C"/>
    <w:rsid w:val="006B5F6A"/>
    <w:rsid w:val="006C249D"/>
    <w:rsid w:val="006C2ED9"/>
    <w:rsid w:val="006C3A94"/>
    <w:rsid w:val="006C50DC"/>
    <w:rsid w:val="006C5353"/>
    <w:rsid w:val="006C5629"/>
    <w:rsid w:val="006C5637"/>
    <w:rsid w:val="006C5917"/>
    <w:rsid w:val="006C595F"/>
    <w:rsid w:val="006C608F"/>
    <w:rsid w:val="006C70BA"/>
    <w:rsid w:val="006C73EE"/>
    <w:rsid w:val="006D1567"/>
    <w:rsid w:val="006D22C1"/>
    <w:rsid w:val="006D35F5"/>
    <w:rsid w:val="006D3A34"/>
    <w:rsid w:val="006D3A94"/>
    <w:rsid w:val="006D44A4"/>
    <w:rsid w:val="006D6302"/>
    <w:rsid w:val="006D74E7"/>
    <w:rsid w:val="006D7C1D"/>
    <w:rsid w:val="006E18FA"/>
    <w:rsid w:val="006E26F4"/>
    <w:rsid w:val="006E336F"/>
    <w:rsid w:val="006E378A"/>
    <w:rsid w:val="006E4425"/>
    <w:rsid w:val="006E76F4"/>
    <w:rsid w:val="006F06CF"/>
    <w:rsid w:val="006F1DE0"/>
    <w:rsid w:val="006F2E4B"/>
    <w:rsid w:val="006F303E"/>
    <w:rsid w:val="006F33E1"/>
    <w:rsid w:val="006F4C95"/>
    <w:rsid w:val="006F51FA"/>
    <w:rsid w:val="006F57E2"/>
    <w:rsid w:val="006F64FC"/>
    <w:rsid w:val="006F6E4C"/>
    <w:rsid w:val="00701FF2"/>
    <w:rsid w:val="0070201C"/>
    <w:rsid w:val="00702F26"/>
    <w:rsid w:val="00703029"/>
    <w:rsid w:val="00704F20"/>
    <w:rsid w:val="0070503D"/>
    <w:rsid w:val="00705041"/>
    <w:rsid w:val="00706C42"/>
    <w:rsid w:val="00707903"/>
    <w:rsid w:val="00707E0D"/>
    <w:rsid w:val="0071218F"/>
    <w:rsid w:val="007124A9"/>
    <w:rsid w:val="007129B6"/>
    <w:rsid w:val="00712D2B"/>
    <w:rsid w:val="007135EF"/>
    <w:rsid w:val="00713D23"/>
    <w:rsid w:val="0071424F"/>
    <w:rsid w:val="00714688"/>
    <w:rsid w:val="007146BB"/>
    <w:rsid w:val="00714DDA"/>
    <w:rsid w:val="00716404"/>
    <w:rsid w:val="00716DDB"/>
    <w:rsid w:val="00717DF4"/>
    <w:rsid w:val="00717E4F"/>
    <w:rsid w:val="007200FF"/>
    <w:rsid w:val="0072198A"/>
    <w:rsid w:val="00721996"/>
    <w:rsid w:val="00721B7F"/>
    <w:rsid w:val="00723647"/>
    <w:rsid w:val="00723E11"/>
    <w:rsid w:val="00724120"/>
    <w:rsid w:val="00724544"/>
    <w:rsid w:val="0072457F"/>
    <w:rsid w:val="00724A43"/>
    <w:rsid w:val="00725F6F"/>
    <w:rsid w:val="007263FD"/>
    <w:rsid w:val="00727061"/>
    <w:rsid w:val="00727275"/>
    <w:rsid w:val="007273B8"/>
    <w:rsid w:val="00730186"/>
    <w:rsid w:val="0073029D"/>
    <w:rsid w:val="00730F68"/>
    <w:rsid w:val="00732739"/>
    <w:rsid w:val="007327A0"/>
    <w:rsid w:val="00732943"/>
    <w:rsid w:val="00732CDC"/>
    <w:rsid w:val="00733037"/>
    <w:rsid w:val="00733B5F"/>
    <w:rsid w:val="0073421D"/>
    <w:rsid w:val="00734CEB"/>
    <w:rsid w:val="00735C4F"/>
    <w:rsid w:val="00735EA2"/>
    <w:rsid w:val="00736F88"/>
    <w:rsid w:val="0073794F"/>
    <w:rsid w:val="007405C6"/>
    <w:rsid w:val="00740694"/>
    <w:rsid w:val="00741165"/>
    <w:rsid w:val="0074143D"/>
    <w:rsid w:val="00741667"/>
    <w:rsid w:val="007416B2"/>
    <w:rsid w:val="00741D5A"/>
    <w:rsid w:val="00742200"/>
    <w:rsid w:val="0074271E"/>
    <w:rsid w:val="00743B1E"/>
    <w:rsid w:val="007440D1"/>
    <w:rsid w:val="00745013"/>
    <w:rsid w:val="0074568E"/>
    <w:rsid w:val="00745CA5"/>
    <w:rsid w:val="00747A43"/>
    <w:rsid w:val="007521FE"/>
    <w:rsid w:val="00753291"/>
    <w:rsid w:val="007537FB"/>
    <w:rsid w:val="00753BC5"/>
    <w:rsid w:val="00753F9D"/>
    <w:rsid w:val="0075415F"/>
    <w:rsid w:val="00755418"/>
    <w:rsid w:val="007556BA"/>
    <w:rsid w:val="00761CB9"/>
    <w:rsid w:val="007622AB"/>
    <w:rsid w:val="00763355"/>
    <w:rsid w:val="007639E5"/>
    <w:rsid w:val="00764278"/>
    <w:rsid w:val="0076515B"/>
    <w:rsid w:val="00765340"/>
    <w:rsid w:val="007655AD"/>
    <w:rsid w:val="007657EB"/>
    <w:rsid w:val="00766BBA"/>
    <w:rsid w:val="007710C4"/>
    <w:rsid w:val="00771CEE"/>
    <w:rsid w:val="00773986"/>
    <w:rsid w:val="00774464"/>
    <w:rsid w:val="00774554"/>
    <w:rsid w:val="007756CC"/>
    <w:rsid w:val="00775C82"/>
    <w:rsid w:val="00777B9C"/>
    <w:rsid w:val="0078023E"/>
    <w:rsid w:val="0078041E"/>
    <w:rsid w:val="00780BC4"/>
    <w:rsid w:val="00782598"/>
    <w:rsid w:val="007827C7"/>
    <w:rsid w:val="00782B4F"/>
    <w:rsid w:val="007831EC"/>
    <w:rsid w:val="007850DF"/>
    <w:rsid w:val="00785B54"/>
    <w:rsid w:val="00786771"/>
    <w:rsid w:val="00790DA2"/>
    <w:rsid w:val="00790F87"/>
    <w:rsid w:val="00791DAD"/>
    <w:rsid w:val="007923C4"/>
    <w:rsid w:val="00792AA1"/>
    <w:rsid w:val="00794413"/>
    <w:rsid w:val="007950EE"/>
    <w:rsid w:val="007951DA"/>
    <w:rsid w:val="00795BD9"/>
    <w:rsid w:val="007968A3"/>
    <w:rsid w:val="007969CC"/>
    <w:rsid w:val="00796CEA"/>
    <w:rsid w:val="00796E0C"/>
    <w:rsid w:val="007A08EE"/>
    <w:rsid w:val="007A0B38"/>
    <w:rsid w:val="007A14F5"/>
    <w:rsid w:val="007A38B0"/>
    <w:rsid w:val="007A4EC9"/>
    <w:rsid w:val="007A7CC1"/>
    <w:rsid w:val="007B1B9D"/>
    <w:rsid w:val="007B1E98"/>
    <w:rsid w:val="007B20E2"/>
    <w:rsid w:val="007B2451"/>
    <w:rsid w:val="007B2E98"/>
    <w:rsid w:val="007B301F"/>
    <w:rsid w:val="007B4A9F"/>
    <w:rsid w:val="007B4EA1"/>
    <w:rsid w:val="007B62CC"/>
    <w:rsid w:val="007B6E78"/>
    <w:rsid w:val="007B7A12"/>
    <w:rsid w:val="007B7ACD"/>
    <w:rsid w:val="007B7D20"/>
    <w:rsid w:val="007C0629"/>
    <w:rsid w:val="007C2286"/>
    <w:rsid w:val="007C2785"/>
    <w:rsid w:val="007C2CE4"/>
    <w:rsid w:val="007C393B"/>
    <w:rsid w:val="007C3C6B"/>
    <w:rsid w:val="007C53D6"/>
    <w:rsid w:val="007C7079"/>
    <w:rsid w:val="007C798C"/>
    <w:rsid w:val="007C7A64"/>
    <w:rsid w:val="007D1EF4"/>
    <w:rsid w:val="007D29E0"/>
    <w:rsid w:val="007D355C"/>
    <w:rsid w:val="007D40AA"/>
    <w:rsid w:val="007D412A"/>
    <w:rsid w:val="007D6B56"/>
    <w:rsid w:val="007D6E99"/>
    <w:rsid w:val="007D716E"/>
    <w:rsid w:val="007D748C"/>
    <w:rsid w:val="007D77B0"/>
    <w:rsid w:val="007E01E4"/>
    <w:rsid w:val="007E0FB6"/>
    <w:rsid w:val="007E1C9D"/>
    <w:rsid w:val="007E1EFA"/>
    <w:rsid w:val="007E262B"/>
    <w:rsid w:val="007E2E41"/>
    <w:rsid w:val="007E2F24"/>
    <w:rsid w:val="007E37C1"/>
    <w:rsid w:val="007E477A"/>
    <w:rsid w:val="007E5A0D"/>
    <w:rsid w:val="007E5EC1"/>
    <w:rsid w:val="007E7997"/>
    <w:rsid w:val="007E7DB4"/>
    <w:rsid w:val="007F07BE"/>
    <w:rsid w:val="007F0D37"/>
    <w:rsid w:val="007F207B"/>
    <w:rsid w:val="007F2B0D"/>
    <w:rsid w:val="007F3E75"/>
    <w:rsid w:val="007F4980"/>
    <w:rsid w:val="007F4E18"/>
    <w:rsid w:val="007F4E3C"/>
    <w:rsid w:val="007F4F5C"/>
    <w:rsid w:val="007F56D1"/>
    <w:rsid w:val="007F5C32"/>
    <w:rsid w:val="007F642A"/>
    <w:rsid w:val="007F65D0"/>
    <w:rsid w:val="007F6964"/>
    <w:rsid w:val="007F71BD"/>
    <w:rsid w:val="0080013E"/>
    <w:rsid w:val="0080041E"/>
    <w:rsid w:val="008004E6"/>
    <w:rsid w:val="008008CF"/>
    <w:rsid w:val="00800E36"/>
    <w:rsid w:val="00802D56"/>
    <w:rsid w:val="00802EEA"/>
    <w:rsid w:val="00804EDD"/>
    <w:rsid w:val="00806B71"/>
    <w:rsid w:val="00807639"/>
    <w:rsid w:val="00807D7A"/>
    <w:rsid w:val="00810503"/>
    <w:rsid w:val="008111BD"/>
    <w:rsid w:val="00811590"/>
    <w:rsid w:val="0081210F"/>
    <w:rsid w:val="008129CF"/>
    <w:rsid w:val="00812C72"/>
    <w:rsid w:val="00813063"/>
    <w:rsid w:val="008136B1"/>
    <w:rsid w:val="00813897"/>
    <w:rsid w:val="0081545F"/>
    <w:rsid w:val="00816DA4"/>
    <w:rsid w:val="00817B10"/>
    <w:rsid w:val="0082080D"/>
    <w:rsid w:val="0082107C"/>
    <w:rsid w:val="0082251D"/>
    <w:rsid w:val="00822B4B"/>
    <w:rsid w:val="0082385A"/>
    <w:rsid w:val="00824E61"/>
    <w:rsid w:val="00824F89"/>
    <w:rsid w:val="00826784"/>
    <w:rsid w:val="00827240"/>
    <w:rsid w:val="00827251"/>
    <w:rsid w:val="008313C8"/>
    <w:rsid w:val="00833408"/>
    <w:rsid w:val="008343BB"/>
    <w:rsid w:val="0083464D"/>
    <w:rsid w:val="00834B82"/>
    <w:rsid w:val="00834D5F"/>
    <w:rsid w:val="00835C4B"/>
    <w:rsid w:val="00836916"/>
    <w:rsid w:val="0083701F"/>
    <w:rsid w:val="008374A9"/>
    <w:rsid w:val="0084492E"/>
    <w:rsid w:val="00845357"/>
    <w:rsid w:val="008455D9"/>
    <w:rsid w:val="00846DC6"/>
    <w:rsid w:val="00847DD4"/>
    <w:rsid w:val="00850A35"/>
    <w:rsid w:val="00850AEE"/>
    <w:rsid w:val="00853F6B"/>
    <w:rsid w:val="00854506"/>
    <w:rsid w:val="00854EFF"/>
    <w:rsid w:val="00856514"/>
    <w:rsid w:val="0085659C"/>
    <w:rsid w:val="0085736F"/>
    <w:rsid w:val="008577B1"/>
    <w:rsid w:val="00857B61"/>
    <w:rsid w:val="00857C43"/>
    <w:rsid w:val="00857EE5"/>
    <w:rsid w:val="00862AAF"/>
    <w:rsid w:val="00863A83"/>
    <w:rsid w:val="00863AB3"/>
    <w:rsid w:val="0086507B"/>
    <w:rsid w:val="008657AA"/>
    <w:rsid w:val="0086614E"/>
    <w:rsid w:val="00867044"/>
    <w:rsid w:val="008700F7"/>
    <w:rsid w:val="00870128"/>
    <w:rsid w:val="0087039A"/>
    <w:rsid w:val="00870647"/>
    <w:rsid w:val="00870F35"/>
    <w:rsid w:val="00871794"/>
    <w:rsid w:val="00872A50"/>
    <w:rsid w:val="00873571"/>
    <w:rsid w:val="00873E57"/>
    <w:rsid w:val="008741F4"/>
    <w:rsid w:val="008750DC"/>
    <w:rsid w:val="008754EC"/>
    <w:rsid w:val="008757A5"/>
    <w:rsid w:val="008758D7"/>
    <w:rsid w:val="00876222"/>
    <w:rsid w:val="0087656E"/>
    <w:rsid w:val="008771EC"/>
    <w:rsid w:val="008774BC"/>
    <w:rsid w:val="00880219"/>
    <w:rsid w:val="00881B50"/>
    <w:rsid w:val="008821B5"/>
    <w:rsid w:val="0088252B"/>
    <w:rsid w:val="0088346C"/>
    <w:rsid w:val="00885C3F"/>
    <w:rsid w:val="00887002"/>
    <w:rsid w:val="00887180"/>
    <w:rsid w:val="008901A3"/>
    <w:rsid w:val="0089024E"/>
    <w:rsid w:val="008905E9"/>
    <w:rsid w:val="00893366"/>
    <w:rsid w:val="00895829"/>
    <w:rsid w:val="008A095F"/>
    <w:rsid w:val="008A0DFD"/>
    <w:rsid w:val="008A1C06"/>
    <w:rsid w:val="008A201A"/>
    <w:rsid w:val="008A2300"/>
    <w:rsid w:val="008A3983"/>
    <w:rsid w:val="008A3995"/>
    <w:rsid w:val="008A3C14"/>
    <w:rsid w:val="008A63B2"/>
    <w:rsid w:val="008B1246"/>
    <w:rsid w:val="008B19BA"/>
    <w:rsid w:val="008B2BAE"/>
    <w:rsid w:val="008B3BF5"/>
    <w:rsid w:val="008B3D24"/>
    <w:rsid w:val="008C06D2"/>
    <w:rsid w:val="008C0D10"/>
    <w:rsid w:val="008C0DFB"/>
    <w:rsid w:val="008C2FAC"/>
    <w:rsid w:val="008C426B"/>
    <w:rsid w:val="008C4430"/>
    <w:rsid w:val="008C5105"/>
    <w:rsid w:val="008C58E4"/>
    <w:rsid w:val="008C7E87"/>
    <w:rsid w:val="008D1222"/>
    <w:rsid w:val="008D1AE3"/>
    <w:rsid w:val="008D28B8"/>
    <w:rsid w:val="008D2D60"/>
    <w:rsid w:val="008D2DFC"/>
    <w:rsid w:val="008D3BD4"/>
    <w:rsid w:val="008D3F72"/>
    <w:rsid w:val="008D4D74"/>
    <w:rsid w:val="008D5BE7"/>
    <w:rsid w:val="008D6BAE"/>
    <w:rsid w:val="008E02DA"/>
    <w:rsid w:val="008E141C"/>
    <w:rsid w:val="008E34FF"/>
    <w:rsid w:val="008E36AE"/>
    <w:rsid w:val="008E381C"/>
    <w:rsid w:val="008E629E"/>
    <w:rsid w:val="008E62FD"/>
    <w:rsid w:val="008E6ACB"/>
    <w:rsid w:val="008E6D76"/>
    <w:rsid w:val="008E749A"/>
    <w:rsid w:val="008F06E3"/>
    <w:rsid w:val="008F084D"/>
    <w:rsid w:val="008F0DBE"/>
    <w:rsid w:val="008F1E93"/>
    <w:rsid w:val="008F2DE9"/>
    <w:rsid w:val="008F34C7"/>
    <w:rsid w:val="008F37E2"/>
    <w:rsid w:val="008F4445"/>
    <w:rsid w:val="008F4759"/>
    <w:rsid w:val="008F52CE"/>
    <w:rsid w:val="008F5695"/>
    <w:rsid w:val="008F5984"/>
    <w:rsid w:val="008F7059"/>
    <w:rsid w:val="00900970"/>
    <w:rsid w:val="00902529"/>
    <w:rsid w:val="00902B99"/>
    <w:rsid w:val="00905863"/>
    <w:rsid w:val="00905922"/>
    <w:rsid w:val="009070F2"/>
    <w:rsid w:val="00907A42"/>
    <w:rsid w:val="0091020A"/>
    <w:rsid w:val="00910495"/>
    <w:rsid w:val="00912890"/>
    <w:rsid w:val="009129E4"/>
    <w:rsid w:val="00913873"/>
    <w:rsid w:val="00913F20"/>
    <w:rsid w:val="00914DAA"/>
    <w:rsid w:val="009150FA"/>
    <w:rsid w:val="009158EB"/>
    <w:rsid w:val="009163A5"/>
    <w:rsid w:val="00917EAF"/>
    <w:rsid w:val="009213E4"/>
    <w:rsid w:val="0092211A"/>
    <w:rsid w:val="00922465"/>
    <w:rsid w:val="009225ED"/>
    <w:rsid w:val="00924C1C"/>
    <w:rsid w:val="00924E96"/>
    <w:rsid w:val="009252D9"/>
    <w:rsid w:val="00925386"/>
    <w:rsid w:val="00925662"/>
    <w:rsid w:val="00926F52"/>
    <w:rsid w:val="00927028"/>
    <w:rsid w:val="00927A4D"/>
    <w:rsid w:val="00927F0B"/>
    <w:rsid w:val="009302AA"/>
    <w:rsid w:val="009304B5"/>
    <w:rsid w:val="009311FA"/>
    <w:rsid w:val="009355D9"/>
    <w:rsid w:val="0093599D"/>
    <w:rsid w:val="00935A13"/>
    <w:rsid w:val="00935B0C"/>
    <w:rsid w:val="00935BB6"/>
    <w:rsid w:val="0094070F"/>
    <w:rsid w:val="00941940"/>
    <w:rsid w:val="00941BCB"/>
    <w:rsid w:val="00941C74"/>
    <w:rsid w:val="00943908"/>
    <w:rsid w:val="0094479C"/>
    <w:rsid w:val="0094558B"/>
    <w:rsid w:val="00945855"/>
    <w:rsid w:val="0094588F"/>
    <w:rsid w:val="0094607D"/>
    <w:rsid w:val="0094615A"/>
    <w:rsid w:val="00946A31"/>
    <w:rsid w:val="009474ED"/>
    <w:rsid w:val="00947882"/>
    <w:rsid w:val="00947DB9"/>
    <w:rsid w:val="0095087C"/>
    <w:rsid w:val="009510D9"/>
    <w:rsid w:val="00952724"/>
    <w:rsid w:val="009528E4"/>
    <w:rsid w:val="00952CD5"/>
    <w:rsid w:val="00953D97"/>
    <w:rsid w:val="00955524"/>
    <w:rsid w:val="009567CA"/>
    <w:rsid w:val="0095713F"/>
    <w:rsid w:val="00957182"/>
    <w:rsid w:val="0096038B"/>
    <w:rsid w:val="00960E97"/>
    <w:rsid w:val="00962167"/>
    <w:rsid w:val="009645E7"/>
    <w:rsid w:val="00966E64"/>
    <w:rsid w:val="00970D64"/>
    <w:rsid w:val="00971BA8"/>
    <w:rsid w:val="0097268B"/>
    <w:rsid w:val="009729D4"/>
    <w:rsid w:val="0097350F"/>
    <w:rsid w:val="00974002"/>
    <w:rsid w:val="00975303"/>
    <w:rsid w:val="00976D5F"/>
    <w:rsid w:val="00976F93"/>
    <w:rsid w:val="0097764B"/>
    <w:rsid w:val="009806DE"/>
    <w:rsid w:val="0098329B"/>
    <w:rsid w:val="00985D0D"/>
    <w:rsid w:val="00986174"/>
    <w:rsid w:val="0098691D"/>
    <w:rsid w:val="009871C3"/>
    <w:rsid w:val="009912EA"/>
    <w:rsid w:val="009919C4"/>
    <w:rsid w:val="00993269"/>
    <w:rsid w:val="0099365A"/>
    <w:rsid w:val="00993B94"/>
    <w:rsid w:val="0099439F"/>
    <w:rsid w:val="00994578"/>
    <w:rsid w:val="00994CA1"/>
    <w:rsid w:val="00994CC3"/>
    <w:rsid w:val="00995C33"/>
    <w:rsid w:val="00996194"/>
    <w:rsid w:val="00996934"/>
    <w:rsid w:val="00997CA7"/>
    <w:rsid w:val="009A0C51"/>
    <w:rsid w:val="009A1C41"/>
    <w:rsid w:val="009A1C7E"/>
    <w:rsid w:val="009A1E53"/>
    <w:rsid w:val="009A3EC3"/>
    <w:rsid w:val="009A40FA"/>
    <w:rsid w:val="009A41A9"/>
    <w:rsid w:val="009A6990"/>
    <w:rsid w:val="009A70E8"/>
    <w:rsid w:val="009A7E74"/>
    <w:rsid w:val="009B03A0"/>
    <w:rsid w:val="009B06E1"/>
    <w:rsid w:val="009B2306"/>
    <w:rsid w:val="009B23DA"/>
    <w:rsid w:val="009B2D0D"/>
    <w:rsid w:val="009B34A1"/>
    <w:rsid w:val="009B4791"/>
    <w:rsid w:val="009B4981"/>
    <w:rsid w:val="009B4D47"/>
    <w:rsid w:val="009B6B73"/>
    <w:rsid w:val="009B72B9"/>
    <w:rsid w:val="009B78E6"/>
    <w:rsid w:val="009B7C39"/>
    <w:rsid w:val="009C1CFB"/>
    <w:rsid w:val="009C2D88"/>
    <w:rsid w:val="009C4ABF"/>
    <w:rsid w:val="009C4C2B"/>
    <w:rsid w:val="009C5503"/>
    <w:rsid w:val="009C5789"/>
    <w:rsid w:val="009C6820"/>
    <w:rsid w:val="009C6898"/>
    <w:rsid w:val="009C69BD"/>
    <w:rsid w:val="009C6C69"/>
    <w:rsid w:val="009D0FA8"/>
    <w:rsid w:val="009D1857"/>
    <w:rsid w:val="009D2039"/>
    <w:rsid w:val="009D213C"/>
    <w:rsid w:val="009D2D29"/>
    <w:rsid w:val="009D6622"/>
    <w:rsid w:val="009D703A"/>
    <w:rsid w:val="009D75BD"/>
    <w:rsid w:val="009E035F"/>
    <w:rsid w:val="009E08DA"/>
    <w:rsid w:val="009E0E51"/>
    <w:rsid w:val="009E1F49"/>
    <w:rsid w:val="009E2328"/>
    <w:rsid w:val="009E3AE3"/>
    <w:rsid w:val="009E48DA"/>
    <w:rsid w:val="009E521C"/>
    <w:rsid w:val="009E5229"/>
    <w:rsid w:val="009E5F22"/>
    <w:rsid w:val="009E60D4"/>
    <w:rsid w:val="009E747B"/>
    <w:rsid w:val="009E7E76"/>
    <w:rsid w:val="009F0CEF"/>
    <w:rsid w:val="009F13D4"/>
    <w:rsid w:val="009F1B63"/>
    <w:rsid w:val="009F2572"/>
    <w:rsid w:val="009F28D5"/>
    <w:rsid w:val="009F30EB"/>
    <w:rsid w:val="009F35AB"/>
    <w:rsid w:val="009F47C8"/>
    <w:rsid w:val="009F5C79"/>
    <w:rsid w:val="009F5D48"/>
    <w:rsid w:val="009F6D67"/>
    <w:rsid w:val="009F7D3F"/>
    <w:rsid w:val="00A01FBC"/>
    <w:rsid w:val="00A02510"/>
    <w:rsid w:val="00A028D0"/>
    <w:rsid w:val="00A030AB"/>
    <w:rsid w:val="00A03DFF"/>
    <w:rsid w:val="00A04977"/>
    <w:rsid w:val="00A04F76"/>
    <w:rsid w:val="00A06D21"/>
    <w:rsid w:val="00A06DB7"/>
    <w:rsid w:val="00A07020"/>
    <w:rsid w:val="00A073C1"/>
    <w:rsid w:val="00A07F16"/>
    <w:rsid w:val="00A10FBE"/>
    <w:rsid w:val="00A1142C"/>
    <w:rsid w:val="00A12D63"/>
    <w:rsid w:val="00A13C28"/>
    <w:rsid w:val="00A150D6"/>
    <w:rsid w:val="00A15752"/>
    <w:rsid w:val="00A16120"/>
    <w:rsid w:val="00A17759"/>
    <w:rsid w:val="00A178C4"/>
    <w:rsid w:val="00A203EB"/>
    <w:rsid w:val="00A21120"/>
    <w:rsid w:val="00A21C7A"/>
    <w:rsid w:val="00A22945"/>
    <w:rsid w:val="00A2400A"/>
    <w:rsid w:val="00A24117"/>
    <w:rsid w:val="00A24AE9"/>
    <w:rsid w:val="00A24E15"/>
    <w:rsid w:val="00A25546"/>
    <w:rsid w:val="00A25A34"/>
    <w:rsid w:val="00A25E4E"/>
    <w:rsid w:val="00A2693B"/>
    <w:rsid w:val="00A26944"/>
    <w:rsid w:val="00A274CD"/>
    <w:rsid w:val="00A276C8"/>
    <w:rsid w:val="00A27959"/>
    <w:rsid w:val="00A27C78"/>
    <w:rsid w:val="00A321E4"/>
    <w:rsid w:val="00A32789"/>
    <w:rsid w:val="00A32CD6"/>
    <w:rsid w:val="00A32F66"/>
    <w:rsid w:val="00A34AD9"/>
    <w:rsid w:val="00A35C0B"/>
    <w:rsid w:val="00A36777"/>
    <w:rsid w:val="00A36AC7"/>
    <w:rsid w:val="00A37FD3"/>
    <w:rsid w:val="00A400A4"/>
    <w:rsid w:val="00A410D0"/>
    <w:rsid w:val="00A42972"/>
    <w:rsid w:val="00A42C02"/>
    <w:rsid w:val="00A42D28"/>
    <w:rsid w:val="00A43884"/>
    <w:rsid w:val="00A44AFA"/>
    <w:rsid w:val="00A4514C"/>
    <w:rsid w:val="00A45BA3"/>
    <w:rsid w:val="00A473B9"/>
    <w:rsid w:val="00A520FA"/>
    <w:rsid w:val="00A5336B"/>
    <w:rsid w:val="00A5594B"/>
    <w:rsid w:val="00A56AFE"/>
    <w:rsid w:val="00A56E81"/>
    <w:rsid w:val="00A5796C"/>
    <w:rsid w:val="00A60541"/>
    <w:rsid w:val="00A60E05"/>
    <w:rsid w:val="00A615D0"/>
    <w:rsid w:val="00A619A3"/>
    <w:rsid w:val="00A61AAA"/>
    <w:rsid w:val="00A61D63"/>
    <w:rsid w:val="00A61F5B"/>
    <w:rsid w:val="00A63810"/>
    <w:rsid w:val="00A6448B"/>
    <w:rsid w:val="00A64E2B"/>
    <w:rsid w:val="00A659EC"/>
    <w:rsid w:val="00A66D22"/>
    <w:rsid w:val="00A6739A"/>
    <w:rsid w:val="00A676E6"/>
    <w:rsid w:val="00A67C54"/>
    <w:rsid w:val="00A71279"/>
    <w:rsid w:val="00A712F3"/>
    <w:rsid w:val="00A71E88"/>
    <w:rsid w:val="00A72468"/>
    <w:rsid w:val="00A7250A"/>
    <w:rsid w:val="00A726CA"/>
    <w:rsid w:val="00A72A7B"/>
    <w:rsid w:val="00A73785"/>
    <w:rsid w:val="00A73F87"/>
    <w:rsid w:val="00A74402"/>
    <w:rsid w:val="00A74470"/>
    <w:rsid w:val="00A7509F"/>
    <w:rsid w:val="00A75DE2"/>
    <w:rsid w:val="00A76064"/>
    <w:rsid w:val="00A7626A"/>
    <w:rsid w:val="00A77C8F"/>
    <w:rsid w:val="00A80634"/>
    <w:rsid w:val="00A80800"/>
    <w:rsid w:val="00A8254E"/>
    <w:rsid w:val="00A83462"/>
    <w:rsid w:val="00A84025"/>
    <w:rsid w:val="00A847DD"/>
    <w:rsid w:val="00A86C78"/>
    <w:rsid w:val="00A873C8"/>
    <w:rsid w:val="00A903D8"/>
    <w:rsid w:val="00A910E8"/>
    <w:rsid w:val="00A926C6"/>
    <w:rsid w:val="00A92EA9"/>
    <w:rsid w:val="00A9537E"/>
    <w:rsid w:val="00A95E56"/>
    <w:rsid w:val="00A976F7"/>
    <w:rsid w:val="00AA0200"/>
    <w:rsid w:val="00AA0423"/>
    <w:rsid w:val="00AA0A45"/>
    <w:rsid w:val="00AA2453"/>
    <w:rsid w:val="00AA4AF5"/>
    <w:rsid w:val="00AA4F76"/>
    <w:rsid w:val="00AA51D6"/>
    <w:rsid w:val="00AA533B"/>
    <w:rsid w:val="00AA6B17"/>
    <w:rsid w:val="00AA7519"/>
    <w:rsid w:val="00AA781E"/>
    <w:rsid w:val="00AB0B2D"/>
    <w:rsid w:val="00AB2205"/>
    <w:rsid w:val="00AB28CE"/>
    <w:rsid w:val="00AB2CCD"/>
    <w:rsid w:val="00AB44CC"/>
    <w:rsid w:val="00AB4A61"/>
    <w:rsid w:val="00AB560D"/>
    <w:rsid w:val="00AB6B6E"/>
    <w:rsid w:val="00AB75A1"/>
    <w:rsid w:val="00AC0793"/>
    <w:rsid w:val="00AC090D"/>
    <w:rsid w:val="00AC1384"/>
    <w:rsid w:val="00AC14B1"/>
    <w:rsid w:val="00AC1D72"/>
    <w:rsid w:val="00AC2177"/>
    <w:rsid w:val="00AC3AFA"/>
    <w:rsid w:val="00AC3C4A"/>
    <w:rsid w:val="00AC45C2"/>
    <w:rsid w:val="00AC515C"/>
    <w:rsid w:val="00AC5CEA"/>
    <w:rsid w:val="00AC641A"/>
    <w:rsid w:val="00AC66B2"/>
    <w:rsid w:val="00AC75B0"/>
    <w:rsid w:val="00AC771A"/>
    <w:rsid w:val="00AC7FC4"/>
    <w:rsid w:val="00AD1477"/>
    <w:rsid w:val="00AD1A7D"/>
    <w:rsid w:val="00AD3723"/>
    <w:rsid w:val="00AD500E"/>
    <w:rsid w:val="00AD5229"/>
    <w:rsid w:val="00AD6012"/>
    <w:rsid w:val="00AD6C06"/>
    <w:rsid w:val="00AD7508"/>
    <w:rsid w:val="00AE0489"/>
    <w:rsid w:val="00AE0EC2"/>
    <w:rsid w:val="00AE29F1"/>
    <w:rsid w:val="00AE2B24"/>
    <w:rsid w:val="00AE2FB6"/>
    <w:rsid w:val="00AE46A2"/>
    <w:rsid w:val="00AE4AF6"/>
    <w:rsid w:val="00AE4BCB"/>
    <w:rsid w:val="00AE4C5D"/>
    <w:rsid w:val="00AE515F"/>
    <w:rsid w:val="00AE528A"/>
    <w:rsid w:val="00AE5730"/>
    <w:rsid w:val="00AE6201"/>
    <w:rsid w:val="00AE621D"/>
    <w:rsid w:val="00AE62B4"/>
    <w:rsid w:val="00AE7813"/>
    <w:rsid w:val="00AE7BC9"/>
    <w:rsid w:val="00AE7DAB"/>
    <w:rsid w:val="00AE7DD4"/>
    <w:rsid w:val="00AF11C0"/>
    <w:rsid w:val="00AF1BA2"/>
    <w:rsid w:val="00AF3EE1"/>
    <w:rsid w:val="00AF5C2D"/>
    <w:rsid w:val="00AF641A"/>
    <w:rsid w:val="00AF6456"/>
    <w:rsid w:val="00AF6A54"/>
    <w:rsid w:val="00AF7FEA"/>
    <w:rsid w:val="00AF7FF1"/>
    <w:rsid w:val="00B009C6"/>
    <w:rsid w:val="00B017A5"/>
    <w:rsid w:val="00B02B69"/>
    <w:rsid w:val="00B02E62"/>
    <w:rsid w:val="00B03EDD"/>
    <w:rsid w:val="00B04880"/>
    <w:rsid w:val="00B04EC1"/>
    <w:rsid w:val="00B05BDF"/>
    <w:rsid w:val="00B05EAF"/>
    <w:rsid w:val="00B0696D"/>
    <w:rsid w:val="00B069D1"/>
    <w:rsid w:val="00B07F53"/>
    <w:rsid w:val="00B1144C"/>
    <w:rsid w:val="00B120BC"/>
    <w:rsid w:val="00B122B3"/>
    <w:rsid w:val="00B13107"/>
    <w:rsid w:val="00B13F15"/>
    <w:rsid w:val="00B14179"/>
    <w:rsid w:val="00B14878"/>
    <w:rsid w:val="00B148F6"/>
    <w:rsid w:val="00B15691"/>
    <w:rsid w:val="00B15B0B"/>
    <w:rsid w:val="00B174F1"/>
    <w:rsid w:val="00B1756E"/>
    <w:rsid w:val="00B17614"/>
    <w:rsid w:val="00B20277"/>
    <w:rsid w:val="00B21AD9"/>
    <w:rsid w:val="00B22F5C"/>
    <w:rsid w:val="00B23ACD"/>
    <w:rsid w:val="00B2451E"/>
    <w:rsid w:val="00B24908"/>
    <w:rsid w:val="00B2576C"/>
    <w:rsid w:val="00B26E67"/>
    <w:rsid w:val="00B3145A"/>
    <w:rsid w:val="00B3229F"/>
    <w:rsid w:val="00B323BE"/>
    <w:rsid w:val="00B345DA"/>
    <w:rsid w:val="00B345E7"/>
    <w:rsid w:val="00B346BD"/>
    <w:rsid w:val="00B354BB"/>
    <w:rsid w:val="00B36825"/>
    <w:rsid w:val="00B36B92"/>
    <w:rsid w:val="00B3792D"/>
    <w:rsid w:val="00B40713"/>
    <w:rsid w:val="00B41A91"/>
    <w:rsid w:val="00B41ACC"/>
    <w:rsid w:val="00B41C13"/>
    <w:rsid w:val="00B41F0D"/>
    <w:rsid w:val="00B428FB"/>
    <w:rsid w:val="00B44290"/>
    <w:rsid w:val="00B46AC4"/>
    <w:rsid w:val="00B46C1F"/>
    <w:rsid w:val="00B471D1"/>
    <w:rsid w:val="00B47BEB"/>
    <w:rsid w:val="00B50370"/>
    <w:rsid w:val="00B50CBC"/>
    <w:rsid w:val="00B5138D"/>
    <w:rsid w:val="00B51B26"/>
    <w:rsid w:val="00B51BD7"/>
    <w:rsid w:val="00B52959"/>
    <w:rsid w:val="00B52C76"/>
    <w:rsid w:val="00B53B29"/>
    <w:rsid w:val="00B543D7"/>
    <w:rsid w:val="00B546F9"/>
    <w:rsid w:val="00B5581C"/>
    <w:rsid w:val="00B55954"/>
    <w:rsid w:val="00B5675E"/>
    <w:rsid w:val="00B57016"/>
    <w:rsid w:val="00B579FE"/>
    <w:rsid w:val="00B57AD0"/>
    <w:rsid w:val="00B57DAE"/>
    <w:rsid w:val="00B6307A"/>
    <w:rsid w:val="00B6561F"/>
    <w:rsid w:val="00B664CF"/>
    <w:rsid w:val="00B66FA3"/>
    <w:rsid w:val="00B6724F"/>
    <w:rsid w:val="00B679B1"/>
    <w:rsid w:val="00B708DA"/>
    <w:rsid w:val="00B70D74"/>
    <w:rsid w:val="00B70F2E"/>
    <w:rsid w:val="00B71030"/>
    <w:rsid w:val="00B71838"/>
    <w:rsid w:val="00B72CDB"/>
    <w:rsid w:val="00B7300D"/>
    <w:rsid w:val="00B74B5F"/>
    <w:rsid w:val="00B74B66"/>
    <w:rsid w:val="00B7620E"/>
    <w:rsid w:val="00B764A1"/>
    <w:rsid w:val="00B77296"/>
    <w:rsid w:val="00B77FC4"/>
    <w:rsid w:val="00B80182"/>
    <w:rsid w:val="00B80325"/>
    <w:rsid w:val="00B81A7A"/>
    <w:rsid w:val="00B81A83"/>
    <w:rsid w:val="00B81C62"/>
    <w:rsid w:val="00B83AFE"/>
    <w:rsid w:val="00B8454A"/>
    <w:rsid w:val="00B85825"/>
    <w:rsid w:val="00B85FF4"/>
    <w:rsid w:val="00B86083"/>
    <w:rsid w:val="00B865B3"/>
    <w:rsid w:val="00B87561"/>
    <w:rsid w:val="00B9012C"/>
    <w:rsid w:val="00B902B9"/>
    <w:rsid w:val="00B90EB3"/>
    <w:rsid w:val="00B91DA7"/>
    <w:rsid w:val="00B92702"/>
    <w:rsid w:val="00B94B75"/>
    <w:rsid w:val="00B97437"/>
    <w:rsid w:val="00BA0A1F"/>
    <w:rsid w:val="00BA0C08"/>
    <w:rsid w:val="00BA1553"/>
    <w:rsid w:val="00BA15BE"/>
    <w:rsid w:val="00BA28FE"/>
    <w:rsid w:val="00BA2DD5"/>
    <w:rsid w:val="00BB0A5F"/>
    <w:rsid w:val="00BB1564"/>
    <w:rsid w:val="00BB160B"/>
    <w:rsid w:val="00BB19CA"/>
    <w:rsid w:val="00BB2131"/>
    <w:rsid w:val="00BB32F0"/>
    <w:rsid w:val="00BB494A"/>
    <w:rsid w:val="00BB5BC5"/>
    <w:rsid w:val="00BB640D"/>
    <w:rsid w:val="00BB659E"/>
    <w:rsid w:val="00BB6B5D"/>
    <w:rsid w:val="00BB777D"/>
    <w:rsid w:val="00BB7965"/>
    <w:rsid w:val="00BB7EC9"/>
    <w:rsid w:val="00BC3503"/>
    <w:rsid w:val="00BC4034"/>
    <w:rsid w:val="00BC4133"/>
    <w:rsid w:val="00BC603A"/>
    <w:rsid w:val="00BC67E1"/>
    <w:rsid w:val="00BC7125"/>
    <w:rsid w:val="00BD01F4"/>
    <w:rsid w:val="00BD1E36"/>
    <w:rsid w:val="00BD2749"/>
    <w:rsid w:val="00BD2792"/>
    <w:rsid w:val="00BD3965"/>
    <w:rsid w:val="00BD3D6F"/>
    <w:rsid w:val="00BD46D2"/>
    <w:rsid w:val="00BD530F"/>
    <w:rsid w:val="00BD551D"/>
    <w:rsid w:val="00BD61B2"/>
    <w:rsid w:val="00BD7343"/>
    <w:rsid w:val="00BD7B87"/>
    <w:rsid w:val="00BD7EBA"/>
    <w:rsid w:val="00BE01DF"/>
    <w:rsid w:val="00BE0788"/>
    <w:rsid w:val="00BE083B"/>
    <w:rsid w:val="00BE1CE5"/>
    <w:rsid w:val="00BE2DD3"/>
    <w:rsid w:val="00BE3A4B"/>
    <w:rsid w:val="00BE40D0"/>
    <w:rsid w:val="00BE475B"/>
    <w:rsid w:val="00BE4B3D"/>
    <w:rsid w:val="00BE512C"/>
    <w:rsid w:val="00BE6767"/>
    <w:rsid w:val="00BE7E0C"/>
    <w:rsid w:val="00BF0132"/>
    <w:rsid w:val="00BF1010"/>
    <w:rsid w:val="00BF147A"/>
    <w:rsid w:val="00BF20A1"/>
    <w:rsid w:val="00BF3734"/>
    <w:rsid w:val="00BF3D2F"/>
    <w:rsid w:val="00BF4093"/>
    <w:rsid w:val="00BF56AB"/>
    <w:rsid w:val="00BF5F72"/>
    <w:rsid w:val="00BF6AB6"/>
    <w:rsid w:val="00BF76E0"/>
    <w:rsid w:val="00BF7A81"/>
    <w:rsid w:val="00BF7B25"/>
    <w:rsid w:val="00C01CAC"/>
    <w:rsid w:val="00C02DFF"/>
    <w:rsid w:val="00C032EA"/>
    <w:rsid w:val="00C0356B"/>
    <w:rsid w:val="00C03C35"/>
    <w:rsid w:val="00C051DB"/>
    <w:rsid w:val="00C052AF"/>
    <w:rsid w:val="00C05A31"/>
    <w:rsid w:val="00C05BA6"/>
    <w:rsid w:val="00C06460"/>
    <w:rsid w:val="00C07876"/>
    <w:rsid w:val="00C1030A"/>
    <w:rsid w:val="00C1043C"/>
    <w:rsid w:val="00C1229C"/>
    <w:rsid w:val="00C131A5"/>
    <w:rsid w:val="00C13BD6"/>
    <w:rsid w:val="00C14097"/>
    <w:rsid w:val="00C15B13"/>
    <w:rsid w:val="00C16185"/>
    <w:rsid w:val="00C16439"/>
    <w:rsid w:val="00C17CA8"/>
    <w:rsid w:val="00C20366"/>
    <w:rsid w:val="00C20618"/>
    <w:rsid w:val="00C221BA"/>
    <w:rsid w:val="00C222EE"/>
    <w:rsid w:val="00C23AB6"/>
    <w:rsid w:val="00C25CC2"/>
    <w:rsid w:val="00C2605F"/>
    <w:rsid w:val="00C26949"/>
    <w:rsid w:val="00C3014E"/>
    <w:rsid w:val="00C31096"/>
    <w:rsid w:val="00C32D6A"/>
    <w:rsid w:val="00C33947"/>
    <w:rsid w:val="00C33D43"/>
    <w:rsid w:val="00C33FBC"/>
    <w:rsid w:val="00C3504F"/>
    <w:rsid w:val="00C350C0"/>
    <w:rsid w:val="00C353B4"/>
    <w:rsid w:val="00C36153"/>
    <w:rsid w:val="00C3639F"/>
    <w:rsid w:val="00C4045A"/>
    <w:rsid w:val="00C40F66"/>
    <w:rsid w:val="00C41F0E"/>
    <w:rsid w:val="00C42253"/>
    <w:rsid w:val="00C42722"/>
    <w:rsid w:val="00C42E92"/>
    <w:rsid w:val="00C42E9D"/>
    <w:rsid w:val="00C4346C"/>
    <w:rsid w:val="00C43C2F"/>
    <w:rsid w:val="00C43C97"/>
    <w:rsid w:val="00C45DA4"/>
    <w:rsid w:val="00C47583"/>
    <w:rsid w:val="00C47CC9"/>
    <w:rsid w:val="00C53A20"/>
    <w:rsid w:val="00C540C1"/>
    <w:rsid w:val="00C54E67"/>
    <w:rsid w:val="00C55488"/>
    <w:rsid w:val="00C561B5"/>
    <w:rsid w:val="00C56EB2"/>
    <w:rsid w:val="00C57006"/>
    <w:rsid w:val="00C61C69"/>
    <w:rsid w:val="00C62170"/>
    <w:rsid w:val="00C6269C"/>
    <w:rsid w:val="00C62DBC"/>
    <w:rsid w:val="00C63C86"/>
    <w:rsid w:val="00C66D71"/>
    <w:rsid w:val="00C66F06"/>
    <w:rsid w:val="00C6768F"/>
    <w:rsid w:val="00C677BB"/>
    <w:rsid w:val="00C700E8"/>
    <w:rsid w:val="00C71633"/>
    <w:rsid w:val="00C716DD"/>
    <w:rsid w:val="00C71A8F"/>
    <w:rsid w:val="00C72106"/>
    <w:rsid w:val="00C733FC"/>
    <w:rsid w:val="00C73BBF"/>
    <w:rsid w:val="00C73E85"/>
    <w:rsid w:val="00C7436B"/>
    <w:rsid w:val="00C74B89"/>
    <w:rsid w:val="00C7524D"/>
    <w:rsid w:val="00C75681"/>
    <w:rsid w:val="00C75722"/>
    <w:rsid w:val="00C8034D"/>
    <w:rsid w:val="00C8216E"/>
    <w:rsid w:val="00C84FA0"/>
    <w:rsid w:val="00C85DE3"/>
    <w:rsid w:val="00C85E0C"/>
    <w:rsid w:val="00C860EE"/>
    <w:rsid w:val="00C8721F"/>
    <w:rsid w:val="00C877A1"/>
    <w:rsid w:val="00C87C41"/>
    <w:rsid w:val="00C87C61"/>
    <w:rsid w:val="00C90584"/>
    <w:rsid w:val="00C9069D"/>
    <w:rsid w:val="00C91688"/>
    <w:rsid w:val="00C9199E"/>
    <w:rsid w:val="00C92345"/>
    <w:rsid w:val="00C9459D"/>
    <w:rsid w:val="00C95243"/>
    <w:rsid w:val="00C96021"/>
    <w:rsid w:val="00C9635B"/>
    <w:rsid w:val="00C9755B"/>
    <w:rsid w:val="00C97840"/>
    <w:rsid w:val="00CA2FE2"/>
    <w:rsid w:val="00CA4210"/>
    <w:rsid w:val="00CA6C34"/>
    <w:rsid w:val="00CA6DC0"/>
    <w:rsid w:val="00CB2EA9"/>
    <w:rsid w:val="00CB4A29"/>
    <w:rsid w:val="00CB5583"/>
    <w:rsid w:val="00CB56A0"/>
    <w:rsid w:val="00CB5843"/>
    <w:rsid w:val="00CB6A32"/>
    <w:rsid w:val="00CB7967"/>
    <w:rsid w:val="00CB7E22"/>
    <w:rsid w:val="00CC0D6B"/>
    <w:rsid w:val="00CC2064"/>
    <w:rsid w:val="00CC3D6E"/>
    <w:rsid w:val="00CC49DE"/>
    <w:rsid w:val="00CC4CFA"/>
    <w:rsid w:val="00CC4D00"/>
    <w:rsid w:val="00CC5457"/>
    <w:rsid w:val="00CC70B9"/>
    <w:rsid w:val="00CD0AEC"/>
    <w:rsid w:val="00CD0EE5"/>
    <w:rsid w:val="00CD2031"/>
    <w:rsid w:val="00CD252D"/>
    <w:rsid w:val="00CD2A03"/>
    <w:rsid w:val="00CD422B"/>
    <w:rsid w:val="00CD558B"/>
    <w:rsid w:val="00CD5D67"/>
    <w:rsid w:val="00CD68EF"/>
    <w:rsid w:val="00CD6A05"/>
    <w:rsid w:val="00CE0069"/>
    <w:rsid w:val="00CE05FE"/>
    <w:rsid w:val="00CE0C06"/>
    <w:rsid w:val="00CE18CB"/>
    <w:rsid w:val="00CE1F38"/>
    <w:rsid w:val="00CE2C06"/>
    <w:rsid w:val="00CE3B51"/>
    <w:rsid w:val="00CE4517"/>
    <w:rsid w:val="00CE7588"/>
    <w:rsid w:val="00CF1A3C"/>
    <w:rsid w:val="00CF2076"/>
    <w:rsid w:val="00CF2B3D"/>
    <w:rsid w:val="00CF2FAC"/>
    <w:rsid w:val="00CF3877"/>
    <w:rsid w:val="00CF389F"/>
    <w:rsid w:val="00CF3A44"/>
    <w:rsid w:val="00CF5926"/>
    <w:rsid w:val="00CF5E0B"/>
    <w:rsid w:val="00CF6438"/>
    <w:rsid w:val="00CF66BD"/>
    <w:rsid w:val="00CF6A8F"/>
    <w:rsid w:val="00CF7F20"/>
    <w:rsid w:val="00D0092B"/>
    <w:rsid w:val="00D03976"/>
    <w:rsid w:val="00D045DB"/>
    <w:rsid w:val="00D046F7"/>
    <w:rsid w:val="00D04843"/>
    <w:rsid w:val="00D04CDD"/>
    <w:rsid w:val="00D054E3"/>
    <w:rsid w:val="00D067E7"/>
    <w:rsid w:val="00D07A00"/>
    <w:rsid w:val="00D10423"/>
    <w:rsid w:val="00D10DC3"/>
    <w:rsid w:val="00D11301"/>
    <w:rsid w:val="00D12414"/>
    <w:rsid w:val="00D15CAA"/>
    <w:rsid w:val="00D16BBD"/>
    <w:rsid w:val="00D16CA0"/>
    <w:rsid w:val="00D17C51"/>
    <w:rsid w:val="00D17D48"/>
    <w:rsid w:val="00D224F1"/>
    <w:rsid w:val="00D22634"/>
    <w:rsid w:val="00D240C0"/>
    <w:rsid w:val="00D24A0B"/>
    <w:rsid w:val="00D26B19"/>
    <w:rsid w:val="00D30074"/>
    <w:rsid w:val="00D3040D"/>
    <w:rsid w:val="00D304CB"/>
    <w:rsid w:val="00D30524"/>
    <w:rsid w:val="00D31204"/>
    <w:rsid w:val="00D31D5F"/>
    <w:rsid w:val="00D31F9F"/>
    <w:rsid w:val="00D327EF"/>
    <w:rsid w:val="00D32E89"/>
    <w:rsid w:val="00D32FA9"/>
    <w:rsid w:val="00D34392"/>
    <w:rsid w:val="00D35677"/>
    <w:rsid w:val="00D3583C"/>
    <w:rsid w:val="00D36D05"/>
    <w:rsid w:val="00D37FCC"/>
    <w:rsid w:val="00D402C4"/>
    <w:rsid w:val="00D41014"/>
    <w:rsid w:val="00D41593"/>
    <w:rsid w:val="00D41647"/>
    <w:rsid w:val="00D41A00"/>
    <w:rsid w:val="00D422FC"/>
    <w:rsid w:val="00D4280B"/>
    <w:rsid w:val="00D44599"/>
    <w:rsid w:val="00D44A6F"/>
    <w:rsid w:val="00D44AC2"/>
    <w:rsid w:val="00D453FB"/>
    <w:rsid w:val="00D45AAC"/>
    <w:rsid w:val="00D4707C"/>
    <w:rsid w:val="00D47EAA"/>
    <w:rsid w:val="00D5026E"/>
    <w:rsid w:val="00D5172D"/>
    <w:rsid w:val="00D519B9"/>
    <w:rsid w:val="00D51BA8"/>
    <w:rsid w:val="00D5328E"/>
    <w:rsid w:val="00D534DE"/>
    <w:rsid w:val="00D54B4B"/>
    <w:rsid w:val="00D550EE"/>
    <w:rsid w:val="00D553D3"/>
    <w:rsid w:val="00D560E2"/>
    <w:rsid w:val="00D567AA"/>
    <w:rsid w:val="00D5692B"/>
    <w:rsid w:val="00D56DA9"/>
    <w:rsid w:val="00D57296"/>
    <w:rsid w:val="00D57949"/>
    <w:rsid w:val="00D60BBC"/>
    <w:rsid w:val="00D60DF0"/>
    <w:rsid w:val="00D6139E"/>
    <w:rsid w:val="00D61551"/>
    <w:rsid w:val="00D61BAD"/>
    <w:rsid w:val="00D62A8D"/>
    <w:rsid w:val="00D62AA8"/>
    <w:rsid w:val="00D62C65"/>
    <w:rsid w:val="00D63A9A"/>
    <w:rsid w:val="00D63E02"/>
    <w:rsid w:val="00D65A0E"/>
    <w:rsid w:val="00D66154"/>
    <w:rsid w:val="00D6634F"/>
    <w:rsid w:val="00D66D02"/>
    <w:rsid w:val="00D678CC"/>
    <w:rsid w:val="00D71160"/>
    <w:rsid w:val="00D7155B"/>
    <w:rsid w:val="00D725CB"/>
    <w:rsid w:val="00D73448"/>
    <w:rsid w:val="00D734D2"/>
    <w:rsid w:val="00D74C32"/>
    <w:rsid w:val="00D7575F"/>
    <w:rsid w:val="00D76A5A"/>
    <w:rsid w:val="00D77093"/>
    <w:rsid w:val="00D8165B"/>
    <w:rsid w:val="00D81D27"/>
    <w:rsid w:val="00D82989"/>
    <w:rsid w:val="00D833A3"/>
    <w:rsid w:val="00D83967"/>
    <w:rsid w:val="00D84FFC"/>
    <w:rsid w:val="00D85500"/>
    <w:rsid w:val="00D859FA"/>
    <w:rsid w:val="00D85B11"/>
    <w:rsid w:val="00D86D26"/>
    <w:rsid w:val="00D86D35"/>
    <w:rsid w:val="00D8735C"/>
    <w:rsid w:val="00D87E2E"/>
    <w:rsid w:val="00D90FA9"/>
    <w:rsid w:val="00D91918"/>
    <w:rsid w:val="00D928A7"/>
    <w:rsid w:val="00D92BB5"/>
    <w:rsid w:val="00D931B6"/>
    <w:rsid w:val="00D93C7F"/>
    <w:rsid w:val="00D940FE"/>
    <w:rsid w:val="00D94A1B"/>
    <w:rsid w:val="00D952B0"/>
    <w:rsid w:val="00D963D6"/>
    <w:rsid w:val="00D9668B"/>
    <w:rsid w:val="00DA068B"/>
    <w:rsid w:val="00DA1FFC"/>
    <w:rsid w:val="00DA2041"/>
    <w:rsid w:val="00DA235F"/>
    <w:rsid w:val="00DA2CF2"/>
    <w:rsid w:val="00DA2F81"/>
    <w:rsid w:val="00DA34C2"/>
    <w:rsid w:val="00DA3C6F"/>
    <w:rsid w:val="00DA43FE"/>
    <w:rsid w:val="00DA5BD8"/>
    <w:rsid w:val="00DA697F"/>
    <w:rsid w:val="00DA7FB8"/>
    <w:rsid w:val="00DB04FA"/>
    <w:rsid w:val="00DB0595"/>
    <w:rsid w:val="00DB1AFC"/>
    <w:rsid w:val="00DB4741"/>
    <w:rsid w:val="00DB4BC6"/>
    <w:rsid w:val="00DB5F11"/>
    <w:rsid w:val="00DB7F1F"/>
    <w:rsid w:val="00DC0F28"/>
    <w:rsid w:val="00DC10C4"/>
    <w:rsid w:val="00DC1869"/>
    <w:rsid w:val="00DC23FB"/>
    <w:rsid w:val="00DC2CB8"/>
    <w:rsid w:val="00DC3CDE"/>
    <w:rsid w:val="00DC4931"/>
    <w:rsid w:val="00DC5071"/>
    <w:rsid w:val="00DC5816"/>
    <w:rsid w:val="00DC5FAA"/>
    <w:rsid w:val="00DC66E9"/>
    <w:rsid w:val="00DC77DA"/>
    <w:rsid w:val="00DC7F4D"/>
    <w:rsid w:val="00DD0F0F"/>
    <w:rsid w:val="00DD16C8"/>
    <w:rsid w:val="00DD2526"/>
    <w:rsid w:val="00DD42FA"/>
    <w:rsid w:val="00DD4E1E"/>
    <w:rsid w:val="00DD5497"/>
    <w:rsid w:val="00DD6019"/>
    <w:rsid w:val="00DD660C"/>
    <w:rsid w:val="00DD6F42"/>
    <w:rsid w:val="00DE045F"/>
    <w:rsid w:val="00DE09FF"/>
    <w:rsid w:val="00DE207E"/>
    <w:rsid w:val="00DE2F79"/>
    <w:rsid w:val="00DE35F2"/>
    <w:rsid w:val="00DE4D40"/>
    <w:rsid w:val="00DE5F06"/>
    <w:rsid w:val="00DE6147"/>
    <w:rsid w:val="00DE6FF6"/>
    <w:rsid w:val="00DE745A"/>
    <w:rsid w:val="00DF0CDD"/>
    <w:rsid w:val="00DF1AA5"/>
    <w:rsid w:val="00DF1F57"/>
    <w:rsid w:val="00DF4452"/>
    <w:rsid w:val="00DF49B0"/>
    <w:rsid w:val="00DF4CDA"/>
    <w:rsid w:val="00DF4D3E"/>
    <w:rsid w:val="00DF4DB8"/>
    <w:rsid w:val="00DF4E4D"/>
    <w:rsid w:val="00DF5B22"/>
    <w:rsid w:val="00DF696D"/>
    <w:rsid w:val="00E00168"/>
    <w:rsid w:val="00E013D7"/>
    <w:rsid w:val="00E05B85"/>
    <w:rsid w:val="00E0707C"/>
    <w:rsid w:val="00E0795C"/>
    <w:rsid w:val="00E10284"/>
    <w:rsid w:val="00E103A9"/>
    <w:rsid w:val="00E103C7"/>
    <w:rsid w:val="00E11449"/>
    <w:rsid w:val="00E11C73"/>
    <w:rsid w:val="00E12EC3"/>
    <w:rsid w:val="00E134FD"/>
    <w:rsid w:val="00E146C8"/>
    <w:rsid w:val="00E1594A"/>
    <w:rsid w:val="00E16E07"/>
    <w:rsid w:val="00E174A9"/>
    <w:rsid w:val="00E207F7"/>
    <w:rsid w:val="00E20948"/>
    <w:rsid w:val="00E2143E"/>
    <w:rsid w:val="00E24FF0"/>
    <w:rsid w:val="00E25606"/>
    <w:rsid w:val="00E26B86"/>
    <w:rsid w:val="00E30873"/>
    <w:rsid w:val="00E3166B"/>
    <w:rsid w:val="00E324FE"/>
    <w:rsid w:val="00E32DE3"/>
    <w:rsid w:val="00E3315D"/>
    <w:rsid w:val="00E33620"/>
    <w:rsid w:val="00E345BE"/>
    <w:rsid w:val="00E346FA"/>
    <w:rsid w:val="00E3497E"/>
    <w:rsid w:val="00E355BF"/>
    <w:rsid w:val="00E35BF9"/>
    <w:rsid w:val="00E35D40"/>
    <w:rsid w:val="00E36C7F"/>
    <w:rsid w:val="00E37672"/>
    <w:rsid w:val="00E4101A"/>
    <w:rsid w:val="00E4126C"/>
    <w:rsid w:val="00E42224"/>
    <w:rsid w:val="00E43A54"/>
    <w:rsid w:val="00E44091"/>
    <w:rsid w:val="00E444EE"/>
    <w:rsid w:val="00E446C0"/>
    <w:rsid w:val="00E4507C"/>
    <w:rsid w:val="00E450F6"/>
    <w:rsid w:val="00E45166"/>
    <w:rsid w:val="00E504AD"/>
    <w:rsid w:val="00E50C2E"/>
    <w:rsid w:val="00E52D97"/>
    <w:rsid w:val="00E5338D"/>
    <w:rsid w:val="00E53CE9"/>
    <w:rsid w:val="00E54633"/>
    <w:rsid w:val="00E54CFE"/>
    <w:rsid w:val="00E54F19"/>
    <w:rsid w:val="00E54FEE"/>
    <w:rsid w:val="00E55754"/>
    <w:rsid w:val="00E557EE"/>
    <w:rsid w:val="00E56949"/>
    <w:rsid w:val="00E56B57"/>
    <w:rsid w:val="00E5713F"/>
    <w:rsid w:val="00E572F0"/>
    <w:rsid w:val="00E57ACF"/>
    <w:rsid w:val="00E57F83"/>
    <w:rsid w:val="00E60044"/>
    <w:rsid w:val="00E602EF"/>
    <w:rsid w:val="00E609C9"/>
    <w:rsid w:val="00E61A2F"/>
    <w:rsid w:val="00E629DD"/>
    <w:rsid w:val="00E629F5"/>
    <w:rsid w:val="00E6382A"/>
    <w:rsid w:val="00E63DD8"/>
    <w:rsid w:val="00E64A3D"/>
    <w:rsid w:val="00E65D60"/>
    <w:rsid w:val="00E65E38"/>
    <w:rsid w:val="00E65E54"/>
    <w:rsid w:val="00E708B6"/>
    <w:rsid w:val="00E70CB7"/>
    <w:rsid w:val="00E728BF"/>
    <w:rsid w:val="00E7410A"/>
    <w:rsid w:val="00E75587"/>
    <w:rsid w:val="00E764BB"/>
    <w:rsid w:val="00E778CA"/>
    <w:rsid w:val="00E8025C"/>
    <w:rsid w:val="00E80A37"/>
    <w:rsid w:val="00E80E2D"/>
    <w:rsid w:val="00E8179A"/>
    <w:rsid w:val="00E81FF7"/>
    <w:rsid w:val="00E823D0"/>
    <w:rsid w:val="00E8268C"/>
    <w:rsid w:val="00E83286"/>
    <w:rsid w:val="00E83B64"/>
    <w:rsid w:val="00E85DA6"/>
    <w:rsid w:val="00E85FC6"/>
    <w:rsid w:val="00E878A4"/>
    <w:rsid w:val="00E87A47"/>
    <w:rsid w:val="00E9156A"/>
    <w:rsid w:val="00E92057"/>
    <w:rsid w:val="00E935CF"/>
    <w:rsid w:val="00E96AD1"/>
    <w:rsid w:val="00E96BD9"/>
    <w:rsid w:val="00E975A1"/>
    <w:rsid w:val="00EA1664"/>
    <w:rsid w:val="00EA1ABA"/>
    <w:rsid w:val="00EA232D"/>
    <w:rsid w:val="00EA2C4C"/>
    <w:rsid w:val="00EA3229"/>
    <w:rsid w:val="00EA44A5"/>
    <w:rsid w:val="00EA509B"/>
    <w:rsid w:val="00EA573A"/>
    <w:rsid w:val="00EA5997"/>
    <w:rsid w:val="00EA59D1"/>
    <w:rsid w:val="00EB0124"/>
    <w:rsid w:val="00EB05E0"/>
    <w:rsid w:val="00EB1411"/>
    <w:rsid w:val="00EB2384"/>
    <w:rsid w:val="00EB408B"/>
    <w:rsid w:val="00EB4357"/>
    <w:rsid w:val="00EB5492"/>
    <w:rsid w:val="00EB5845"/>
    <w:rsid w:val="00EB7128"/>
    <w:rsid w:val="00EB7820"/>
    <w:rsid w:val="00EB7A53"/>
    <w:rsid w:val="00EB7A7B"/>
    <w:rsid w:val="00EC0B80"/>
    <w:rsid w:val="00EC121A"/>
    <w:rsid w:val="00EC258B"/>
    <w:rsid w:val="00EC2724"/>
    <w:rsid w:val="00EC2E5F"/>
    <w:rsid w:val="00EC34B3"/>
    <w:rsid w:val="00EC5FAC"/>
    <w:rsid w:val="00EC6540"/>
    <w:rsid w:val="00EC6F2E"/>
    <w:rsid w:val="00EC7E37"/>
    <w:rsid w:val="00ED03E1"/>
    <w:rsid w:val="00ED0FD8"/>
    <w:rsid w:val="00ED24FC"/>
    <w:rsid w:val="00ED2FD3"/>
    <w:rsid w:val="00ED3218"/>
    <w:rsid w:val="00ED363A"/>
    <w:rsid w:val="00ED4D21"/>
    <w:rsid w:val="00ED56FC"/>
    <w:rsid w:val="00ED6567"/>
    <w:rsid w:val="00ED6A4D"/>
    <w:rsid w:val="00ED6A7F"/>
    <w:rsid w:val="00ED6D37"/>
    <w:rsid w:val="00ED752A"/>
    <w:rsid w:val="00EE0750"/>
    <w:rsid w:val="00EE1D5B"/>
    <w:rsid w:val="00EE5A67"/>
    <w:rsid w:val="00EE6796"/>
    <w:rsid w:val="00EE7FA0"/>
    <w:rsid w:val="00EF0E5F"/>
    <w:rsid w:val="00EF1931"/>
    <w:rsid w:val="00EF22F7"/>
    <w:rsid w:val="00EF2F08"/>
    <w:rsid w:val="00EF37C1"/>
    <w:rsid w:val="00EF3A80"/>
    <w:rsid w:val="00EF60B6"/>
    <w:rsid w:val="00EF7174"/>
    <w:rsid w:val="00EF7331"/>
    <w:rsid w:val="00EF7504"/>
    <w:rsid w:val="00F00137"/>
    <w:rsid w:val="00F002E7"/>
    <w:rsid w:val="00F00341"/>
    <w:rsid w:val="00F02E69"/>
    <w:rsid w:val="00F0312C"/>
    <w:rsid w:val="00F038BB"/>
    <w:rsid w:val="00F04757"/>
    <w:rsid w:val="00F0576B"/>
    <w:rsid w:val="00F05C96"/>
    <w:rsid w:val="00F05CA1"/>
    <w:rsid w:val="00F065CC"/>
    <w:rsid w:val="00F079DC"/>
    <w:rsid w:val="00F10069"/>
    <w:rsid w:val="00F11903"/>
    <w:rsid w:val="00F12662"/>
    <w:rsid w:val="00F12F0B"/>
    <w:rsid w:val="00F1350A"/>
    <w:rsid w:val="00F13AB1"/>
    <w:rsid w:val="00F141EB"/>
    <w:rsid w:val="00F14384"/>
    <w:rsid w:val="00F14399"/>
    <w:rsid w:val="00F15D01"/>
    <w:rsid w:val="00F16073"/>
    <w:rsid w:val="00F16E50"/>
    <w:rsid w:val="00F171E6"/>
    <w:rsid w:val="00F17D28"/>
    <w:rsid w:val="00F206FE"/>
    <w:rsid w:val="00F209C4"/>
    <w:rsid w:val="00F222BF"/>
    <w:rsid w:val="00F2350F"/>
    <w:rsid w:val="00F241D5"/>
    <w:rsid w:val="00F250E2"/>
    <w:rsid w:val="00F2512E"/>
    <w:rsid w:val="00F2564E"/>
    <w:rsid w:val="00F257A3"/>
    <w:rsid w:val="00F2674D"/>
    <w:rsid w:val="00F30028"/>
    <w:rsid w:val="00F3035F"/>
    <w:rsid w:val="00F3072F"/>
    <w:rsid w:val="00F32A9D"/>
    <w:rsid w:val="00F32DF3"/>
    <w:rsid w:val="00F33AA3"/>
    <w:rsid w:val="00F3411A"/>
    <w:rsid w:val="00F34BD3"/>
    <w:rsid w:val="00F35B53"/>
    <w:rsid w:val="00F37076"/>
    <w:rsid w:val="00F3726A"/>
    <w:rsid w:val="00F40DEC"/>
    <w:rsid w:val="00F425F7"/>
    <w:rsid w:val="00F43BE7"/>
    <w:rsid w:val="00F43E18"/>
    <w:rsid w:val="00F4406E"/>
    <w:rsid w:val="00F4487A"/>
    <w:rsid w:val="00F45B7A"/>
    <w:rsid w:val="00F460BE"/>
    <w:rsid w:val="00F46170"/>
    <w:rsid w:val="00F46317"/>
    <w:rsid w:val="00F46800"/>
    <w:rsid w:val="00F470DD"/>
    <w:rsid w:val="00F47C68"/>
    <w:rsid w:val="00F50493"/>
    <w:rsid w:val="00F50963"/>
    <w:rsid w:val="00F51DEC"/>
    <w:rsid w:val="00F535E1"/>
    <w:rsid w:val="00F5450C"/>
    <w:rsid w:val="00F54EE9"/>
    <w:rsid w:val="00F5583B"/>
    <w:rsid w:val="00F55C5D"/>
    <w:rsid w:val="00F6122C"/>
    <w:rsid w:val="00F61CCC"/>
    <w:rsid w:val="00F62901"/>
    <w:rsid w:val="00F63708"/>
    <w:rsid w:val="00F64841"/>
    <w:rsid w:val="00F64C19"/>
    <w:rsid w:val="00F65986"/>
    <w:rsid w:val="00F65A2E"/>
    <w:rsid w:val="00F66877"/>
    <w:rsid w:val="00F7093D"/>
    <w:rsid w:val="00F713E1"/>
    <w:rsid w:val="00F714D9"/>
    <w:rsid w:val="00F729E4"/>
    <w:rsid w:val="00F72D37"/>
    <w:rsid w:val="00F736F7"/>
    <w:rsid w:val="00F74AB5"/>
    <w:rsid w:val="00F7555A"/>
    <w:rsid w:val="00F75919"/>
    <w:rsid w:val="00F7602E"/>
    <w:rsid w:val="00F7641A"/>
    <w:rsid w:val="00F7763F"/>
    <w:rsid w:val="00F8014E"/>
    <w:rsid w:val="00F80A15"/>
    <w:rsid w:val="00F81337"/>
    <w:rsid w:val="00F81B76"/>
    <w:rsid w:val="00F831B2"/>
    <w:rsid w:val="00F84354"/>
    <w:rsid w:val="00F84881"/>
    <w:rsid w:val="00F85981"/>
    <w:rsid w:val="00F8603A"/>
    <w:rsid w:val="00F86216"/>
    <w:rsid w:val="00F86972"/>
    <w:rsid w:val="00F87975"/>
    <w:rsid w:val="00F911B6"/>
    <w:rsid w:val="00F92895"/>
    <w:rsid w:val="00F942A6"/>
    <w:rsid w:val="00F94364"/>
    <w:rsid w:val="00F94943"/>
    <w:rsid w:val="00F94AE9"/>
    <w:rsid w:val="00F94C9E"/>
    <w:rsid w:val="00F953DE"/>
    <w:rsid w:val="00F958DC"/>
    <w:rsid w:val="00F95A37"/>
    <w:rsid w:val="00F95C30"/>
    <w:rsid w:val="00F964F1"/>
    <w:rsid w:val="00F97A36"/>
    <w:rsid w:val="00F97CCC"/>
    <w:rsid w:val="00FA0330"/>
    <w:rsid w:val="00FA03F0"/>
    <w:rsid w:val="00FA051C"/>
    <w:rsid w:val="00FA0817"/>
    <w:rsid w:val="00FA0EF9"/>
    <w:rsid w:val="00FA0FE1"/>
    <w:rsid w:val="00FA101B"/>
    <w:rsid w:val="00FA16B1"/>
    <w:rsid w:val="00FA1766"/>
    <w:rsid w:val="00FA3251"/>
    <w:rsid w:val="00FA51E6"/>
    <w:rsid w:val="00FA5F4E"/>
    <w:rsid w:val="00FA6D1C"/>
    <w:rsid w:val="00FA743E"/>
    <w:rsid w:val="00FA7DD0"/>
    <w:rsid w:val="00FB0EAD"/>
    <w:rsid w:val="00FB1126"/>
    <w:rsid w:val="00FB281C"/>
    <w:rsid w:val="00FB307F"/>
    <w:rsid w:val="00FB3131"/>
    <w:rsid w:val="00FB3611"/>
    <w:rsid w:val="00FB3BD3"/>
    <w:rsid w:val="00FB4523"/>
    <w:rsid w:val="00FB53C0"/>
    <w:rsid w:val="00FB6A00"/>
    <w:rsid w:val="00FB72E2"/>
    <w:rsid w:val="00FC0BC9"/>
    <w:rsid w:val="00FC1080"/>
    <w:rsid w:val="00FC1704"/>
    <w:rsid w:val="00FC19CB"/>
    <w:rsid w:val="00FC1D0A"/>
    <w:rsid w:val="00FC1FEE"/>
    <w:rsid w:val="00FC2488"/>
    <w:rsid w:val="00FC2A7E"/>
    <w:rsid w:val="00FC57CF"/>
    <w:rsid w:val="00FD05E8"/>
    <w:rsid w:val="00FD0D24"/>
    <w:rsid w:val="00FD16BC"/>
    <w:rsid w:val="00FD2763"/>
    <w:rsid w:val="00FD3394"/>
    <w:rsid w:val="00FD3B13"/>
    <w:rsid w:val="00FD3E3B"/>
    <w:rsid w:val="00FD47D7"/>
    <w:rsid w:val="00FD6AF5"/>
    <w:rsid w:val="00FD7A55"/>
    <w:rsid w:val="00FE124A"/>
    <w:rsid w:val="00FE1C9E"/>
    <w:rsid w:val="00FE21A1"/>
    <w:rsid w:val="00FE2AE7"/>
    <w:rsid w:val="00FE36AC"/>
    <w:rsid w:val="00FE3E9E"/>
    <w:rsid w:val="00FE3EBF"/>
    <w:rsid w:val="00FE4921"/>
    <w:rsid w:val="00FE50B8"/>
    <w:rsid w:val="00FE5CBB"/>
    <w:rsid w:val="00FE6244"/>
    <w:rsid w:val="00FE6316"/>
    <w:rsid w:val="00FE6637"/>
    <w:rsid w:val="00FE6640"/>
    <w:rsid w:val="00FE72ED"/>
    <w:rsid w:val="00FE7988"/>
    <w:rsid w:val="00FF0060"/>
    <w:rsid w:val="00FF07A2"/>
    <w:rsid w:val="00FF40E3"/>
    <w:rsid w:val="00FF422A"/>
    <w:rsid w:val="00FF49C5"/>
    <w:rsid w:val="00FF5C3B"/>
    <w:rsid w:val="00FF5D89"/>
    <w:rsid w:val="00FF6A5A"/>
    <w:rsid w:val="00FF72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v:shadow on="t" opacity=".5" offset="-6pt,-6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121A"/>
    <w:pPr>
      <w:spacing w:after="200" w:line="276" w:lineRule="auto"/>
    </w:pPr>
    <w:rPr>
      <w:sz w:val="22"/>
      <w:szCs w:val="22"/>
      <w:lang w:eastAsia="en-US"/>
    </w:rPr>
  </w:style>
  <w:style w:type="paragraph" w:styleId="Nagwek1">
    <w:name w:val="heading 1"/>
    <w:basedOn w:val="Normalny"/>
    <w:next w:val="Normalny"/>
    <w:link w:val="Nagwek1Znak"/>
    <w:uiPriority w:val="9"/>
    <w:qFormat/>
    <w:rsid w:val="005D329B"/>
    <w:pPr>
      <w:keepNext/>
      <w:keepLines/>
      <w:spacing w:before="480" w:after="0"/>
      <w:outlineLvl w:val="0"/>
    </w:pPr>
    <w:rPr>
      <w:rFonts w:eastAsia="Times New Roman"/>
      <w:b/>
      <w:bCs/>
      <w:caps/>
      <w:sz w:val="32"/>
      <w:szCs w:val="28"/>
    </w:rPr>
  </w:style>
  <w:style w:type="paragraph" w:styleId="Nagwek2">
    <w:name w:val="heading 2"/>
    <w:basedOn w:val="Normalny"/>
    <w:next w:val="Normalny"/>
    <w:link w:val="Nagwek2Znak"/>
    <w:uiPriority w:val="9"/>
    <w:unhideWhenUsed/>
    <w:qFormat/>
    <w:rsid w:val="00F2512E"/>
    <w:pPr>
      <w:keepNext/>
      <w:keepLines/>
      <w:spacing w:before="100" w:beforeAutospacing="1" w:after="100" w:afterAutospacing="1"/>
      <w:outlineLvl w:val="1"/>
    </w:pPr>
    <w:rPr>
      <w:rFonts w:eastAsia="Times New Roman"/>
      <w:b/>
      <w:bCs/>
      <w:smallCaps/>
      <w:sz w:val="28"/>
      <w:szCs w:val="26"/>
    </w:rPr>
  </w:style>
  <w:style w:type="paragraph" w:styleId="Nagwek3">
    <w:name w:val="heading 3"/>
    <w:basedOn w:val="Normalny"/>
    <w:next w:val="Normalny"/>
    <w:link w:val="Nagwek3Znak"/>
    <w:uiPriority w:val="9"/>
    <w:unhideWhenUsed/>
    <w:qFormat/>
    <w:rsid w:val="00396F8E"/>
    <w:pPr>
      <w:keepNext/>
      <w:keepLines/>
      <w:spacing w:before="100" w:beforeAutospacing="1" w:after="100" w:afterAutospacing="1"/>
      <w:outlineLvl w:val="2"/>
    </w:pPr>
    <w:rPr>
      <w:rFonts w:eastAsia="Times New Roman"/>
      <w:b/>
      <w:bCs/>
      <w:smallCap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D327EF"/>
    <w:pPr>
      <w:ind w:left="720"/>
      <w:contextualSpacing/>
    </w:pPr>
  </w:style>
  <w:style w:type="paragraph" w:styleId="Tekstdymka">
    <w:name w:val="Balloon Text"/>
    <w:basedOn w:val="Normalny"/>
    <w:link w:val="TekstdymkaZnak"/>
    <w:uiPriority w:val="99"/>
    <w:semiHidden/>
    <w:unhideWhenUsed/>
    <w:rsid w:val="00C53A2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53A20"/>
    <w:rPr>
      <w:rFonts w:ascii="Tahoma" w:hAnsi="Tahoma" w:cs="Tahoma"/>
      <w:sz w:val="16"/>
      <w:szCs w:val="16"/>
    </w:rPr>
  </w:style>
  <w:style w:type="paragraph" w:customStyle="1" w:styleId="Default">
    <w:name w:val="Default"/>
    <w:rsid w:val="00D22634"/>
    <w:pPr>
      <w:autoSpaceDE w:val="0"/>
      <w:autoSpaceDN w:val="0"/>
      <w:adjustRightInd w:val="0"/>
    </w:pPr>
    <w:rPr>
      <w:rFonts w:cs="Calibri"/>
      <w:color w:val="000000"/>
      <w:sz w:val="24"/>
      <w:szCs w:val="24"/>
      <w:lang w:eastAsia="en-US"/>
    </w:rPr>
  </w:style>
  <w:style w:type="paragraph" w:styleId="NormalnyWeb">
    <w:name w:val="Normal (Web)"/>
    <w:basedOn w:val="Normalny"/>
    <w:uiPriority w:val="99"/>
    <w:unhideWhenUsed/>
    <w:rsid w:val="00044BE2"/>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044BE2"/>
    <w:rPr>
      <w:b/>
      <w:bCs/>
    </w:rPr>
  </w:style>
  <w:style w:type="character" w:customStyle="1" w:styleId="Nagwek1Znak">
    <w:name w:val="Nagłówek 1 Znak"/>
    <w:link w:val="Nagwek1"/>
    <w:uiPriority w:val="9"/>
    <w:rsid w:val="005D329B"/>
    <w:rPr>
      <w:rFonts w:eastAsia="Times New Roman" w:cs="Times New Roman"/>
      <w:b/>
      <w:bCs/>
      <w:caps/>
      <w:sz w:val="32"/>
      <w:szCs w:val="28"/>
    </w:rPr>
  </w:style>
  <w:style w:type="character" w:customStyle="1" w:styleId="Nagwek2Znak">
    <w:name w:val="Nagłówek 2 Znak"/>
    <w:link w:val="Nagwek2"/>
    <w:uiPriority w:val="9"/>
    <w:rsid w:val="00F2512E"/>
    <w:rPr>
      <w:rFonts w:eastAsia="Times New Roman" w:cs="Times New Roman"/>
      <w:b/>
      <w:bCs/>
      <w:smallCaps/>
      <w:sz w:val="28"/>
      <w:szCs w:val="26"/>
    </w:rPr>
  </w:style>
  <w:style w:type="paragraph" w:styleId="Tekstkomentarza">
    <w:name w:val="annotation text"/>
    <w:basedOn w:val="Normalny"/>
    <w:link w:val="TekstkomentarzaZnak"/>
    <w:uiPriority w:val="99"/>
    <w:unhideWhenUsed/>
    <w:rsid w:val="00226B91"/>
    <w:pPr>
      <w:spacing w:line="240" w:lineRule="auto"/>
    </w:pPr>
    <w:rPr>
      <w:sz w:val="20"/>
      <w:szCs w:val="20"/>
    </w:rPr>
  </w:style>
  <w:style w:type="character" w:customStyle="1" w:styleId="TekstkomentarzaZnak">
    <w:name w:val="Tekst komentarza Znak"/>
    <w:link w:val="Tekstkomentarza"/>
    <w:uiPriority w:val="99"/>
    <w:rsid w:val="00226B91"/>
    <w:rPr>
      <w:rFonts w:ascii="Calibri" w:eastAsia="Calibri" w:hAnsi="Calibri" w:cs="Times New Roman"/>
      <w:sz w:val="20"/>
      <w:szCs w:val="20"/>
    </w:rPr>
  </w:style>
  <w:style w:type="paragraph" w:styleId="Nagwek">
    <w:name w:val="header"/>
    <w:basedOn w:val="Normalny"/>
    <w:link w:val="NagwekZnak"/>
    <w:uiPriority w:val="99"/>
    <w:unhideWhenUsed/>
    <w:rsid w:val="000728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2822"/>
  </w:style>
  <w:style w:type="paragraph" w:styleId="Stopka">
    <w:name w:val="footer"/>
    <w:basedOn w:val="Normalny"/>
    <w:link w:val="StopkaZnak"/>
    <w:uiPriority w:val="99"/>
    <w:unhideWhenUsed/>
    <w:rsid w:val="000728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2822"/>
  </w:style>
  <w:style w:type="paragraph" w:styleId="Tytu">
    <w:name w:val="Title"/>
    <w:basedOn w:val="Normalny"/>
    <w:next w:val="Normalny"/>
    <w:link w:val="TytuZnak"/>
    <w:uiPriority w:val="10"/>
    <w:qFormat/>
    <w:rsid w:val="007556BA"/>
    <w:pPr>
      <w:pBdr>
        <w:bottom w:val="single" w:sz="8" w:space="4" w:color="4F81BD"/>
      </w:pBdr>
      <w:spacing w:after="300" w:line="240" w:lineRule="auto"/>
      <w:contextualSpacing/>
    </w:pPr>
    <w:rPr>
      <w:rFonts w:eastAsia="Times New Roman"/>
      <w:spacing w:val="5"/>
      <w:kern w:val="28"/>
      <w:sz w:val="52"/>
      <w:szCs w:val="52"/>
    </w:rPr>
  </w:style>
  <w:style w:type="character" w:customStyle="1" w:styleId="TytuZnak">
    <w:name w:val="Tytuł Znak"/>
    <w:link w:val="Tytu"/>
    <w:uiPriority w:val="10"/>
    <w:rsid w:val="007556BA"/>
    <w:rPr>
      <w:rFonts w:eastAsia="Times New Roman" w:cs="Times New Roman"/>
      <w:spacing w:val="5"/>
      <w:kern w:val="28"/>
      <w:sz w:val="52"/>
      <w:szCs w:val="52"/>
    </w:rPr>
  </w:style>
  <w:style w:type="character" w:customStyle="1" w:styleId="Nagwek3Znak">
    <w:name w:val="Nagłówek 3 Znak"/>
    <w:link w:val="Nagwek3"/>
    <w:uiPriority w:val="9"/>
    <w:rsid w:val="00396F8E"/>
    <w:rPr>
      <w:rFonts w:eastAsia="Times New Roman" w:cs="Times New Roman"/>
      <w:b/>
      <w:bCs/>
      <w:smallCaps/>
      <w:sz w:val="24"/>
    </w:rPr>
  </w:style>
  <w:style w:type="character" w:styleId="Wyrnieniedelikatne">
    <w:name w:val="Subtle Emphasis"/>
    <w:uiPriority w:val="19"/>
    <w:qFormat/>
    <w:rsid w:val="00BE512C"/>
    <w:rPr>
      <w:rFonts w:ascii="Calibri" w:hAnsi="Calibri"/>
      <w:b/>
      <w:i/>
      <w:iCs/>
      <w:color w:val="auto"/>
      <w:sz w:val="24"/>
      <w:u w:val="single"/>
    </w:rPr>
  </w:style>
  <w:style w:type="character" w:styleId="Wyrnienieintensywne">
    <w:name w:val="Intense Emphasis"/>
    <w:uiPriority w:val="21"/>
    <w:qFormat/>
    <w:rsid w:val="0039726C"/>
    <w:rPr>
      <w:rFonts w:ascii="Calibri" w:hAnsi="Calibri"/>
      <w:bCs/>
      <w:iCs/>
      <w:smallCaps/>
      <w:dstrike w:val="0"/>
      <w:color w:val="auto"/>
      <w:sz w:val="24"/>
      <w:vertAlign w:val="baseline"/>
    </w:rPr>
  </w:style>
  <w:style w:type="paragraph" w:styleId="Nagwekspisutreci">
    <w:name w:val="TOC Heading"/>
    <w:basedOn w:val="Nagwek1"/>
    <w:next w:val="Normalny"/>
    <w:uiPriority w:val="39"/>
    <w:semiHidden/>
    <w:unhideWhenUsed/>
    <w:qFormat/>
    <w:rsid w:val="00B2576C"/>
    <w:pPr>
      <w:outlineLvl w:val="9"/>
    </w:pPr>
    <w:rPr>
      <w:rFonts w:ascii="Cambria" w:hAnsi="Cambria"/>
      <w:caps w:val="0"/>
      <w:color w:val="365F91"/>
      <w:sz w:val="28"/>
    </w:rPr>
  </w:style>
  <w:style w:type="paragraph" w:styleId="Spistreci1">
    <w:name w:val="toc 1"/>
    <w:basedOn w:val="Normalny"/>
    <w:next w:val="Normalny"/>
    <w:autoRedefine/>
    <w:uiPriority w:val="39"/>
    <w:unhideWhenUsed/>
    <w:rsid w:val="00B2576C"/>
    <w:pPr>
      <w:spacing w:after="100"/>
    </w:pPr>
  </w:style>
  <w:style w:type="paragraph" w:styleId="Spistreci2">
    <w:name w:val="toc 2"/>
    <w:basedOn w:val="Normalny"/>
    <w:next w:val="Normalny"/>
    <w:autoRedefine/>
    <w:uiPriority w:val="39"/>
    <w:unhideWhenUsed/>
    <w:rsid w:val="00B2576C"/>
    <w:pPr>
      <w:spacing w:after="100"/>
      <w:ind w:left="220"/>
    </w:pPr>
  </w:style>
  <w:style w:type="paragraph" w:styleId="Spistreci3">
    <w:name w:val="toc 3"/>
    <w:basedOn w:val="Normalny"/>
    <w:next w:val="Normalny"/>
    <w:autoRedefine/>
    <w:uiPriority w:val="39"/>
    <w:unhideWhenUsed/>
    <w:rsid w:val="00B2576C"/>
    <w:pPr>
      <w:spacing w:after="100"/>
      <w:ind w:left="440"/>
    </w:pPr>
  </w:style>
  <w:style w:type="character" w:styleId="Hipercze">
    <w:name w:val="Hyperlink"/>
    <w:uiPriority w:val="99"/>
    <w:unhideWhenUsed/>
    <w:rsid w:val="00B2576C"/>
    <w:rPr>
      <w:color w:val="0000FF"/>
      <w:u w:val="single"/>
    </w:rPr>
  </w:style>
  <w:style w:type="table" w:styleId="Tabela-Siatka">
    <w:name w:val="Table Grid"/>
    <w:basedOn w:val="Standardowy"/>
    <w:uiPriority w:val="59"/>
    <w:rsid w:val="00872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5D7543"/>
    <w:rPr>
      <w:sz w:val="16"/>
      <w:szCs w:val="16"/>
    </w:rPr>
  </w:style>
  <w:style w:type="paragraph" w:styleId="Tematkomentarza">
    <w:name w:val="annotation subject"/>
    <w:basedOn w:val="Tekstkomentarza"/>
    <w:next w:val="Tekstkomentarza"/>
    <w:link w:val="TematkomentarzaZnak"/>
    <w:uiPriority w:val="99"/>
    <w:semiHidden/>
    <w:unhideWhenUsed/>
    <w:rsid w:val="005D7543"/>
    <w:rPr>
      <w:b/>
      <w:bCs/>
    </w:rPr>
  </w:style>
  <w:style w:type="character" w:customStyle="1" w:styleId="TematkomentarzaZnak">
    <w:name w:val="Temat komentarza Znak"/>
    <w:link w:val="Tematkomentarza"/>
    <w:uiPriority w:val="99"/>
    <w:semiHidden/>
    <w:rsid w:val="005D7543"/>
    <w:rPr>
      <w:rFonts w:ascii="Calibri" w:eastAsia="Calibri" w:hAnsi="Calibri" w:cs="Times New Roman"/>
      <w:b/>
      <w:bCs/>
      <w:sz w:val="20"/>
      <w:szCs w:val="20"/>
    </w:rPr>
  </w:style>
  <w:style w:type="character" w:customStyle="1" w:styleId="AkapitzlistZnak">
    <w:name w:val="Akapit z listą Znak"/>
    <w:link w:val="Akapitzlist"/>
    <w:rsid w:val="00D7575F"/>
  </w:style>
  <w:style w:type="paragraph" w:styleId="Poprawka">
    <w:name w:val="Revision"/>
    <w:hidden/>
    <w:uiPriority w:val="99"/>
    <w:semiHidden/>
    <w:rsid w:val="00724544"/>
    <w:rPr>
      <w:sz w:val="22"/>
      <w:szCs w:val="22"/>
      <w:lang w:eastAsia="en-US"/>
    </w:rPr>
  </w:style>
  <w:style w:type="paragraph" w:styleId="Tekstprzypisudolnego">
    <w:name w:val="footnote text"/>
    <w:aliases w:val="Tekst przypisu,Podrozdział,Footnote,Podrozdzia3,A_przypis,Znak,single space,FOOTNOTES,fn,Fußnote,przypis,Tekst przypisu Znak Znak Znak Znak,Tekst przypisu Znak Znak Znak Znak Znak,Tekst przypisu Znak Znak Znak Znak Znak Znak Znak"/>
    <w:basedOn w:val="Normalny"/>
    <w:link w:val="TekstprzypisudolnegoZnak"/>
    <w:unhideWhenUsed/>
    <w:qFormat/>
    <w:rsid w:val="0094607D"/>
    <w:pPr>
      <w:spacing w:after="0" w:line="240" w:lineRule="auto"/>
    </w:pPr>
    <w:rPr>
      <w:sz w:val="20"/>
      <w:szCs w:val="20"/>
    </w:rPr>
  </w:style>
  <w:style w:type="character" w:customStyle="1" w:styleId="TekstprzypisudolnegoZnak">
    <w:name w:val="Tekst przypisu dolnego Znak"/>
    <w:aliases w:val="Tekst przypisu Znak,Podrozdział Znak,Footnote Znak,Podrozdzia3 Znak,A_przypis Znak,Znak Znak,single space Znak,FOOTNOTES Znak,fn Znak,Fußnote Znak,przypis Znak,Tekst przypisu Znak Znak Znak Znak Znak1"/>
    <w:link w:val="Tekstprzypisudolnego"/>
    <w:rsid w:val="0094607D"/>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nhideWhenUsed/>
    <w:rsid w:val="0094607D"/>
    <w:rPr>
      <w:vertAlign w:val="superscript"/>
    </w:rPr>
  </w:style>
  <w:style w:type="paragraph" w:customStyle="1" w:styleId="Tekstmj">
    <w:name w:val="Tekst mój"/>
    <w:basedOn w:val="Normalny"/>
    <w:link w:val="TekstmjZnak"/>
    <w:rsid w:val="00A01FBC"/>
    <w:pPr>
      <w:spacing w:after="240" w:line="264" w:lineRule="auto"/>
      <w:ind w:left="567"/>
      <w:jc w:val="both"/>
    </w:pPr>
    <w:rPr>
      <w:rFonts w:ascii="Times New Roman" w:eastAsia="Times New Roman" w:hAnsi="Times New Roman"/>
      <w:sz w:val="24"/>
      <w:szCs w:val="24"/>
      <w:lang w:eastAsia="pl-PL"/>
    </w:rPr>
  </w:style>
  <w:style w:type="character" w:customStyle="1" w:styleId="TekstmjZnak">
    <w:name w:val="Tekst mój Znak"/>
    <w:link w:val="Tekstmj"/>
    <w:rsid w:val="00A01FBC"/>
    <w:rPr>
      <w:rFonts w:ascii="Times New Roman" w:eastAsia="Times New Roman" w:hAnsi="Times New Roman" w:cs="Times New Roman"/>
      <w:sz w:val="24"/>
      <w:szCs w:val="24"/>
      <w:lang w:eastAsia="pl-PL"/>
    </w:rPr>
  </w:style>
  <w:style w:type="character" w:customStyle="1" w:styleId="hps">
    <w:name w:val="hps"/>
    <w:rsid w:val="004C4B16"/>
  </w:style>
  <w:style w:type="paragraph" w:customStyle="1" w:styleId="Akapitzlist1">
    <w:name w:val="Akapit z listą1"/>
    <w:basedOn w:val="Normalny"/>
    <w:qFormat/>
    <w:rsid w:val="00080476"/>
    <w:pPr>
      <w:ind w:left="720"/>
      <w:contextualSpacing/>
    </w:pPr>
  </w:style>
  <w:style w:type="character" w:customStyle="1" w:styleId="Wyrnieniedelikatne1">
    <w:name w:val="Wyróżnienie delikatne1"/>
    <w:qFormat/>
    <w:rsid w:val="00080476"/>
    <w:rPr>
      <w:rFonts w:ascii="Calibri" w:hAnsi="Calibri"/>
      <w:b/>
      <w:i/>
      <w:iCs/>
      <w:color w:val="auto"/>
      <w:sz w:val="24"/>
      <w:u w:val="single"/>
    </w:rPr>
  </w:style>
  <w:style w:type="character" w:customStyle="1" w:styleId="Wyrnienieintensywne1">
    <w:name w:val="Wyróżnienie intensywne1"/>
    <w:qFormat/>
    <w:rsid w:val="00080476"/>
    <w:rPr>
      <w:rFonts w:ascii="Calibri" w:hAnsi="Calibri"/>
      <w:bCs/>
      <w:iCs/>
      <w:smallCaps/>
      <w:dstrike w:val="0"/>
      <w:color w:val="auto"/>
      <w:sz w:val="24"/>
      <w:vertAlign w:val="baseline"/>
    </w:rPr>
  </w:style>
  <w:style w:type="paragraph" w:customStyle="1" w:styleId="Nagwekspisutreci1">
    <w:name w:val="Nagłówek spisu treści1"/>
    <w:basedOn w:val="Nagwek1"/>
    <w:next w:val="Normalny"/>
    <w:semiHidden/>
    <w:unhideWhenUsed/>
    <w:qFormat/>
    <w:rsid w:val="00080476"/>
    <w:pPr>
      <w:outlineLvl w:val="9"/>
    </w:pPr>
    <w:rPr>
      <w:rFonts w:ascii="Cambria" w:hAnsi="Cambria"/>
      <w:caps w:val="0"/>
      <w:color w:val="365F91"/>
      <w:sz w:val="28"/>
    </w:rPr>
  </w:style>
  <w:style w:type="paragraph" w:customStyle="1" w:styleId="Poprawka1">
    <w:name w:val="Poprawka1"/>
    <w:hidden/>
    <w:semiHidden/>
    <w:rsid w:val="00080476"/>
    <w:rPr>
      <w:sz w:val="22"/>
      <w:szCs w:val="22"/>
      <w:lang w:eastAsia="en-US"/>
    </w:rPr>
  </w:style>
  <w:style w:type="paragraph" w:styleId="Zwykytekst">
    <w:name w:val="Plain Text"/>
    <w:basedOn w:val="Normalny"/>
    <w:link w:val="ZwykytekstZnak"/>
    <w:rsid w:val="00080476"/>
    <w:pPr>
      <w:spacing w:after="0" w:line="240" w:lineRule="auto"/>
    </w:pPr>
    <w:rPr>
      <w:rFonts w:ascii="Courier New" w:eastAsia="Times New Roman" w:hAnsi="Courier New"/>
      <w:sz w:val="20"/>
      <w:szCs w:val="20"/>
      <w:lang w:val="en-GB"/>
    </w:rPr>
  </w:style>
  <w:style w:type="character" w:customStyle="1" w:styleId="ZwykytekstZnak">
    <w:name w:val="Zwykły tekst Znak"/>
    <w:basedOn w:val="Domylnaczcionkaakapitu"/>
    <w:link w:val="Zwykytekst"/>
    <w:rsid w:val="00080476"/>
    <w:rPr>
      <w:rFonts w:ascii="Courier New" w:eastAsia="Times New Roman" w:hAnsi="Courier New"/>
      <w:lang w:val="en-GB"/>
    </w:rPr>
  </w:style>
  <w:style w:type="paragraph" w:customStyle="1" w:styleId="1">
    <w:name w:val="Без интервала1"/>
    <w:uiPriority w:val="99"/>
    <w:rsid w:val="0047570E"/>
    <w:rPr>
      <w:rFonts w:eastAsia="Times New Roman"/>
      <w:sz w:val="22"/>
      <w:szCs w:val="22"/>
      <w:lang w:val="ru-RU" w:eastAsia="en-US"/>
    </w:rPr>
  </w:style>
  <w:style w:type="character" w:customStyle="1" w:styleId="highlight">
    <w:name w:val="highlight"/>
    <w:basedOn w:val="Domylnaczcionkaakapitu"/>
    <w:rsid w:val="003B42AD"/>
  </w:style>
  <w:style w:type="paragraph" w:customStyle="1" w:styleId="Akapitzlist2">
    <w:name w:val="Akapit z listą2"/>
    <w:basedOn w:val="Normalny"/>
    <w:rsid w:val="003B42AD"/>
    <w:pPr>
      <w:ind w:left="720"/>
      <w:contextualSpacing/>
    </w:pPr>
    <w:rPr>
      <w:rFonts w:eastAsia="Times New Roman"/>
      <w:lang w:eastAsia="pl-PL"/>
    </w:rPr>
  </w:style>
  <w:style w:type="character" w:customStyle="1" w:styleId="Wyrnieniedelikatne2">
    <w:name w:val="Wyróżnienie delikatne2"/>
    <w:basedOn w:val="Domylnaczcionkaakapitu"/>
    <w:rsid w:val="003B42AD"/>
    <w:rPr>
      <w:rFonts w:ascii="Calibri" w:hAnsi="Calibri" w:cs="Times New Roman"/>
      <w:b/>
      <w:i/>
      <w:iCs/>
      <w:color w:val="auto"/>
      <w:sz w:val="24"/>
      <w:u w:val="single"/>
    </w:rPr>
  </w:style>
  <w:style w:type="character" w:customStyle="1" w:styleId="Wyrnienieintensywne2">
    <w:name w:val="Wyróżnienie intensywne2"/>
    <w:basedOn w:val="Domylnaczcionkaakapitu"/>
    <w:rsid w:val="003B42AD"/>
    <w:rPr>
      <w:rFonts w:ascii="Calibri" w:hAnsi="Calibri" w:cs="Times New Roman"/>
      <w:bCs/>
      <w:iCs/>
      <w:smallCaps/>
      <w:color w:val="auto"/>
      <w:sz w:val="24"/>
      <w:vertAlign w:val="baseline"/>
    </w:rPr>
  </w:style>
  <w:style w:type="paragraph" w:customStyle="1" w:styleId="Nagwekspisutreci2">
    <w:name w:val="Nagłówek spisu treści2"/>
    <w:basedOn w:val="Nagwek1"/>
    <w:next w:val="Normalny"/>
    <w:semiHidden/>
    <w:rsid w:val="003B42AD"/>
    <w:pPr>
      <w:outlineLvl w:val="9"/>
    </w:pPr>
    <w:rPr>
      <w:rFonts w:ascii="Cambria" w:hAnsi="Cambria"/>
      <w:caps w:val="0"/>
      <w:color w:val="365F91"/>
      <w:sz w:val="28"/>
      <w:lang w:eastAsia="pl-PL"/>
    </w:rPr>
  </w:style>
  <w:style w:type="character" w:customStyle="1" w:styleId="st">
    <w:name w:val="st"/>
    <w:basedOn w:val="Domylnaczcionkaakapitu"/>
    <w:rsid w:val="003B42AD"/>
  </w:style>
  <w:style w:type="paragraph" w:styleId="Tekstprzypisukocowego">
    <w:name w:val="endnote text"/>
    <w:basedOn w:val="Normalny"/>
    <w:link w:val="TekstprzypisukocowegoZnak"/>
    <w:uiPriority w:val="99"/>
    <w:semiHidden/>
    <w:unhideWhenUsed/>
    <w:rsid w:val="00F32DF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2DF3"/>
    <w:rPr>
      <w:lang w:eastAsia="en-US"/>
    </w:rPr>
  </w:style>
  <w:style w:type="character" w:styleId="Odwoanieprzypisukocowego">
    <w:name w:val="endnote reference"/>
    <w:basedOn w:val="Domylnaczcionkaakapitu"/>
    <w:uiPriority w:val="99"/>
    <w:semiHidden/>
    <w:unhideWhenUsed/>
    <w:rsid w:val="00F32DF3"/>
    <w:rPr>
      <w:vertAlign w:val="superscript"/>
    </w:rPr>
  </w:style>
  <w:style w:type="character" w:customStyle="1" w:styleId="A18">
    <w:name w:val="A18"/>
    <w:uiPriority w:val="99"/>
    <w:rsid w:val="004D31CA"/>
    <w:rPr>
      <w:rFonts w:ascii="NewsGothCnEU" w:hAnsi="NewsGothCnEU" w:hint="default"/>
      <w:b/>
      <w:bCs/>
      <w:color w:val="000000"/>
    </w:rPr>
  </w:style>
  <w:style w:type="character" w:customStyle="1" w:styleId="A10">
    <w:name w:val="A10"/>
    <w:uiPriority w:val="99"/>
    <w:rsid w:val="004D31CA"/>
    <w:rPr>
      <w:rFonts w:cs="Georgia"/>
      <w:color w:val="000000"/>
      <w:sz w:val="18"/>
      <w:szCs w:val="18"/>
      <w:u w:val="single"/>
    </w:rPr>
  </w:style>
  <w:style w:type="paragraph" w:customStyle="1" w:styleId="Pa6">
    <w:name w:val="Pa6"/>
    <w:basedOn w:val="Normalny"/>
    <w:next w:val="Normalny"/>
    <w:uiPriority w:val="99"/>
    <w:rsid w:val="004D31CA"/>
    <w:pPr>
      <w:autoSpaceDE w:val="0"/>
      <w:autoSpaceDN w:val="0"/>
      <w:adjustRightInd w:val="0"/>
      <w:spacing w:after="0" w:line="185" w:lineRule="atLeast"/>
    </w:pPr>
    <w:rPr>
      <w:rFonts w:ascii="Georgia" w:hAnsi="Georgia"/>
      <w:sz w:val="24"/>
      <w:szCs w:val="24"/>
      <w:lang w:eastAsia="pl-PL"/>
    </w:rPr>
  </w:style>
  <w:style w:type="character" w:styleId="UyteHipercze">
    <w:name w:val="FollowedHyperlink"/>
    <w:basedOn w:val="Domylnaczcionkaakapitu"/>
    <w:uiPriority w:val="99"/>
    <w:semiHidden/>
    <w:unhideWhenUsed/>
    <w:rsid w:val="00571B1E"/>
    <w:rPr>
      <w:color w:val="800080" w:themeColor="followedHyperlink"/>
      <w:u w:val="single"/>
    </w:rPr>
  </w:style>
  <w:style w:type="paragraph" w:customStyle="1" w:styleId="Akapitzlist3">
    <w:name w:val="Akapit z listą3"/>
    <w:basedOn w:val="Normalny"/>
    <w:link w:val="ListParagraphChar"/>
    <w:rsid w:val="009D1857"/>
    <w:pPr>
      <w:ind w:left="720"/>
      <w:contextualSpacing/>
    </w:pPr>
    <w:rPr>
      <w:rFonts w:eastAsia="Times New Roman"/>
    </w:rPr>
  </w:style>
  <w:style w:type="character" w:customStyle="1" w:styleId="ListParagraphChar">
    <w:name w:val="List Paragraph Char"/>
    <w:link w:val="Akapitzlist3"/>
    <w:locked/>
    <w:rsid w:val="009D1857"/>
    <w:rPr>
      <w:rFonts w:eastAsia="Times New Roman"/>
      <w:sz w:val="22"/>
      <w:szCs w:val="22"/>
      <w:lang w:eastAsia="en-US"/>
    </w:rPr>
  </w:style>
  <w:style w:type="table" w:customStyle="1" w:styleId="Jasnecieniowanie1">
    <w:name w:val="Jasne cieniowanie1"/>
    <w:basedOn w:val="Standardowy"/>
    <w:uiPriority w:val="60"/>
    <w:rsid w:val="001B789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1">
    <w:name w:val="Jasna siatka1"/>
    <w:basedOn w:val="Standardowy"/>
    <w:uiPriority w:val="62"/>
    <w:rsid w:val="001B789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TML-wstpniesformatowany">
    <w:name w:val="HTML Preformatted"/>
    <w:basedOn w:val="Normalny"/>
    <w:link w:val="HTML-wstpniesformatowanyZnak"/>
    <w:uiPriority w:val="99"/>
    <w:unhideWhenUsed/>
    <w:rsid w:val="00172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172381"/>
    <w:rPr>
      <w:rFonts w:ascii="Courier New" w:eastAsia="Times New Roman" w:hAnsi="Courier New" w:cs="Courier New"/>
    </w:rPr>
  </w:style>
  <w:style w:type="character" w:styleId="Uwydatnienie">
    <w:name w:val="Emphasis"/>
    <w:basedOn w:val="Domylnaczcionkaakapitu"/>
    <w:uiPriority w:val="20"/>
    <w:qFormat/>
    <w:rsid w:val="00D615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121A"/>
    <w:pPr>
      <w:spacing w:after="200" w:line="276" w:lineRule="auto"/>
    </w:pPr>
    <w:rPr>
      <w:sz w:val="22"/>
      <w:szCs w:val="22"/>
      <w:lang w:eastAsia="en-US"/>
    </w:rPr>
  </w:style>
  <w:style w:type="paragraph" w:styleId="Nagwek1">
    <w:name w:val="heading 1"/>
    <w:basedOn w:val="Normalny"/>
    <w:next w:val="Normalny"/>
    <w:link w:val="Nagwek1Znak"/>
    <w:uiPriority w:val="9"/>
    <w:qFormat/>
    <w:rsid w:val="005D329B"/>
    <w:pPr>
      <w:keepNext/>
      <w:keepLines/>
      <w:spacing w:before="480" w:after="0"/>
      <w:outlineLvl w:val="0"/>
    </w:pPr>
    <w:rPr>
      <w:rFonts w:eastAsia="Times New Roman"/>
      <w:b/>
      <w:bCs/>
      <w:caps/>
      <w:sz w:val="32"/>
      <w:szCs w:val="28"/>
    </w:rPr>
  </w:style>
  <w:style w:type="paragraph" w:styleId="Nagwek2">
    <w:name w:val="heading 2"/>
    <w:basedOn w:val="Normalny"/>
    <w:next w:val="Normalny"/>
    <w:link w:val="Nagwek2Znak"/>
    <w:uiPriority w:val="9"/>
    <w:unhideWhenUsed/>
    <w:qFormat/>
    <w:rsid w:val="00F2512E"/>
    <w:pPr>
      <w:keepNext/>
      <w:keepLines/>
      <w:spacing w:before="100" w:beforeAutospacing="1" w:after="100" w:afterAutospacing="1"/>
      <w:outlineLvl w:val="1"/>
    </w:pPr>
    <w:rPr>
      <w:rFonts w:eastAsia="Times New Roman"/>
      <w:b/>
      <w:bCs/>
      <w:smallCaps/>
      <w:sz w:val="28"/>
      <w:szCs w:val="26"/>
    </w:rPr>
  </w:style>
  <w:style w:type="paragraph" w:styleId="Nagwek3">
    <w:name w:val="heading 3"/>
    <w:basedOn w:val="Normalny"/>
    <w:next w:val="Normalny"/>
    <w:link w:val="Nagwek3Znak"/>
    <w:uiPriority w:val="9"/>
    <w:unhideWhenUsed/>
    <w:qFormat/>
    <w:rsid w:val="00396F8E"/>
    <w:pPr>
      <w:keepNext/>
      <w:keepLines/>
      <w:spacing w:before="100" w:beforeAutospacing="1" w:after="100" w:afterAutospacing="1"/>
      <w:outlineLvl w:val="2"/>
    </w:pPr>
    <w:rPr>
      <w:rFonts w:eastAsia="Times New Roman"/>
      <w:b/>
      <w:bCs/>
      <w:smallCap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D327EF"/>
    <w:pPr>
      <w:ind w:left="720"/>
      <w:contextualSpacing/>
    </w:pPr>
  </w:style>
  <w:style w:type="paragraph" w:styleId="Tekstdymka">
    <w:name w:val="Balloon Text"/>
    <w:basedOn w:val="Normalny"/>
    <w:link w:val="TekstdymkaZnak"/>
    <w:uiPriority w:val="99"/>
    <w:semiHidden/>
    <w:unhideWhenUsed/>
    <w:rsid w:val="00C53A2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53A20"/>
    <w:rPr>
      <w:rFonts w:ascii="Tahoma" w:hAnsi="Tahoma" w:cs="Tahoma"/>
      <w:sz w:val="16"/>
      <w:szCs w:val="16"/>
    </w:rPr>
  </w:style>
  <w:style w:type="paragraph" w:customStyle="1" w:styleId="Default">
    <w:name w:val="Default"/>
    <w:rsid w:val="00D22634"/>
    <w:pPr>
      <w:autoSpaceDE w:val="0"/>
      <w:autoSpaceDN w:val="0"/>
      <w:adjustRightInd w:val="0"/>
    </w:pPr>
    <w:rPr>
      <w:rFonts w:cs="Calibri"/>
      <w:color w:val="000000"/>
      <w:sz w:val="24"/>
      <w:szCs w:val="24"/>
      <w:lang w:eastAsia="en-US"/>
    </w:rPr>
  </w:style>
  <w:style w:type="paragraph" w:styleId="NormalnyWeb">
    <w:name w:val="Normal (Web)"/>
    <w:basedOn w:val="Normalny"/>
    <w:uiPriority w:val="99"/>
    <w:unhideWhenUsed/>
    <w:rsid w:val="00044BE2"/>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044BE2"/>
    <w:rPr>
      <w:b/>
      <w:bCs/>
    </w:rPr>
  </w:style>
  <w:style w:type="character" w:customStyle="1" w:styleId="Nagwek1Znak">
    <w:name w:val="Nagłówek 1 Znak"/>
    <w:link w:val="Nagwek1"/>
    <w:uiPriority w:val="9"/>
    <w:rsid w:val="005D329B"/>
    <w:rPr>
      <w:rFonts w:eastAsia="Times New Roman" w:cs="Times New Roman"/>
      <w:b/>
      <w:bCs/>
      <w:caps/>
      <w:sz w:val="32"/>
      <w:szCs w:val="28"/>
    </w:rPr>
  </w:style>
  <w:style w:type="character" w:customStyle="1" w:styleId="Nagwek2Znak">
    <w:name w:val="Nagłówek 2 Znak"/>
    <w:link w:val="Nagwek2"/>
    <w:uiPriority w:val="9"/>
    <w:rsid w:val="00F2512E"/>
    <w:rPr>
      <w:rFonts w:eastAsia="Times New Roman" w:cs="Times New Roman"/>
      <w:b/>
      <w:bCs/>
      <w:smallCaps/>
      <w:sz w:val="28"/>
      <w:szCs w:val="26"/>
    </w:rPr>
  </w:style>
  <w:style w:type="paragraph" w:styleId="Tekstkomentarza">
    <w:name w:val="annotation text"/>
    <w:basedOn w:val="Normalny"/>
    <w:link w:val="TekstkomentarzaZnak"/>
    <w:uiPriority w:val="99"/>
    <w:unhideWhenUsed/>
    <w:rsid w:val="00226B91"/>
    <w:pPr>
      <w:spacing w:line="240" w:lineRule="auto"/>
    </w:pPr>
    <w:rPr>
      <w:sz w:val="20"/>
      <w:szCs w:val="20"/>
    </w:rPr>
  </w:style>
  <w:style w:type="character" w:customStyle="1" w:styleId="TekstkomentarzaZnak">
    <w:name w:val="Tekst komentarza Znak"/>
    <w:link w:val="Tekstkomentarza"/>
    <w:uiPriority w:val="99"/>
    <w:rsid w:val="00226B91"/>
    <w:rPr>
      <w:rFonts w:ascii="Calibri" w:eastAsia="Calibri" w:hAnsi="Calibri" w:cs="Times New Roman"/>
      <w:sz w:val="20"/>
      <w:szCs w:val="20"/>
    </w:rPr>
  </w:style>
  <w:style w:type="paragraph" w:styleId="Nagwek">
    <w:name w:val="header"/>
    <w:basedOn w:val="Normalny"/>
    <w:link w:val="NagwekZnak"/>
    <w:uiPriority w:val="99"/>
    <w:unhideWhenUsed/>
    <w:rsid w:val="000728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2822"/>
  </w:style>
  <w:style w:type="paragraph" w:styleId="Stopka">
    <w:name w:val="footer"/>
    <w:basedOn w:val="Normalny"/>
    <w:link w:val="StopkaZnak"/>
    <w:uiPriority w:val="99"/>
    <w:unhideWhenUsed/>
    <w:rsid w:val="000728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2822"/>
  </w:style>
  <w:style w:type="paragraph" w:styleId="Tytu">
    <w:name w:val="Title"/>
    <w:basedOn w:val="Normalny"/>
    <w:next w:val="Normalny"/>
    <w:link w:val="TytuZnak"/>
    <w:uiPriority w:val="10"/>
    <w:qFormat/>
    <w:rsid w:val="007556BA"/>
    <w:pPr>
      <w:pBdr>
        <w:bottom w:val="single" w:sz="8" w:space="4" w:color="4F81BD"/>
      </w:pBdr>
      <w:spacing w:after="300" w:line="240" w:lineRule="auto"/>
      <w:contextualSpacing/>
    </w:pPr>
    <w:rPr>
      <w:rFonts w:eastAsia="Times New Roman"/>
      <w:spacing w:val="5"/>
      <w:kern w:val="28"/>
      <w:sz w:val="52"/>
      <w:szCs w:val="52"/>
    </w:rPr>
  </w:style>
  <w:style w:type="character" w:customStyle="1" w:styleId="TytuZnak">
    <w:name w:val="Tytuł Znak"/>
    <w:link w:val="Tytu"/>
    <w:uiPriority w:val="10"/>
    <w:rsid w:val="007556BA"/>
    <w:rPr>
      <w:rFonts w:eastAsia="Times New Roman" w:cs="Times New Roman"/>
      <w:spacing w:val="5"/>
      <w:kern w:val="28"/>
      <w:sz w:val="52"/>
      <w:szCs w:val="52"/>
    </w:rPr>
  </w:style>
  <w:style w:type="character" w:customStyle="1" w:styleId="Nagwek3Znak">
    <w:name w:val="Nagłówek 3 Znak"/>
    <w:link w:val="Nagwek3"/>
    <w:uiPriority w:val="9"/>
    <w:rsid w:val="00396F8E"/>
    <w:rPr>
      <w:rFonts w:eastAsia="Times New Roman" w:cs="Times New Roman"/>
      <w:b/>
      <w:bCs/>
      <w:smallCaps/>
      <w:sz w:val="24"/>
    </w:rPr>
  </w:style>
  <w:style w:type="character" w:styleId="Wyrnieniedelikatne">
    <w:name w:val="Subtle Emphasis"/>
    <w:uiPriority w:val="19"/>
    <w:qFormat/>
    <w:rsid w:val="00BE512C"/>
    <w:rPr>
      <w:rFonts w:ascii="Calibri" w:hAnsi="Calibri"/>
      <w:b/>
      <w:i/>
      <w:iCs/>
      <w:color w:val="auto"/>
      <w:sz w:val="24"/>
      <w:u w:val="single"/>
    </w:rPr>
  </w:style>
  <w:style w:type="character" w:styleId="Wyrnienieintensywne">
    <w:name w:val="Intense Emphasis"/>
    <w:uiPriority w:val="21"/>
    <w:qFormat/>
    <w:rsid w:val="0039726C"/>
    <w:rPr>
      <w:rFonts w:ascii="Calibri" w:hAnsi="Calibri"/>
      <w:bCs/>
      <w:iCs/>
      <w:smallCaps/>
      <w:dstrike w:val="0"/>
      <w:color w:val="auto"/>
      <w:sz w:val="24"/>
      <w:vertAlign w:val="baseline"/>
    </w:rPr>
  </w:style>
  <w:style w:type="paragraph" w:styleId="Nagwekspisutreci">
    <w:name w:val="TOC Heading"/>
    <w:basedOn w:val="Nagwek1"/>
    <w:next w:val="Normalny"/>
    <w:uiPriority w:val="39"/>
    <w:semiHidden/>
    <w:unhideWhenUsed/>
    <w:qFormat/>
    <w:rsid w:val="00B2576C"/>
    <w:pPr>
      <w:outlineLvl w:val="9"/>
    </w:pPr>
    <w:rPr>
      <w:rFonts w:ascii="Cambria" w:hAnsi="Cambria"/>
      <w:caps w:val="0"/>
      <w:color w:val="365F91"/>
      <w:sz w:val="28"/>
    </w:rPr>
  </w:style>
  <w:style w:type="paragraph" w:styleId="Spistreci1">
    <w:name w:val="toc 1"/>
    <w:basedOn w:val="Normalny"/>
    <w:next w:val="Normalny"/>
    <w:autoRedefine/>
    <w:uiPriority w:val="39"/>
    <w:unhideWhenUsed/>
    <w:rsid w:val="00B2576C"/>
    <w:pPr>
      <w:spacing w:after="100"/>
    </w:pPr>
  </w:style>
  <w:style w:type="paragraph" w:styleId="Spistreci2">
    <w:name w:val="toc 2"/>
    <w:basedOn w:val="Normalny"/>
    <w:next w:val="Normalny"/>
    <w:autoRedefine/>
    <w:uiPriority w:val="39"/>
    <w:unhideWhenUsed/>
    <w:rsid w:val="00B2576C"/>
    <w:pPr>
      <w:spacing w:after="100"/>
      <w:ind w:left="220"/>
    </w:pPr>
  </w:style>
  <w:style w:type="paragraph" w:styleId="Spistreci3">
    <w:name w:val="toc 3"/>
    <w:basedOn w:val="Normalny"/>
    <w:next w:val="Normalny"/>
    <w:autoRedefine/>
    <w:uiPriority w:val="39"/>
    <w:unhideWhenUsed/>
    <w:rsid w:val="00B2576C"/>
    <w:pPr>
      <w:spacing w:after="100"/>
      <w:ind w:left="440"/>
    </w:pPr>
  </w:style>
  <w:style w:type="character" w:styleId="Hipercze">
    <w:name w:val="Hyperlink"/>
    <w:uiPriority w:val="99"/>
    <w:unhideWhenUsed/>
    <w:rsid w:val="00B2576C"/>
    <w:rPr>
      <w:color w:val="0000FF"/>
      <w:u w:val="single"/>
    </w:rPr>
  </w:style>
  <w:style w:type="table" w:styleId="Tabela-Siatka">
    <w:name w:val="Table Grid"/>
    <w:basedOn w:val="Standardowy"/>
    <w:uiPriority w:val="59"/>
    <w:rsid w:val="00872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5D7543"/>
    <w:rPr>
      <w:sz w:val="16"/>
      <w:szCs w:val="16"/>
    </w:rPr>
  </w:style>
  <w:style w:type="paragraph" w:styleId="Tematkomentarza">
    <w:name w:val="annotation subject"/>
    <w:basedOn w:val="Tekstkomentarza"/>
    <w:next w:val="Tekstkomentarza"/>
    <w:link w:val="TematkomentarzaZnak"/>
    <w:uiPriority w:val="99"/>
    <w:semiHidden/>
    <w:unhideWhenUsed/>
    <w:rsid w:val="005D7543"/>
    <w:rPr>
      <w:b/>
      <w:bCs/>
    </w:rPr>
  </w:style>
  <w:style w:type="character" w:customStyle="1" w:styleId="TematkomentarzaZnak">
    <w:name w:val="Temat komentarza Znak"/>
    <w:link w:val="Tematkomentarza"/>
    <w:uiPriority w:val="99"/>
    <w:semiHidden/>
    <w:rsid w:val="005D7543"/>
    <w:rPr>
      <w:rFonts w:ascii="Calibri" w:eastAsia="Calibri" w:hAnsi="Calibri" w:cs="Times New Roman"/>
      <w:b/>
      <w:bCs/>
      <w:sz w:val="20"/>
      <w:szCs w:val="20"/>
    </w:rPr>
  </w:style>
  <w:style w:type="character" w:customStyle="1" w:styleId="AkapitzlistZnak">
    <w:name w:val="Akapit z listą Znak"/>
    <w:link w:val="Akapitzlist"/>
    <w:rsid w:val="00D7575F"/>
  </w:style>
  <w:style w:type="paragraph" w:styleId="Poprawka">
    <w:name w:val="Revision"/>
    <w:hidden/>
    <w:uiPriority w:val="99"/>
    <w:semiHidden/>
    <w:rsid w:val="00724544"/>
    <w:rPr>
      <w:sz w:val="22"/>
      <w:szCs w:val="22"/>
      <w:lang w:eastAsia="en-US"/>
    </w:rPr>
  </w:style>
  <w:style w:type="paragraph" w:styleId="Tekstprzypisudolnego">
    <w:name w:val="footnote text"/>
    <w:aliases w:val="Tekst przypisu,Podrozdział,Footnote,Podrozdzia3,A_przypis,Znak,single space,FOOTNOTES,fn,Fußnote,przypis,Tekst przypisu Znak Znak Znak Znak,Tekst przypisu Znak Znak Znak Znak Znak,Tekst przypisu Znak Znak Znak Znak Znak Znak Znak"/>
    <w:basedOn w:val="Normalny"/>
    <w:link w:val="TekstprzypisudolnegoZnak"/>
    <w:unhideWhenUsed/>
    <w:qFormat/>
    <w:rsid w:val="0094607D"/>
    <w:pPr>
      <w:spacing w:after="0" w:line="240" w:lineRule="auto"/>
    </w:pPr>
    <w:rPr>
      <w:sz w:val="20"/>
      <w:szCs w:val="20"/>
    </w:rPr>
  </w:style>
  <w:style w:type="character" w:customStyle="1" w:styleId="TekstprzypisudolnegoZnak">
    <w:name w:val="Tekst przypisu dolnego Znak"/>
    <w:aliases w:val="Tekst przypisu Znak,Podrozdział Znak,Footnote Znak,Podrozdzia3 Znak,A_przypis Znak,Znak Znak,single space Znak,FOOTNOTES Znak,fn Znak,Fußnote Znak,przypis Znak,Tekst przypisu Znak Znak Znak Znak Znak1"/>
    <w:link w:val="Tekstprzypisudolnego"/>
    <w:rsid w:val="0094607D"/>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nhideWhenUsed/>
    <w:rsid w:val="0094607D"/>
    <w:rPr>
      <w:vertAlign w:val="superscript"/>
    </w:rPr>
  </w:style>
  <w:style w:type="paragraph" w:customStyle="1" w:styleId="Tekstmj">
    <w:name w:val="Tekst mój"/>
    <w:basedOn w:val="Normalny"/>
    <w:link w:val="TekstmjZnak"/>
    <w:rsid w:val="00A01FBC"/>
    <w:pPr>
      <w:spacing w:after="240" w:line="264" w:lineRule="auto"/>
      <w:ind w:left="567"/>
      <w:jc w:val="both"/>
    </w:pPr>
    <w:rPr>
      <w:rFonts w:ascii="Times New Roman" w:eastAsia="Times New Roman" w:hAnsi="Times New Roman"/>
      <w:sz w:val="24"/>
      <w:szCs w:val="24"/>
      <w:lang w:eastAsia="pl-PL"/>
    </w:rPr>
  </w:style>
  <w:style w:type="character" w:customStyle="1" w:styleId="TekstmjZnak">
    <w:name w:val="Tekst mój Znak"/>
    <w:link w:val="Tekstmj"/>
    <w:rsid w:val="00A01FBC"/>
    <w:rPr>
      <w:rFonts w:ascii="Times New Roman" w:eastAsia="Times New Roman" w:hAnsi="Times New Roman" w:cs="Times New Roman"/>
      <w:sz w:val="24"/>
      <w:szCs w:val="24"/>
      <w:lang w:eastAsia="pl-PL"/>
    </w:rPr>
  </w:style>
  <w:style w:type="character" w:customStyle="1" w:styleId="hps">
    <w:name w:val="hps"/>
    <w:rsid w:val="004C4B16"/>
  </w:style>
  <w:style w:type="paragraph" w:customStyle="1" w:styleId="Akapitzlist1">
    <w:name w:val="Akapit z listą1"/>
    <w:basedOn w:val="Normalny"/>
    <w:qFormat/>
    <w:rsid w:val="00080476"/>
    <w:pPr>
      <w:ind w:left="720"/>
      <w:contextualSpacing/>
    </w:pPr>
  </w:style>
  <w:style w:type="character" w:customStyle="1" w:styleId="Wyrnieniedelikatne1">
    <w:name w:val="Wyróżnienie delikatne1"/>
    <w:qFormat/>
    <w:rsid w:val="00080476"/>
    <w:rPr>
      <w:rFonts w:ascii="Calibri" w:hAnsi="Calibri"/>
      <w:b/>
      <w:i/>
      <w:iCs/>
      <w:color w:val="auto"/>
      <w:sz w:val="24"/>
      <w:u w:val="single"/>
    </w:rPr>
  </w:style>
  <w:style w:type="character" w:customStyle="1" w:styleId="Wyrnienieintensywne1">
    <w:name w:val="Wyróżnienie intensywne1"/>
    <w:qFormat/>
    <w:rsid w:val="00080476"/>
    <w:rPr>
      <w:rFonts w:ascii="Calibri" w:hAnsi="Calibri"/>
      <w:bCs/>
      <w:iCs/>
      <w:smallCaps/>
      <w:dstrike w:val="0"/>
      <w:color w:val="auto"/>
      <w:sz w:val="24"/>
      <w:vertAlign w:val="baseline"/>
    </w:rPr>
  </w:style>
  <w:style w:type="paragraph" w:customStyle="1" w:styleId="Nagwekspisutreci1">
    <w:name w:val="Nagłówek spisu treści1"/>
    <w:basedOn w:val="Nagwek1"/>
    <w:next w:val="Normalny"/>
    <w:semiHidden/>
    <w:unhideWhenUsed/>
    <w:qFormat/>
    <w:rsid w:val="00080476"/>
    <w:pPr>
      <w:outlineLvl w:val="9"/>
    </w:pPr>
    <w:rPr>
      <w:rFonts w:ascii="Cambria" w:hAnsi="Cambria"/>
      <w:caps w:val="0"/>
      <w:color w:val="365F91"/>
      <w:sz w:val="28"/>
    </w:rPr>
  </w:style>
  <w:style w:type="paragraph" w:customStyle="1" w:styleId="Poprawka1">
    <w:name w:val="Poprawka1"/>
    <w:hidden/>
    <w:semiHidden/>
    <w:rsid w:val="00080476"/>
    <w:rPr>
      <w:sz w:val="22"/>
      <w:szCs w:val="22"/>
      <w:lang w:eastAsia="en-US"/>
    </w:rPr>
  </w:style>
  <w:style w:type="paragraph" w:styleId="Zwykytekst">
    <w:name w:val="Plain Text"/>
    <w:basedOn w:val="Normalny"/>
    <w:link w:val="ZwykytekstZnak"/>
    <w:rsid w:val="00080476"/>
    <w:pPr>
      <w:spacing w:after="0" w:line="240" w:lineRule="auto"/>
    </w:pPr>
    <w:rPr>
      <w:rFonts w:ascii="Courier New" w:eastAsia="Times New Roman" w:hAnsi="Courier New"/>
      <w:sz w:val="20"/>
      <w:szCs w:val="20"/>
      <w:lang w:val="en-GB"/>
    </w:rPr>
  </w:style>
  <w:style w:type="character" w:customStyle="1" w:styleId="ZwykytekstZnak">
    <w:name w:val="Zwykły tekst Znak"/>
    <w:basedOn w:val="Domylnaczcionkaakapitu"/>
    <w:link w:val="Zwykytekst"/>
    <w:rsid w:val="00080476"/>
    <w:rPr>
      <w:rFonts w:ascii="Courier New" w:eastAsia="Times New Roman" w:hAnsi="Courier New"/>
      <w:lang w:val="en-GB"/>
    </w:rPr>
  </w:style>
  <w:style w:type="paragraph" w:customStyle="1" w:styleId="1">
    <w:name w:val="Без интервала1"/>
    <w:uiPriority w:val="99"/>
    <w:rsid w:val="0047570E"/>
    <w:rPr>
      <w:rFonts w:eastAsia="Times New Roman"/>
      <w:sz w:val="22"/>
      <w:szCs w:val="22"/>
      <w:lang w:val="ru-RU" w:eastAsia="en-US"/>
    </w:rPr>
  </w:style>
  <w:style w:type="character" w:customStyle="1" w:styleId="highlight">
    <w:name w:val="highlight"/>
    <w:basedOn w:val="Domylnaczcionkaakapitu"/>
    <w:rsid w:val="003B42AD"/>
  </w:style>
  <w:style w:type="paragraph" w:customStyle="1" w:styleId="Akapitzlist2">
    <w:name w:val="Akapit z listą2"/>
    <w:basedOn w:val="Normalny"/>
    <w:rsid w:val="003B42AD"/>
    <w:pPr>
      <w:ind w:left="720"/>
      <w:contextualSpacing/>
    </w:pPr>
    <w:rPr>
      <w:rFonts w:eastAsia="Times New Roman"/>
      <w:lang w:eastAsia="pl-PL"/>
    </w:rPr>
  </w:style>
  <w:style w:type="character" w:customStyle="1" w:styleId="Wyrnieniedelikatne2">
    <w:name w:val="Wyróżnienie delikatne2"/>
    <w:basedOn w:val="Domylnaczcionkaakapitu"/>
    <w:rsid w:val="003B42AD"/>
    <w:rPr>
      <w:rFonts w:ascii="Calibri" w:hAnsi="Calibri" w:cs="Times New Roman"/>
      <w:b/>
      <w:i/>
      <w:iCs/>
      <w:color w:val="auto"/>
      <w:sz w:val="24"/>
      <w:u w:val="single"/>
    </w:rPr>
  </w:style>
  <w:style w:type="character" w:customStyle="1" w:styleId="Wyrnienieintensywne2">
    <w:name w:val="Wyróżnienie intensywne2"/>
    <w:basedOn w:val="Domylnaczcionkaakapitu"/>
    <w:rsid w:val="003B42AD"/>
    <w:rPr>
      <w:rFonts w:ascii="Calibri" w:hAnsi="Calibri" w:cs="Times New Roman"/>
      <w:bCs/>
      <w:iCs/>
      <w:smallCaps/>
      <w:color w:val="auto"/>
      <w:sz w:val="24"/>
      <w:vertAlign w:val="baseline"/>
    </w:rPr>
  </w:style>
  <w:style w:type="paragraph" w:customStyle="1" w:styleId="Nagwekspisutreci2">
    <w:name w:val="Nagłówek spisu treści2"/>
    <w:basedOn w:val="Nagwek1"/>
    <w:next w:val="Normalny"/>
    <w:semiHidden/>
    <w:rsid w:val="003B42AD"/>
    <w:pPr>
      <w:outlineLvl w:val="9"/>
    </w:pPr>
    <w:rPr>
      <w:rFonts w:ascii="Cambria" w:hAnsi="Cambria"/>
      <w:caps w:val="0"/>
      <w:color w:val="365F91"/>
      <w:sz w:val="28"/>
      <w:lang w:eastAsia="pl-PL"/>
    </w:rPr>
  </w:style>
  <w:style w:type="character" w:customStyle="1" w:styleId="st">
    <w:name w:val="st"/>
    <w:basedOn w:val="Domylnaczcionkaakapitu"/>
    <w:rsid w:val="003B42AD"/>
  </w:style>
  <w:style w:type="paragraph" w:styleId="Tekstprzypisukocowego">
    <w:name w:val="endnote text"/>
    <w:basedOn w:val="Normalny"/>
    <w:link w:val="TekstprzypisukocowegoZnak"/>
    <w:uiPriority w:val="99"/>
    <w:semiHidden/>
    <w:unhideWhenUsed/>
    <w:rsid w:val="00F32DF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2DF3"/>
    <w:rPr>
      <w:lang w:eastAsia="en-US"/>
    </w:rPr>
  </w:style>
  <w:style w:type="character" w:styleId="Odwoanieprzypisukocowego">
    <w:name w:val="endnote reference"/>
    <w:basedOn w:val="Domylnaczcionkaakapitu"/>
    <w:uiPriority w:val="99"/>
    <w:semiHidden/>
    <w:unhideWhenUsed/>
    <w:rsid w:val="00F32DF3"/>
    <w:rPr>
      <w:vertAlign w:val="superscript"/>
    </w:rPr>
  </w:style>
  <w:style w:type="character" w:customStyle="1" w:styleId="A18">
    <w:name w:val="A18"/>
    <w:uiPriority w:val="99"/>
    <w:rsid w:val="004D31CA"/>
    <w:rPr>
      <w:rFonts w:ascii="NewsGothCnEU" w:hAnsi="NewsGothCnEU" w:hint="default"/>
      <w:b/>
      <w:bCs/>
      <w:color w:val="000000"/>
    </w:rPr>
  </w:style>
  <w:style w:type="character" w:customStyle="1" w:styleId="A10">
    <w:name w:val="A10"/>
    <w:uiPriority w:val="99"/>
    <w:rsid w:val="004D31CA"/>
    <w:rPr>
      <w:rFonts w:cs="Georgia"/>
      <w:color w:val="000000"/>
      <w:sz w:val="18"/>
      <w:szCs w:val="18"/>
      <w:u w:val="single"/>
    </w:rPr>
  </w:style>
  <w:style w:type="paragraph" w:customStyle="1" w:styleId="Pa6">
    <w:name w:val="Pa6"/>
    <w:basedOn w:val="Normalny"/>
    <w:next w:val="Normalny"/>
    <w:uiPriority w:val="99"/>
    <w:rsid w:val="004D31CA"/>
    <w:pPr>
      <w:autoSpaceDE w:val="0"/>
      <w:autoSpaceDN w:val="0"/>
      <w:adjustRightInd w:val="0"/>
      <w:spacing w:after="0" w:line="185" w:lineRule="atLeast"/>
    </w:pPr>
    <w:rPr>
      <w:rFonts w:ascii="Georgia" w:hAnsi="Georgia"/>
      <w:sz w:val="24"/>
      <w:szCs w:val="24"/>
      <w:lang w:eastAsia="pl-PL"/>
    </w:rPr>
  </w:style>
  <w:style w:type="character" w:styleId="UyteHipercze">
    <w:name w:val="FollowedHyperlink"/>
    <w:basedOn w:val="Domylnaczcionkaakapitu"/>
    <w:uiPriority w:val="99"/>
    <w:semiHidden/>
    <w:unhideWhenUsed/>
    <w:rsid w:val="00571B1E"/>
    <w:rPr>
      <w:color w:val="800080" w:themeColor="followedHyperlink"/>
      <w:u w:val="single"/>
    </w:rPr>
  </w:style>
  <w:style w:type="paragraph" w:customStyle="1" w:styleId="Akapitzlist3">
    <w:name w:val="Akapit z listą3"/>
    <w:basedOn w:val="Normalny"/>
    <w:link w:val="ListParagraphChar"/>
    <w:rsid w:val="009D1857"/>
    <w:pPr>
      <w:ind w:left="720"/>
      <w:contextualSpacing/>
    </w:pPr>
    <w:rPr>
      <w:rFonts w:eastAsia="Times New Roman"/>
    </w:rPr>
  </w:style>
  <w:style w:type="character" w:customStyle="1" w:styleId="ListParagraphChar">
    <w:name w:val="List Paragraph Char"/>
    <w:link w:val="Akapitzlist3"/>
    <w:locked/>
    <w:rsid w:val="009D1857"/>
    <w:rPr>
      <w:rFonts w:eastAsia="Times New Roman"/>
      <w:sz w:val="22"/>
      <w:szCs w:val="22"/>
      <w:lang w:eastAsia="en-US"/>
    </w:rPr>
  </w:style>
  <w:style w:type="table" w:customStyle="1" w:styleId="Jasnecieniowanie1">
    <w:name w:val="Jasne cieniowanie1"/>
    <w:basedOn w:val="Standardowy"/>
    <w:uiPriority w:val="60"/>
    <w:rsid w:val="001B789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1">
    <w:name w:val="Jasna siatka1"/>
    <w:basedOn w:val="Standardowy"/>
    <w:uiPriority w:val="62"/>
    <w:rsid w:val="001B789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TML-wstpniesformatowany">
    <w:name w:val="HTML Preformatted"/>
    <w:basedOn w:val="Normalny"/>
    <w:link w:val="HTML-wstpniesformatowanyZnak"/>
    <w:uiPriority w:val="99"/>
    <w:unhideWhenUsed/>
    <w:rsid w:val="00172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172381"/>
    <w:rPr>
      <w:rFonts w:ascii="Courier New" w:eastAsia="Times New Roman" w:hAnsi="Courier New" w:cs="Courier New"/>
    </w:rPr>
  </w:style>
  <w:style w:type="character" w:styleId="Uwydatnienie">
    <w:name w:val="Emphasis"/>
    <w:basedOn w:val="Domylnaczcionkaakapitu"/>
    <w:uiPriority w:val="20"/>
    <w:qFormat/>
    <w:rsid w:val="00D615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9248">
      <w:bodyDiv w:val="1"/>
      <w:marLeft w:val="0"/>
      <w:marRight w:val="0"/>
      <w:marTop w:val="0"/>
      <w:marBottom w:val="0"/>
      <w:divBdr>
        <w:top w:val="none" w:sz="0" w:space="0" w:color="auto"/>
        <w:left w:val="none" w:sz="0" w:space="0" w:color="auto"/>
        <w:bottom w:val="none" w:sz="0" w:space="0" w:color="auto"/>
        <w:right w:val="none" w:sz="0" w:space="0" w:color="auto"/>
      </w:divBdr>
    </w:div>
    <w:div w:id="52507986">
      <w:bodyDiv w:val="1"/>
      <w:marLeft w:val="0"/>
      <w:marRight w:val="0"/>
      <w:marTop w:val="0"/>
      <w:marBottom w:val="0"/>
      <w:divBdr>
        <w:top w:val="none" w:sz="0" w:space="0" w:color="auto"/>
        <w:left w:val="none" w:sz="0" w:space="0" w:color="auto"/>
        <w:bottom w:val="none" w:sz="0" w:space="0" w:color="auto"/>
        <w:right w:val="none" w:sz="0" w:space="0" w:color="auto"/>
      </w:divBdr>
    </w:div>
    <w:div w:id="62267264">
      <w:bodyDiv w:val="1"/>
      <w:marLeft w:val="0"/>
      <w:marRight w:val="0"/>
      <w:marTop w:val="0"/>
      <w:marBottom w:val="0"/>
      <w:divBdr>
        <w:top w:val="none" w:sz="0" w:space="0" w:color="auto"/>
        <w:left w:val="none" w:sz="0" w:space="0" w:color="auto"/>
        <w:bottom w:val="none" w:sz="0" w:space="0" w:color="auto"/>
        <w:right w:val="none" w:sz="0" w:space="0" w:color="auto"/>
      </w:divBdr>
      <w:divsChild>
        <w:div w:id="140080580">
          <w:marLeft w:val="0"/>
          <w:marRight w:val="0"/>
          <w:marTop w:val="0"/>
          <w:marBottom w:val="0"/>
          <w:divBdr>
            <w:top w:val="none" w:sz="0" w:space="0" w:color="auto"/>
            <w:left w:val="none" w:sz="0" w:space="0" w:color="auto"/>
            <w:bottom w:val="none" w:sz="0" w:space="0" w:color="auto"/>
            <w:right w:val="none" w:sz="0" w:space="0" w:color="auto"/>
          </w:divBdr>
          <w:divsChild>
            <w:div w:id="286087671">
              <w:marLeft w:val="0"/>
              <w:marRight w:val="0"/>
              <w:marTop w:val="0"/>
              <w:marBottom w:val="0"/>
              <w:divBdr>
                <w:top w:val="none" w:sz="0" w:space="0" w:color="auto"/>
                <w:left w:val="none" w:sz="0" w:space="0" w:color="auto"/>
                <w:bottom w:val="none" w:sz="0" w:space="0" w:color="auto"/>
                <w:right w:val="none" w:sz="0" w:space="0" w:color="auto"/>
              </w:divBdr>
              <w:divsChild>
                <w:div w:id="74483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1823">
      <w:bodyDiv w:val="1"/>
      <w:marLeft w:val="0"/>
      <w:marRight w:val="0"/>
      <w:marTop w:val="0"/>
      <w:marBottom w:val="0"/>
      <w:divBdr>
        <w:top w:val="none" w:sz="0" w:space="0" w:color="auto"/>
        <w:left w:val="none" w:sz="0" w:space="0" w:color="auto"/>
        <w:bottom w:val="none" w:sz="0" w:space="0" w:color="auto"/>
        <w:right w:val="none" w:sz="0" w:space="0" w:color="auto"/>
      </w:divBdr>
    </w:div>
    <w:div w:id="66533734">
      <w:bodyDiv w:val="1"/>
      <w:marLeft w:val="0"/>
      <w:marRight w:val="0"/>
      <w:marTop w:val="0"/>
      <w:marBottom w:val="0"/>
      <w:divBdr>
        <w:top w:val="none" w:sz="0" w:space="0" w:color="auto"/>
        <w:left w:val="none" w:sz="0" w:space="0" w:color="auto"/>
        <w:bottom w:val="none" w:sz="0" w:space="0" w:color="auto"/>
        <w:right w:val="none" w:sz="0" w:space="0" w:color="auto"/>
      </w:divBdr>
    </w:div>
    <w:div w:id="141118142">
      <w:bodyDiv w:val="1"/>
      <w:marLeft w:val="0"/>
      <w:marRight w:val="0"/>
      <w:marTop w:val="0"/>
      <w:marBottom w:val="0"/>
      <w:divBdr>
        <w:top w:val="none" w:sz="0" w:space="0" w:color="auto"/>
        <w:left w:val="none" w:sz="0" w:space="0" w:color="auto"/>
        <w:bottom w:val="none" w:sz="0" w:space="0" w:color="auto"/>
        <w:right w:val="none" w:sz="0" w:space="0" w:color="auto"/>
      </w:divBdr>
    </w:div>
    <w:div w:id="145634308">
      <w:bodyDiv w:val="1"/>
      <w:marLeft w:val="0"/>
      <w:marRight w:val="0"/>
      <w:marTop w:val="0"/>
      <w:marBottom w:val="0"/>
      <w:divBdr>
        <w:top w:val="none" w:sz="0" w:space="0" w:color="auto"/>
        <w:left w:val="none" w:sz="0" w:space="0" w:color="auto"/>
        <w:bottom w:val="none" w:sz="0" w:space="0" w:color="auto"/>
        <w:right w:val="none" w:sz="0" w:space="0" w:color="auto"/>
      </w:divBdr>
    </w:div>
    <w:div w:id="174534716">
      <w:bodyDiv w:val="1"/>
      <w:marLeft w:val="0"/>
      <w:marRight w:val="0"/>
      <w:marTop w:val="0"/>
      <w:marBottom w:val="0"/>
      <w:divBdr>
        <w:top w:val="none" w:sz="0" w:space="0" w:color="auto"/>
        <w:left w:val="none" w:sz="0" w:space="0" w:color="auto"/>
        <w:bottom w:val="none" w:sz="0" w:space="0" w:color="auto"/>
        <w:right w:val="none" w:sz="0" w:space="0" w:color="auto"/>
      </w:divBdr>
    </w:div>
    <w:div w:id="187989860">
      <w:bodyDiv w:val="1"/>
      <w:marLeft w:val="0"/>
      <w:marRight w:val="0"/>
      <w:marTop w:val="0"/>
      <w:marBottom w:val="0"/>
      <w:divBdr>
        <w:top w:val="none" w:sz="0" w:space="0" w:color="auto"/>
        <w:left w:val="none" w:sz="0" w:space="0" w:color="auto"/>
        <w:bottom w:val="none" w:sz="0" w:space="0" w:color="auto"/>
        <w:right w:val="none" w:sz="0" w:space="0" w:color="auto"/>
      </w:divBdr>
    </w:div>
    <w:div w:id="285235973">
      <w:bodyDiv w:val="1"/>
      <w:marLeft w:val="0"/>
      <w:marRight w:val="0"/>
      <w:marTop w:val="0"/>
      <w:marBottom w:val="0"/>
      <w:divBdr>
        <w:top w:val="none" w:sz="0" w:space="0" w:color="auto"/>
        <w:left w:val="none" w:sz="0" w:space="0" w:color="auto"/>
        <w:bottom w:val="none" w:sz="0" w:space="0" w:color="auto"/>
        <w:right w:val="none" w:sz="0" w:space="0" w:color="auto"/>
      </w:divBdr>
    </w:div>
    <w:div w:id="300498977">
      <w:bodyDiv w:val="1"/>
      <w:marLeft w:val="0"/>
      <w:marRight w:val="0"/>
      <w:marTop w:val="0"/>
      <w:marBottom w:val="0"/>
      <w:divBdr>
        <w:top w:val="none" w:sz="0" w:space="0" w:color="auto"/>
        <w:left w:val="none" w:sz="0" w:space="0" w:color="auto"/>
        <w:bottom w:val="none" w:sz="0" w:space="0" w:color="auto"/>
        <w:right w:val="none" w:sz="0" w:space="0" w:color="auto"/>
      </w:divBdr>
    </w:div>
    <w:div w:id="331378051">
      <w:bodyDiv w:val="1"/>
      <w:marLeft w:val="0"/>
      <w:marRight w:val="0"/>
      <w:marTop w:val="0"/>
      <w:marBottom w:val="0"/>
      <w:divBdr>
        <w:top w:val="none" w:sz="0" w:space="0" w:color="auto"/>
        <w:left w:val="none" w:sz="0" w:space="0" w:color="auto"/>
        <w:bottom w:val="none" w:sz="0" w:space="0" w:color="auto"/>
        <w:right w:val="none" w:sz="0" w:space="0" w:color="auto"/>
      </w:divBdr>
    </w:div>
    <w:div w:id="403768237">
      <w:bodyDiv w:val="1"/>
      <w:marLeft w:val="0"/>
      <w:marRight w:val="0"/>
      <w:marTop w:val="0"/>
      <w:marBottom w:val="0"/>
      <w:divBdr>
        <w:top w:val="none" w:sz="0" w:space="0" w:color="auto"/>
        <w:left w:val="none" w:sz="0" w:space="0" w:color="auto"/>
        <w:bottom w:val="none" w:sz="0" w:space="0" w:color="auto"/>
        <w:right w:val="none" w:sz="0" w:space="0" w:color="auto"/>
      </w:divBdr>
    </w:div>
    <w:div w:id="412706223">
      <w:bodyDiv w:val="1"/>
      <w:marLeft w:val="0"/>
      <w:marRight w:val="0"/>
      <w:marTop w:val="0"/>
      <w:marBottom w:val="0"/>
      <w:divBdr>
        <w:top w:val="none" w:sz="0" w:space="0" w:color="auto"/>
        <w:left w:val="none" w:sz="0" w:space="0" w:color="auto"/>
        <w:bottom w:val="none" w:sz="0" w:space="0" w:color="auto"/>
        <w:right w:val="none" w:sz="0" w:space="0" w:color="auto"/>
      </w:divBdr>
    </w:div>
    <w:div w:id="440299423">
      <w:bodyDiv w:val="1"/>
      <w:marLeft w:val="0"/>
      <w:marRight w:val="0"/>
      <w:marTop w:val="0"/>
      <w:marBottom w:val="0"/>
      <w:divBdr>
        <w:top w:val="none" w:sz="0" w:space="0" w:color="auto"/>
        <w:left w:val="none" w:sz="0" w:space="0" w:color="auto"/>
        <w:bottom w:val="none" w:sz="0" w:space="0" w:color="auto"/>
        <w:right w:val="none" w:sz="0" w:space="0" w:color="auto"/>
      </w:divBdr>
    </w:div>
    <w:div w:id="446313052">
      <w:bodyDiv w:val="1"/>
      <w:marLeft w:val="0"/>
      <w:marRight w:val="0"/>
      <w:marTop w:val="0"/>
      <w:marBottom w:val="0"/>
      <w:divBdr>
        <w:top w:val="none" w:sz="0" w:space="0" w:color="auto"/>
        <w:left w:val="none" w:sz="0" w:space="0" w:color="auto"/>
        <w:bottom w:val="none" w:sz="0" w:space="0" w:color="auto"/>
        <w:right w:val="none" w:sz="0" w:space="0" w:color="auto"/>
      </w:divBdr>
    </w:div>
    <w:div w:id="448285897">
      <w:bodyDiv w:val="1"/>
      <w:marLeft w:val="0"/>
      <w:marRight w:val="0"/>
      <w:marTop w:val="0"/>
      <w:marBottom w:val="0"/>
      <w:divBdr>
        <w:top w:val="none" w:sz="0" w:space="0" w:color="auto"/>
        <w:left w:val="none" w:sz="0" w:space="0" w:color="auto"/>
        <w:bottom w:val="none" w:sz="0" w:space="0" w:color="auto"/>
        <w:right w:val="none" w:sz="0" w:space="0" w:color="auto"/>
      </w:divBdr>
    </w:div>
    <w:div w:id="458301632">
      <w:bodyDiv w:val="1"/>
      <w:marLeft w:val="0"/>
      <w:marRight w:val="0"/>
      <w:marTop w:val="0"/>
      <w:marBottom w:val="0"/>
      <w:divBdr>
        <w:top w:val="none" w:sz="0" w:space="0" w:color="auto"/>
        <w:left w:val="none" w:sz="0" w:space="0" w:color="auto"/>
        <w:bottom w:val="none" w:sz="0" w:space="0" w:color="auto"/>
        <w:right w:val="none" w:sz="0" w:space="0" w:color="auto"/>
      </w:divBdr>
    </w:div>
    <w:div w:id="500464768">
      <w:bodyDiv w:val="1"/>
      <w:marLeft w:val="0"/>
      <w:marRight w:val="0"/>
      <w:marTop w:val="0"/>
      <w:marBottom w:val="0"/>
      <w:divBdr>
        <w:top w:val="none" w:sz="0" w:space="0" w:color="auto"/>
        <w:left w:val="none" w:sz="0" w:space="0" w:color="auto"/>
        <w:bottom w:val="none" w:sz="0" w:space="0" w:color="auto"/>
        <w:right w:val="none" w:sz="0" w:space="0" w:color="auto"/>
      </w:divBdr>
    </w:div>
    <w:div w:id="501897427">
      <w:bodyDiv w:val="1"/>
      <w:marLeft w:val="0"/>
      <w:marRight w:val="0"/>
      <w:marTop w:val="0"/>
      <w:marBottom w:val="0"/>
      <w:divBdr>
        <w:top w:val="none" w:sz="0" w:space="0" w:color="auto"/>
        <w:left w:val="none" w:sz="0" w:space="0" w:color="auto"/>
        <w:bottom w:val="none" w:sz="0" w:space="0" w:color="auto"/>
        <w:right w:val="none" w:sz="0" w:space="0" w:color="auto"/>
      </w:divBdr>
    </w:div>
    <w:div w:id="615988863">
      <w:bodyDiv w:val="1"/>
      <w:marLeft w:val="0"/>
      <w:marRight w:val="0"/>
      <w:marTop w:val="0"/>
      <w:marBottom w:val="0"/>
      <w:divBdr>
        <w:top w:val="none" w:sz="0" w:space="0" w:color="auto"/>
        <w:left w:val="none" w:sz="0" w:space="0" w:color="auto"/>
        <w:bottom w:val="none" w:sz="0" w:space="0" w:color="auto"/>
        <w:right w:val="none" w:sz="0" w:space="0" w:color="auto"/>
      </w:divBdr>
      <w:divsChild>
        <w:div w:id="2089187881">
          <w:marLeft w:val="547"/>
          <w:marRight w:val="0"/>
          <w:marTop w:val="0"/>
          <w:marBottom w:val="0"/>
          <w:divBdr>
            <w:top w:val="none" w:sz="0" w:space="0" w:color="auto"/>
            <w:left w:val="none" w:sz="0" w:space="0" w:color="auto"/>
            <w:bottom w:val="none" w:sz="0" w:space="0" w:color="auto"/>
            <w:right w:val="none" w:sz="0" w:space="0" w:color="auto"/>
          </w:divBdr>
        </w:div>
      </w:divsChild>
    </w:div>
    <w:div w:id="628629557">
      <w:bodyDiv w:val="1"/>
      <w:marLeft w:val="0"/>
      <w:marRight w:val="0"/>
      <w:marTop w:val="0"/>
      <w:marBottom w:val="0"/>
      <w:divBdr>
        <w:top w:val="none" w:sz="0" w:space="0" w:color="auto"/>
        <w:left w:val="none" w:sz="0" w:space="0" w:color="auto"/>
        <w:bottom w:val="none" w:sz="0" w:space="0" w:color="auto"/>
        <w:right w:val="none" w:sz="0" w:space="0" w:color="auto"/>
      </w:divBdr>
    </w:div>
    <w:div w:id="643393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799">
          <w:marLeft w:val="547"/>
          <w:marRight w:val="0"/>
          <w:marTop w:val="0"/>
          <w:marBottom w:val="285"/>
          <w:divBdr>
            <w:top w:val="none" w:sz="0" w:space="0" w:color="auto"/>
            <w:left w:val="none" w:sz="0" w:space="0" w:color="auto"/>
            <w:bottom w:val="none" w:sz="0" w:space="0" w:color="auto"/>
            <w:right w:val="none" w:sz="0" w:space="0" w:color="auto"/>
          </w:divBdr>
        </w:div>
      </w:divsChild>
    </w:div>
    <w:div w:id="675885952">
      <w:bodyDiv w:val="1"/>
      <w:marLeft w:val="0"/>
      <w:marRight w:val="0"/>
      <w:marTop w:val="0"/>
      <w:marBottom w:val="0"/>
      <w:divBdr>
        <w:top w:val="none" w:sz="0" w:space="0" w:color="auto"/>
        <w:left w:val="none" w:sz="0" w:space="0" w:color="auto"/>
        <w:bottom w:val="none" w:sz="0" w:space="0" w:color="auto"/>
        <w:right w:val="none" w:sz="0" w:space="0" w:color="auto"/>
      </w:divBdr>
    </w:div>
    <w:div w:id="678196122">
      <w:bodyDiv w:val="1"/>
      <w:marLeft w:val="0"/>
      <w:marRight w:val="0"/>
      <w:marTop w:val="0"/>
      <w:marBottom w:val="0"/>
      <w:divBdr>
        <w:top w:val="none" w:sz="0" w:space="0" w:color="auto"/>
        <w:left w:val="none" w:sz="0" w:space="0" w:color="auto"/>
        <w:bottom w:val="none" w:sz="0" w:space="0" w:color="auto"/>
        <w:right w:val="none" w:sz="0" w:space="0" w:color="auto"/>
      </w:divBdr>
    </w:div>
    <w:div w:id="687104534">
      <w:bodyDiv w:val="1"/>
      <w:marLeft w:val="0"/>
      <w:marRight w:val="0"/>
      <w:marTop w:val="0"/>
      <w:marBottom w:val="0"/>
      <w:divBdr>
        <w:top w:val="none" w:sz="0" w:space="0" w:color="auto"/>
        <w:left w:val="none" w:sz="0" w:space="0" w:color="auto"/>
        <w:bottom w:val="none" w:sz="0" w:space="0" w:color="auto"/>
        <w:right w:val="none" w:sz="0" w:space="0" w:color="auto"/>
      </w:divBdr>
    </w:div>
    <w:div w:id="694965851">
      <w:bodyDiv w:val="1"/>
      <w:marLeft w:val="0"/>
      <w:marRight w:val="0"/>
      <w:marTop w:val="0"/>
      <w:marBottom w:val="0"/>
      <w:divBdr>
        <w:top w:val="none" w:sz="0" w:space="0" w:color="auto"/>
        <w:left w:val="none" w:sz="0" w:space="0" w:color="auto"/>
        <w:bottom w:val="none" w:sz="0" w:space="0" w:color="auto"/>
        <w:right w:val="none" w:sz="0" w:space="0" w:color="auto"/>
      </w:divBdr>
    </w:div>
    <w:div w:id="724260019">
      <w:bodyDiv w:val="1"/>
      <w:marLeft w:val="0"/>
      <w:marRight w:val="0"/>
      <w:marTop w:val="0"/>
      <w:marBottom w:val="0"/>
      <w:divBdr>
        <w:top w:val="none" w:sz="0" w:space="0" w:color="auto"/>
        <w:left w:val="none" w:sz="0" w:space="0" w:color="auto"/>
        <w:bottom w:val="none" w:sz="0" w:space="0" w:color="auto"/>
        <w:right w:val="none" w:sz="0" w:space="0" w:color="auto"/>
      </w:divBdr>
    </w:div>
    <w:div w:id="736437875">
      <w:bodyDiv w:val="1"/>
      <w:marLeft w:val="0"/>
      <w:marRight w:val="0"/>
      <w:marTop w:val="0"/>
      <w:marBottom w:val="0"/>
      <w:divBdr>
        <w:top w:val="none" w:sz="0" w:space="0" w:color="auto"/>
        <w:left w:val="none" w:sz="0" w:space="0" w:color="auto"/>
        <w:bottom w:val="none" w:sz="0" w:space="0" w:color="auto"/>
        <w:right w:val="none" w:sz="0" w:space="0" w:color="auto"/>
      </w:divBdr>
      <w:divsChild>
        <w:div w:id="520821740">
          <w:marLeft w:val="0"/>
          <w:marRight w:val="0"/>
          <w:marTop w:val="0"/>
          <w:marBottom w:val="0"/>
          <w:divBdr>
            <w:top w:val="none" w:sz="0" w:space="0" w:color="auto"/>
            <w:left w:val="none" w:sz="0" w:space="0" w:color="auto"/>
            <w:bottom w:val="none" w:sz="0" w:space="0" w:color="auto"/>
            <w:right w:val="none" w:sz="0" w:space="0" w:color="auto"/>
          </w:divBdr>
          <w:divsChild>
            <w:div w:id="1203637209">
              <w:marLeft w:val="0"/>
              <w:marRight w:val="0"/>
              <w:marTop w:val="0"/>
              <w:marBottom w:val="0"/>
              <w:divBdr>
                <w:top w:val="none" w:sz="0" w:space="0" w:color="auto"/>
                <w:left w:val="none" w:sz="0" w:space="0" w:color="auto"/>
                <w:bottom w:val="none" w:sz="0" w:space="0" w:color="auto"/>
                <w:right w:val="none" w:sz="0" w:space="0" w:color="auto"/>
              </w:divBdr>
              <w:divsChild>
                <w:div w:id="20034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653">
      <w:bodyDiv w:val="1"/>
      <w:marLeft w:val="0"/>
      <w:marRight w:val="0"/>
      <w:marTop w:val="0"/>
      <w:marBottom w:val="0"/>
      <w:divBdr>
        <w:top w:val="none" w:sz="0" w:space="0" w:color="auto"/>
        <w:left w:val="none" w:sz="0" w:space="0" w:color="auto"/>
        <w:bottom w:val="none" w:sz="0" w:space="0" w:color="auto"/>
        <w:right w:val="none" w:sz="0" w:space="0" w:color="auto"/>
      </w:divBdr>
      <w:divsChild>
        <w:div w:id="444812001">
          <w:marLeft w:val="0"/>
          <w:marRight w:val="0"/>
          <w:marTop w:val="0"/>
          <w:marBottom w:val="0"/>
          <w:divBdr>
            <w:top w:val="none" w:sz="0" w:space="0" w:color="auto"/>
            <w:left w:val="none" w:sz="0" w:space="0" w:color="auto"/>
            <w:bottom w:val="none" w:sz="0" w:space="0" w:color="auto"/>
            <w:right w:val="none" w:sz="0" w:space="0" w:color="auto"/>
          </w:divBdr>
          <w:divsChild>
            <w:div w:id="1356081666">
              <w:marLeft w:val="0"/>
              <w:marRight w:val="0"/>
              <w:marTop w:val="0"/>
              <w:marBottom w:val="0"/>
              <w:divBdr>
                <w:top w:val="none" w:sz="0" w:space="0" w:color="auto"/>
                <w:left w:val="none" w:sz="0" w:space="0" w:color="auto"/>
                <w:bottom w:val="none" w:sz="0" w:space="0" w:color="auto"/>
                <w:right w:val="none" w:sz="0" w:space="0" w:color="auto"/>
              </w:divBdr>
              <w:divsChild>
                <w:div w:id="10631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4299">
      <w:bodyDiv w:val="1"/>
      <w:marLeft w:val="0"/>
      <w:marRight w:val="0"/>
      <w:marTop w:val="0"/>
      <w:marBottom w:val="0"/>
      <w:divBdr>
        <w:top w:val="none" w:sz="0" w:space="0" w:color="auto"/>
        <w:left w:val="none" w:sz="0" w:space="0" w:color="auto"/>
        <w:bottom w:val="none" w:sz="0" w:space="0" w:color="auto"/>
        <w:right w:val="none" w:sz="0" w:space="0" w:color="auto"/>
      </w:divBdr>
    </w:div>
    <w:div w:id="817263395">
      <w:bodyDiv w:val="1"/>
      <w:marLeft w:val="0"/>
      <w:marRight w:val="0"/>
      <w:marTop w:val="0"/>
      <w:marBottom w:val="0"/>
      <w:divBdr>
        <w:top w:val="none" w:sz="0" w:space="0" w:color="auto"/>
        <w:left w:val="none" w:sz="0" w:space="0" w:color="auto"/>
        <w:bottom w:val="none" w:sz="0" w:space="0" w:color="auto"/>
        <w:right w:val="none" w:sz="0" w:space="0" w:color="auto"/>
      </w:divBdr>
    </w:div>
    <w:div w:id="830759037">
      <w:bodyDiv w:val="1"/>
      <w:marLeft w:val="0"/>
      <w:marRight w:val="0"/>
      <w:marTop w:val="0"/>
      <w:marBottom w:val="0"/>
      <w:divBdr>
        <w:top w:val="none" w:sz="0" w:space="0" w:color="auto"/>
        <w:left w:val="none" w:sz="0" w:space="0" w:color="auto"/>
        <w:bottom w:val="none" w:sz="0" w:space="0" w:color="auto"/>
        <w:right w:val="none" w:sz="0" w:space="0" w:color="auto"/>
      </w:divBdr>
    </w:div>
    <w:div w:id="847328247">
      <w:bodyDiv w:val="1"/>
      <w:marLeft w:val="0"/>
      <w:marRight w:val="0"/>
      <w:marTop w:val="0"/>
      <w:marBottom w:val="0"/>
      <w:divBdr>
        <w:top w:val="none" w:sz="0" w:space="0" w:color="auto"/>
        <w:left w:val="none" w:sz="0" w:space="0" w:color="auto"/>
        <w:bottom w:val="none" w:sz="0" w:space="0" w:color="auto"/>
        <w:right w:val="none" w:sz="0" w:space="0" w:color="auto"/>
      </w:divBdr>
    </w:div>
    <w:div w:id="863976341">
      <w:bodyDiv w:val="1"/>
      <w:marLeft w:val="0"/>
      <w:marRight w:val="0"/>
      <w:marTop w:val="0"/>
      <w:marBottom w:val="0"/>
      <w:divBdr>
        <w:top w:val="none" w:sz="0" w:space="0" w:color="auto"/>
        <w:left w:val="none" w:sz="0" w:space="0" w:color="auto"/>
        <w:bottom w:val="none" w:sz="0" w:space="0" w:color="auto"/>
        <w:right w:val="none" w:sz="0" w:space="0" w:color="auto"/>
      </w:divBdr>
    </w:div>
    <w:div w:id="899706843">
      <w:bodyDiv w:val="1"/>
      <w:marLeft w:val="0"/>
      <w:marRight w:val="0"/>
      <w:marTop w:val="0"/>
      <w:marBottom w:val="0"/>
      <w:divBdr>
        <w:top w:val="none" w:sz="0" w:space="0" w:color="auto"/>
        <w:left w:val="none" w:sz="0" w:space="0" w:color="auto"/>
        <w:bottom w:val="none" w:sz="0" w:space="0" w:color="auto"/>
        <w:right w:val="none" w:sz="0" w:space="0" w:color="auto"/>
      </w:divBdr>
      <w:divsChild>
        <w:div w:id="1848130275">
          <w:marLeft w:val="547"/>
          <w:marRight w:val="0"/>
          <w:marTop w:val="0"/>
          <w:marBottom w:val="0"/>
          <w:divBdr>
            <w:top w:val="none" w:sz="0" w:space="0" w:color="auto"/>
            <w:left w:val="none" w:sz="0" w:space="0" w:color="auto"/>
            <w:bottom w:val="none" w:sz="0" w:space="0" w:color="auto"/>
            <w:right w:val="none" w:sz="0" w:space="0" w:color="auto"/>
          </w:divBdr>
        </w:div>
      </w:divsChild>
    </w:div>
    <w:div w:id="914707851">
      <w:bodyDiv w:val="1"/>
      <w:marLeft w:val="0"/>
      <w:marRight w:val="0"/>
      <w:marTop w:val="0"/>
      <w:marBottom w:val="0"/>
      <w:divBdr>
        <w:top w:val="none" w:sz="0" w:space="0" w:color="auto"/>
        <w:left w:val="none" w:sz="0" w:space="0" w:color="auto"/>
        <w:bottom w:val="none" w:sz="0" w:space="0" w:color="auto"/>
        <w:right w:val="none" w:sz="0" w:space="0" w:color="auto"/>
      </w:divBdr>
    </w:div>
    <w:div w:id="922033223">
      <w:bodyDiv w:val="1"/>
      <w:marLeft w:val="0"/>
      <w:marRight w:val="0"/>
      <w:marTop w:val="0"/>
      <w:marBottom w:val="0"/>
      <w:divBdr>
        <w:top w:val="none" w:sz="0" w:space="0" w:color="auto"/>
        <w:left w:val="none" w:sz="0" w:space="0" w:color="auto"/>
        <w:bottom w:val="none" w:sz="0" w:space="0" w:color="auto"/>
        <w:right w:val="none" w:sz="0" w:space="0" w:color="auto"/>
      </w:divBdr>
    </w:div>
    <w:div w:id="949969979">
      <w:bodyDiv w:val="1"/>
      <w:marLeft w:val="0"/>
      <w:marRight w:val="0"/>
      <w:marTop w:val="0"/>
      <w:marBottom w:val="0"/>
      <w:divBdr>
        <w:top w:val="none" w:sz="0" w:space="0" w:color="auto"/>
        <w:left w:val="none" w:sz="0" w:space="0" w:color="auto"/>
        <w:bottom w:val="none" w:sz="0" w:space="0" w:color="auto"/>
        <w:right w:val="none" w:sz="0" w:space="0" w:color="auto"/>
      </w:divBdr>
    </w:div>
    <w:div w:id="956447700">
      <w:bodyDiv w:val="1"/>
      <w:marLeft w:val="0"/>
      <w:marRight w:val="0"/>
      <w:marTop w:val="0"/>
      <w:marBottom w:val="0"/>
      <w:divBdr>
        <w:top w:val="none" w:sz="0" w:space="0" w:color="auto"/>
        <w:left w:val="none" w:sz="0" w:space="0" w:color="auto"/>
        <w:bottom w:val="none" w:sz="0" w:space="0" w:color="auto"/>
        <w:right w:val="none" w:sz="0" w:space="0" w:color="auto"/>
      </w:divBdr>
    </w:div>
    <w:div w:id="956915028">
      <w:bodyDiv w:val="1"/>
      <w:marLeft w:val="0"/>
      <w:marRight w:val="0"/>
      <w:marTop w:val="0"/>
      <w:marBottom w:val="0"/>
      <w:divBdr>
        <w:top w:val="none" w:sz="0" w:space="0" w:color="auto"/>
        <w:left w:val="none" w:sz="0" w:space="0" w:color="auto"/>
        <w:bottom w:val="none" w:sz="0" w:space="0" w:color="auto"/>
        <w:right w:val="none" w:sz="0" w:space="0" w:color="auto"/>
      </w:divBdr>
    </w:div>
    <w:div w:id="975260864">
      <w:bodyDiv w:val="1"/>
      <w:marLeft w:val="0"/>
      <w:marRight w:val="0"/>
      <w:marTop w:val="0"/>
      <w:marBottom w:val="0"/>
      <w:divBdr>
        <w:top w:val="none" w:sz="0" w:space="0" w:color="auto"/>
        <w:left w:val="none" w:sz="0" w:space="0" w:color="auto"/>
        <w:bottom w:val="none" w:sz="0" w:space="0" w:color="auto"/>
        <w:right w:val="none" w:sz="0" w:space="0" w:color="auto"/>
      </w:divBdr>
    </w:div>
    <w:div w:id="978344305">
      <w:bodyDiv w:val="1"/>
      <w:marLeft w:val="0"/>
      <w:marRight w:val="0"/>
      <w:marTop w:val="0"/>
      <w:marBottom w:val="0"/>
      <w:divBdr>
        <w:top w:val="none" w:sz="0" w:space="0" w:color="auto"/>
        <w:left w:val="none" w:sz="0" w:space="0" w:color="auto"/>
        <w:bottom w:val="none" w:sz="0" w:space="0" w:color="auto"/>
        <w:right w:val="none" w:sz="0" w:space="0" w:color="auto"/>
      </w:divBdr>
    </w:div>
    <w:div w:id="992564116">
      <w:bodyDiv w:val="1"/>
      <w:marLeft w:val="0"/>
      <w:marRight w:val="0"/>
      <w:marTop w:val="0"/>
      <w:marBottom w:val="0"/>
      <w:divBdr>
        <w:top w:val="none" w:sz="0" w:space="0" w:color="auto"/>
        <w:left w:val="none" w:sz="0" w:space="0" w:color="auto"/>
        <w:bottom w:val="none" w:sz="0" w:space="0" w:color="auto"/>
        <w:right w:val="none" w:sz="0" w:space="0" w:color="auto"/>
      </w:divBdr>
    </w:div>
    <w:div w:id="1013340391">
      <w:bodyDiv w:val="1"/>
      <w:marLeft w:val="0"/>
      <w:marRight w:val="0"/>
      <w:marTop w:val="0"/>
      <w:marBottom w:val="0"/>
      <w:divBdr>
        <w:top w:val="none" w:sz="0" w:space="0" w:color="auto"/>
        <w:left w:val="none" w:sz="0" w:space="0" w:color="auto"/>
        <w:bottom w:val="none" w:sz="0" w:space="0" w:color="auto"/>
        <w:right w:val="none" w:sz="0" w:space="0" w:color="auto"/>
      </w:divBdr>
    </w:div>
    <w:div w:id="1028023336">
      <w:bodyDiv w:val="1"/>
      <w:marLeft w:val="0"/>
      <w:marRight w:val="0"/>
      <w:marTop w:val="0"/>
      <w:marBottom w:val="0"/>
      <w:divBdr>
        <w:top w:val="none" w:sz="0" w:space="0" w:color="auto"/>
        <w:left w:val="none" w:sz="0" w:space="0" w:color="auto"/>
        <w:bottom w:val="none" w:sz="0" w:space="0" w:color="auto"/>
        <w:right w:val="none" w:sz="0" w:space="0" w:color="auto"/>
      </w:divBdr>
    </w:div>
    <w:div w:id="1045955256">
      <w:bodyDiv w:val="1"/>
      <w:marLeft w:val="0"/>
      <w:marRight w:val="0"/>
      <w:marTop w:val="0"/>
      <w:marBottom w:val="0"/>
      <w:divBdr>
        <w:top w:val="none" w:sz="0" w:space="0" w:color="auto"/>
        <w:left w:val="none" w:sz="0" w:space="0" w:color="auto"/>
        <w:bottom w:val="none" w:sz="0" w:space="0" w:color="auto"/>
        <w:right w:val="none" w:sz="0" w:space="0" w:color="auto"/>
      </w:divBdr>
    </w:div>
    <w:div w:id="1142427984">
      <w:bodyDiv w:val="1"/>
      <w:marLeft w:val="0"/>
      <w:marRight w:val="0"/>
      <w:marTop w:val="0"/>
      <w:marBottom w:val="0"/>
      <w:divBdr>
        <w:top w:val="none" w:sz="0" w:space="0" w:color="auto"/>
        <w:left w:val="none" w:sz="0" w:space="0" w:color="auto"/>
        <w:bottom w:val="none" w:sz="0" w:space="0" w:color="auto"/>
        <w:right w:val="none" w:sz="0" w:space="0" w:color="auto"/>
      </w:divBdr>
    </w:div>
    <w:div w:id="1146433997">
      <w:bodyDiv w:val="1"/>
      <w:marLeft w:val="0"/>
      <w:marRight w:val="0"/>
      <w:marTop w:val="0"/>
      <w:marBottom w:val="0"/>
      <w:divBdr>
        <w:top w:val="none" w:sz="0" w:space="0" w:color="auto"/>
        <w:left w:val="none" w:sz="0" w:space="0" w:color="auto"/>
        <w:bottom w:val="none" w:sz="0" w:space="0" w:color="auto"/>
        <w:right w:val="none" w:sz="0" w:space="0" w:color="auto"/>
      </w:divBdr>
    </w:div>
    <w:div w:id="1157266027">
      <w:bodyDiv w:val="1"/>
      <w:marLeft w:val="0"/>
      <w:marRight w:val="0"/>
      <w:marTop w:val="0"/>
      <w:marBottom w:val="0"/>
      <w:divBdr>
        <w:top w:val="none" w:sz="0" w:space="0" w:color="auto"/>
        <w:left w:val="none" w:sz="0" w:space="0" w:color="auto"/>
        <w:bottom w:val="none" w:sz="0" w:space="0" w:color="auto"/>
        <w:right w:val="none" w:sz="0" w:space="0" w:color="auto"/>
      </w:divBdr>
    </w:div>
    <w:div w:id="1168330611">
      <w:bodyDiv w:val="1"/>
      <w:marLeft w:val="0"/>
      <w:marRight w:val="0"/>
      <w:marTop w:val="0"/>
      <w:marBottom w:val="0"/>
      <w:divBdr>
        <w:top w:val="none" w:sz="0" w:space="0" w:color="auto"/>
        <w:left w:val="none" w:sz="0" w:space="0" w:color="auto"/>
        <w:bottom w:val="none" w:sz="0" w:space="0" w:color="auto"/>
        <w:right w:val="none" w:sz="0" w:space="0" w:color="auto"/>
      </w:divBdr>
    </w:div>
    <w:div w:id="1177380799">
      <w:bodyDiv w:val="1"/>
      <w:marLeft w:val="0"/>
      <w:marRight w:val="0"/>
      <w:marTop w:val="0"/>
      <w:marBottom w:val="0"/>
      <w:divBdr>
        <w:top w:val="none" w:sz="0" w:space="0" w:color="auto"/>
        <w:left w:val="none" w:sz="0" w:space="0" w:color="auto"/>
        <w:bottom w:val="none" w:sz="0" w:space="0" w:color="auto"/>
        <w:right w:val="none" w:sz="0" w:space="0" w:color="auto"/>
      </w:divBdr>
    </w:div>
    <w:div w:id="1186017877">
      <w:bodyDiv w:val="1"/>
      <w:marLeft w:val="0"/>
      <w:marRight w:val="0"/>
      <w:marTop w:val="0"/>
      <w:marBottom w:val="0"/>
      <w:divBdr>
        <w:top w:val="none" w:sz="0" w:space="0" w:color="auto"/>
        <w:left w:val="none" w:sz="0" w:space="0" w:color="auto"/>
        <w:bottom w:val="none" w:sz="0" w:space="0" w:color="auto"/>
        <w:right w:val="none" w:sz="0" w:space="0" w:color="auto"/>
      </w:divBdr>
    </w:div>
    <w:div w:id="1189679646">
      <w:bodyDiv w:val="1"/>
      <w:marLeft w:val="0"/>
      <w:marRight w:val="0"/>
      <w:marTop w:val="0"/>
      <w:marBottom w:val="0"/>
      <w:divBdr>
        <w:top w:val="none" w:sz="0" w:space="0" w:color="auto"/>
        <w:left w:val="none" w:sz="0" w:space="0" w:color="auto"/>
        <w:bottom w:val="none" w:sz="0" w:space="0" w:color="auto"/>
        <w:right w:val="none" w:sz="0" w:space="0" w:color="auto"/>
      </w:divBdr>
    </w:div>
    <w:div w:id="1194342952">
      <w:bodyDiv w:val="1"/>
      <w:marLeft w:val="0"/>
      <w:marRight w:val="0"/>
      <w:marTop w:val="0"/>
      <w:marBottom w:val="0"/>
      <w:divBdr>
        <w:top w:val="none" w:sz="0" w:space="0" w:color="auto"/>
        <w:left w:val="none" w:sz="0" w:space="0" w:color="auto"/>
        <w:bottom w:val="none" w:sz="0" w:space="0" w:color="auto"/>
        <w:right w:val="none" w:sz="0" w:space="0" w:color="auto"/>
      </w:divBdr>
    </w:div>
    <w:div w:id="1199968811">
      <w:bodyDiv w:val="1"/>
      <w:marLeft w:val="0"/>
      <w:marRight w:val="0"/>
      <w:marTop w:val="0"/>
      <w:marBottom w:val="0"/>
      <w:divBdr>
        <w:top w:val="none" w:sz="0" w:space="0" w:color="auto"/>
        <w:left w:val="none" w:sz="0" w:space="0" w:color="auto"/>
        <w:bottom w:val="none" w:sz="0" w:space="0" w:color="auto"/>
        <w:right w:val="none" w:sz="0" w:space="0" w:color="auto"/>
      </w:divBdr>
    </w:div>
    <w:div w:id="1199971183">
      <w:bodyDiv w:val="1"/>
      <w:marLeft w:val="0"/>
      <w:marRight w:val="0"/>
      <w:marTop w:val="0"/>
      <w:marBottom w:val="0"/>
      <w:divBdr>
        <w:top w:val="none" w:sz="0" w:space="0" w:color="auto"/>
        <w:left w:val="none" w:sz="0" w:space="0" w:color="auto"/>
        <w:bottom w:val="none" w:sz="0" w:space="0" w:color="auto"/>
        <w:right w:val="none" w:sz="0" w:space="0" w:color="auto"/>
      </w:divBdr>
    </w:div>
    <w:div w:id="1220938222">
      <w:bodyDiv w:val="1"/>
      <w:marLeft w:val="0"/>
      <w:marRight w:val="0"/>
      <w:marTop w:val="0"/>
      <w:marBottom w:val="0"/>
      <w:divBdr>
        <w:top w:val="none" w:sz="0" w:space="0" w:color="auto"/>
        <w:left w:val="none" w:sz="0" w:space="0" w:color="auto"/>
        <w:bottom w:val="none" w:sz="0" w:space="0" w:color="auto"/>
        <w:right w:val="none" w:sz="0" w:space="0" w:color="auto"/>
      </w:divBdr>
    </w:div>
    <w:div w:id="1296446146">
      <w:bodyDiv w:val="1"/>
      <w:marLeft w:val="0"/>
      <w:marRight w:val="0"/>
      <w:marTop w:val="0"/>
      <w:marBottom w:val="0"/>
      <w:divBdr>
        <w:top w:val="none" w:sz="0" w:space="0" w:color="auto"/>
        <w:left w:val="none" w:sz="0" w:space="0" w:color="auto"/>
        <w:bottom w:val="none" w:sz="0" w:space="0" w:color="auto"/>
        <w:right w:val="none" w:sz="0" w:space="0" w:color="auto"/>
      </w:divBdr>
    </w:div>
    <w:div w:id="1297759118">
      <w:bodyDiv w:val="1"/>
      <w:marLeft w:val="0"/>
      <w:marRight w:val="0"/>
      <w:marTop w:val="0"/>
      <w:marBottom w:val="0"/>
      <w:divBdr>
        <w:top w:val="none" w:sz="0" w:space="0" w:color="auto"/>
        <w:left w:val="none" w:sz="0" w:space="0" w:color="auto"/>
        <w:bottom w:val="none" w:sz="0" w:space="0" w:color="auto"/>
        <w:right w:val="none" w:sz="0" w:space="0" w:color="auto"/>
      </w:divBdr>
      <w:divsChild>
        <w:div w:id="1683968755">
          <w:marLeft w:val="547"/>
          <w:marRight w:val="0"/>
          <w:marTop w:val="0"/>
          <w:marBottom w:val="0"/>
          <w:divBdr>
            <w:top w:val="none" w:sz="0" w:space="0" w:color="auto"/>
            <w:left w:val="none" w:sz="0" w:space="0" w:color="auto"/>
            <w:bottom w:val="none" w:sz="0" w:space="0" w:color="auto"/>
            <w:right w:val="none" w:sz="0" w:space="0" w:color="auto"/>
          </w:divBdr>
        </w:div>
      </w:divsChild>
    </w:div>
    <w:div w:id="1335499480">
      <w:bodyDiv w:val="1"/>
      <w:marLeft w:val="0"/>
      <w:marRight w:val="0"/>
      <w:marTop w:val="0"/>
      <w:marBottom w:val="0"/>
      <w:divBdr>
        <w:top w:val="none" w:sz="0" w:space="0" w:color="auto"/>
        <w:left w:val="none" w:sz="0" w:space="0" w:color="auto"/>
        <w:bottom w:val="none" w:sz="0" w:space="0" w:color="auto"/>
        <w:right w:val="none" w:sz="0" w:space="0" w:color="auto"/>
      </w:divBdr>
    </w:div>
    <w:div w:id="1401948401">
      <w:bodyDiv w:val="1"/>
      <w:marLeft w:val="0"/>
      <w:marRight w:val="0"/>
      <w:marTop w:val="0"/>
      <w:marBottom w:val="0"/>
      <w:divBdr>
        <w:top w:val="none" w:sz="0" w:space="0" w:color="auto"/>
        <w:left w:val="none" w:sz="0" w:space="0" w:color="auto"/>
        <w:bottom w:val="none" w:sz="0" w:space="0" w:color="auto"/>
        <w:right w:val="none" w:sz="0" w:space="0" w:color="auto"/>
      </w:divBdr>
    </w:div>
    <w:div w:id="1436553632">
      <w:bodyDiv w:val="1"/>
      <w:marLeft w:val="0"/>
      <w:marRight w:val="0"/>
      <w:marTop w:val="0"/>
      <w:marBottom w:val="0"/>
      <w:divBdr>
        <w:top w:val="none" w:sz="0" w:space="0" w:color="auto"/>
        <w:left w:val="none" w:sz="0" w:space="0" w:color="auto"/>
        <w:bottom w:val="none" w:sz="0" w:space="0" w:color="auto"/>
        <w:right w:val="none" w:sz="0" w:space="0" w:color="auto"/>
      </w:divBdr>
    </w:div>
    <w:div w:id="1498881080">
      <w:bodyDiv w:val="1"/>
      <w:marLeft w:val="0"/>
      <w:marRight w:val="0"/>
      <w:marTop w:val="0"/>
      <w:marBottom w:val="0"/>
      <w:divBdr>
        <w:top w:val="none" w:sz="0" w:space="0" w:color="auto"/>
        <w:left w:val="none" w:sz="0" w:space="0" w:color="auto"/>
        <w:bottom w:val="none" w:sz="0" w:space="0" w:color="auto"/>
        <w:right w:val="none" w:sz="0" w:space="0" w:color="auto"/>
      </w:divBdr>
    </w:div>
    <w:div w:id="1500845837">
      <w:bodyDiv w:val="1"/>
      <w:marLeft w:val="0"/>
      <w:marRight w:val="0"/>
      <w:marTop w:val="0"/>
      <w:marBottom w:val="0"/>
      <w:divBdr>
        <w:top w:val="none" w:sz="0" w:space="0" w:color="auto"/>
        <w:left w:val="none" w:sz="0" w:space="0" w:color="auto"/>
        <w:bottom w:val="none" w:sz="0" w:space="0" w:color="auto"/>
        <w:right w:val="none" w:sz="0" w:space="0" w:color="auto"/>
      </w:divBdr>
    </w:div>
    <w:div w:id="1503279767">
      <w:bodyDiv w:val="1"/>
      <w:marLeft w:val="0"/>
      <w:marRight w:val="0"/>
      <w:marTop w:val="0"/>
      <w:marBottom w:val="0"/>
      <w:divBdr>
        <w:top w:val="none" w:sz="0" w:space="0" w:color="auto"/>
        <w:left w:val="none" w:sz="0" w:space="0" w:color="auto"/>
        <w:bottom w:val="none" w:sz="0" w:space="0" w:color="auto"/>
        <w:right w:val="none" w:sz="0" w:space="0" w:color="auto"/>
      </w:divBdr>
      <w:divsChild>
        <w:div w:id="1280994641">
          <w:marLeft w:val="0"/>
          <w:marRight w:val="0"/>
          <w:marTop w:val="0"/>
          <w:marBottom w:val="0"/>
          <w:divBdr>
            <w:top w:val="none" w:sz="0" w:space="0" w:color="auto"/>
            <w:left w:val="none" w:sz="0" w:space="0" w:color="auto"/>
            <w:bottom w:val="none" w:sz="0" w:space="0" w:color="auto"/>
            <w:right w:val="none" w:sz="0" w:space="0" w:color="auto"/>
          </w:divBdr>
          <w:divsChild>
            <w:div w:id="1950965125">
              <w:marLeft w:val="0"/>
              <w:marRight w:val="0"/>
              <w:marTop w:val="0"/>
              <w:marBottom w:val="0"/>
              <w:divBdr>
                <w:top w:val="none" w:sz="0" w:space="0" w:color="auto"/>
                <w:left w:val="none" w:sz="0" w:space="0" w:color="auto"/>
                <w:bottom w:val="none" w:sz="0" w:space="0" w:color="auto"/>
                <w:right w:val="none" w:sz="0" w:space="0" w:color="auto"/>
              </w:divBdr>
              <w:divsChild>
                <w:div w:id="13191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57175">
      <w:bodyDiv w:val="1"/>
      <w:marLeft w:val="0"/>
      <w:marRight w:val="0"/>
      <w:marTop w:val="0"/>
      <w:marBottom w:val="0"/>
      <w:divBdr>
        <w:top w:val="none" w:sz="0" w:space="0" w:color="auto"/>
        <w:left w:val="none" w:sz="0" w:space="0" w:color="auto"/>
        <w:bottom w:val="none" w:sz="0" w:space="0" w:color="auto"/>
        <w:right w:val="none" w:sz="0" w:space="0" w:color="auto"/>
      </w:divBdr>
    </w:div>
    <w:div w:id="1546454673">
      <w:bodyDiv w:val="1"/>
      <w:marLeft w:val="0"/>
      <w:marRight w:val="0"/>
      <w:marTop w:val="0"/>
      <w:marBottom w:val="0"/>
      <w:divBdr>
        <w:top w:val="none" w:sz="0" w:space="0" w:color="auto"/>
        <w:left w:val="none" w:sz="0" w:space="0" w:color="auto"/>
        <w:bottom w:val="none" w:sz="0" w:space="0" w:color="auto"/>
        <w:right w:val="none" w:sz="0" w:space="0" w:color="auto"/>
      </w:divBdr>
    </w:div>
    <w:div w:id="1581989622">
      <w:bodyDiv w:val="1"/>
      <w:marLeft w:val="0"/>
      <w:marRight w:val="0"/>
      <w:marTop w:val="0"/>
      <w:marBottom w:val="0"/>
      <w:divBdr>
        <w:top w:val="none" w:sz="0" w:space="0" w:color="auto"/>
        <w:left w:val="none" w:sz="0" w:space="0" w:color="auto"/>
        <w:bottom w:val="none" w:sz="0" w:space="0" w:color="auto"/>
        <w:right w:val="none" w:sz="0" w:space="0" w:color="auto"/>
      </w:divBdr>
    </w:div>
    <w:div w:id="1635713369">
      <w:bodyDiv w:val="1"/>
      <w:marLeft w:val="0"/>
      <w:marRight w:val="0"/>
      <w:marTop w:val="0"/>
      <w:marBottom w:val="0"/>
      <w:divBdr>
        <w:top w:val="none" w:sz="0" w:space="0" w:color="auto"/>
        <w:left w:val="none" w:sz="0" w:space="0" w:color="auto"/>
        <w:bottom w:val="none" w:sz="0" w:space="0" w:color="auto"/>
        <w:right w:val="none" w:sz="0" w:space="0" w:color="auto"/>
      </w:divBdr>
    </w:div>
    <w:div w:id="1638145070">
      <w:bodyDiv w:val="1"/>
      <w:marLeft w:val="0"/>
      <w:marRight w:val="0"/>
      <w:marTop w:val="0"/>
      <w:marBottom w:val="0"/>
      <w:divBdr>
        <w:top w:val="none" w:sz="0" w:space="0" w:color="auto"/>
        <w:left w:val="none" w:sz="0" w:space="0" w:color="auto"/>
        <w:bottom w:val="none" w:sz="0" w:space="0" w:color="auto"/>
        <w:right w:val="none" w:sz="0" w:space="0" w:color="auto"/>
      </w:divBdr>
    </w:div>
    <w:div w:id="1651784678">
      <w:bodyDiv w:val="1"/>
      <w:marLeft w:val="0"/>
      <w:marRight w:val="0"/>
      <w:marTop w:val="0"/>
      <w:marBottom w:val="0"/>
      <w:divBdr>
        <w:top w:val="none" w:sz="0" w:space="0" w:color="auto"/>
        <w:left w:val="none" w:sz="0" w:space="0" w:color="auto"/>
        <w:bottom w:val="none" w:sz="0" w:space="0" w:color="auto"/>
        <w:right w:val="none" w:sz="0" w:space="0" w:color="auto"/>
      </w:divBdr>
    </w:div>
    <w:div w:id="1730687334">
      <w:bodyDiv w:val="1"/>
      <w:marLeft w:val="0"/>
      <w:marRight w:val="0"/>
      <w:marTop w:val="0"/>
      <w:marBottom w:val="0"/>
      <w:divBdr>
        <w:top w:val="none" w:sz="0" w:space="0" w:color="auto"/>
        <w:left w:val="none" w:sz="0" w:space="0" w:color="auto"/>
        <w:bottom w:val="none" w:sz="0" w:space="0" w:color="auto"/>
        <w:right w:val="none" w:sz="0" w:space="0" w:color="auto"/>
      </w:divBdr>
    </w:div>
    <w:div w:id="1732340719">
      <w:bodyDiv w:val="1"/>
      <w:marLeft w:val="0"/>
      <w:marRight w:val="0"/>
      <w:marTop w:val="0"/>
      <w:marBottom w:val="0"/>
      <w:divBdr>
        <w:top w:val="none" w:sz="0" w:space="0" w:color="auto"/>
        <w:left w:val="none" w:sz="0" w:space="0" w:color="auto"/>
        <w:bottom w:val="none" w:sz="0" w:space="0" w:color="auto"/>
        <w:right w:val="none" w:sz="0" w:space="0" w:color="auto"/>
      </w:divBdr>
    </w:div>
    <w:div w:id="1738043364">
      <w:bodyDiv w:val="1"/>
      <w:marLeft w:val="0"/>
      <w:marRight w:val="0"/>
      <w:marTop w:val="0"/>
      <w:marBottom w:val="0"/>
      <w:divBdr>
        <w:top w:val="none" w:sz="0" w:space="0" w:color="auto"/>
        <w:left w:val="none" w:sz="0" w:space="0" w:color="auto"/>
        <w:bottom w:val="none" w:sz="0" w:space="0" w:color="auto"/>
        <w:right w:val="none" w:sz="0" w:space="0" w:color="auto"/>
      </w:divBdr>
    </w:div>
    <w:div w:id="1762752123">
      <w:bodyDiv w:val="1"/>
      <w:marLeft w:val="0"/>
      <w:marRight w:val="0"/>
      <w:marTop w:val="0"/>
      <w:marBottom w:val="0"/>
      <w:divBdr>
        <w:top w:val="none" w:sz="0" w:space="0" w:color="auto"/>
        <w:left w:val="none" w:sz="0" w:space="0" w:color="auto"/>
        <w:bottom w:val="none" w:sz="0" w:space="0" w:color="auto"/>
        <w:right w:val="none" w:sz="0" w:space="0" w:color="auto"/>
      </w:divBdr>
    </w:div>
    <w:div w:id="1801873727">
      <w:bodyDiv w:val="1"/>
      <w:marLeft w:val="0"/>
      <w:marRight w:val="0"/>
      <w:marTop w:val="0"/>
      <w:marBottom w:val="0"/>
      <w:divBdr>
        <w:top w:val="none" w:sz="0" w:space="0" w:color="auto"/>
        <w:left w:val="none" w:sz="0" w:space="0" w:color="auto"/>
        <w:bottom w:val="none" w:sz="0" w:space="0" w:color="auto"/>
        <w:right w:val="none" w:sz="0" w:space="0" w:color="auto"/>
      </w:divBdr>
      <w:divsChild>
        <w:div w:id="475756335">
          <w:marLeft w:val="0"/>
          <w:marRight w:val="0"/>
          <w:marTop w:val="0"/>
          <w:marBottom w:val="0"/>
          <w:divBdr>
            <w:top w:val="none" w:sz="0" w:space="0" w:color="auto"/>
            <w:left w:val="none" w:sz="0" w:space="0" w:color="auto"/>
            <w:bottom w:val="none" w:sz="0" w:space="0" w:color="auto"/>
            <w:right w:val="none" w:sz="0" w:space="0" w:color="auto"/>
          </w:divBdr>
          <w:divsChild>
            <w:div w:id="1602375950">
              <w:marLeft w:val="0"/>
              <w:marRight w:val="0"/>
              <w:marTop w:val="0"/>
              <w:marBottom w:val="0"/>
              <w:divBdr>
                <w:top w:val="none" w:sz="0" w:space="0" w:color="auto"/>
                <w:left w:val="none" w:sz="0" w:space="0" w:color="auto"/>
                <w:bottom w:val="none" w:sz="0" w:space="0" w:color="auto"/>
                <w:right w:val="none" w:sz="0" w:space="0" w:color="auto"/>
              </w:divBdr>
              <w:divsChild>
                <w:div w:id="4204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2808">
      <w:bodyDiv w:val="1"/>
      <w:marLeft w:val="0"/>
      <w:marRight w:val="0"/>
      <w:marTop w:val="0"/>
      <w:marBottom w:val="0"/>
      <w:divBdr>
        <w:top w:val="none" w:sz="0" w:space="0" w:color="auto"/>
        <w:left w:val="none" w:sz="0" w:space="0" w:color="auto"/>
        <w:bottom w:val="none" w:sz="0" w:space="0" w:color="auto"/>
        <w:right w:val="none" w:sz="0" w:space="0" w:color="auto"/>
      </w:divBdr>
    </w:div>
    <w:div w:id="1813673939">
      <w:bodyDiv w:val="1"/>
      <w:marLeft w:val="0"/>
      <w:marRight w:val="0"/>
      <w:marTop w:val="0"/>
      <w:marBottom w:val="0"/>
      <w:divBdr>
        <w:top w:val="none" w:sz="0" w:space="0" w:color="auto"/>
        <w:left w:val="none" w:sz="0" w:space="0" w:color="auto"/>
        <w:bottom w:val="none" w:sz="0" w:space="0" w:color="auto"/>
        <w:right w:val="none" w:sz="0" w:space="0" w:color="auto"/>
      </w:divBdr>
    </w:div>
    <w:div w:id="1863130891">
      <w:bodyDiv w:val="1"/>
      <w:marLeft w:val="0"/>
      <w:marRight w:val="0"/>
      <w:marTop w:val="0"/>
      <w:marBottom w:val="0"/>
      <w:divBdr>
        <w:top w:val="none" w:sz="0" w:space="0" w:color="auto"/>
        <w:left w:val="none" w:sz="0" w:space="0" w:color="auto"/>
        <w:bottom w:val="none" w:sz="0" w:space="0" w:color="auto"/>
        <w:right w:val="none" w:sz="0" w:space="0" w:color="auto"/>
      </w:divBdr>
      <w:divsChild>
        <w:div w:id="1531410707">
          <w:marLeft w:val="547"/>
          <w:marRight w:val="0"/>
          <w:marTop w:val="0"/>
          <w:marBottom w:val="0"/>
          <w:divBdr>
            <w:top w:val="none" w:sz="0" w:space="0" w:color="auto"/>
            <w:left w:val="none" w:sz="0" w:space="0" w:color="auto"/>
            <w:bottom w:val="none" w:sz="0" w:space="0" w:color="auto"/>
            <w:right w:val="none" w:sz="0" w:space="0" w:color="auto"/>
          </w:divBdr>
        </w:div>
      </w:divsChild>
    </w:div>
    <w:div w:id="1872454018">
      <w:bodyDiv w:val="1"/>
      <w:marLeft w:val="0"/>
      <w:marRight w:val="0"/>
      <w:marTop w:val="0"/>
      <w:marBottom w:val="0"/>
      <w:divBdr>
        <w:top w:val="none" w:sz="0" w:space="0" w:color="auto"/>
        <w:left w:val="none" w:sz="0" w:space="0" w:color="auto"/>
        <w:bottom w:val="none" w:sz="0" w:space="0" w:color="auto"/>
        <w:right w:val="none" w:sz="0" w:space="0" w:color="auto"/>
      </w:divBdr>
    </w:div>
    <w:div w:id="1893616855">
      <w:bodyDiv w:val="1"/>
      <w:marLeft w:val="0"/>
      <w:marRight w:val="0"/>
      <w:marTop w:val="0"/>
      <w:marBottom w:val="0"/>
      <w:divBdr>
        <w:top w:val="none" w:sz="0" w:space="0" w:color="auto"/>
        <w:left w:val="none" w:sz="0" w:space="0" w:color="auto"/>
        <w:bottom w:val="none" w:sz="0" w:space="0" w:color="auto"/>
        <w:right w:val="none" w:sz="0" w:space="0" w:color="auto"/>
      </w:divBdr>
      <w:divsChild>
        <w:div w:id="958100718">
          <w:marLeft w:val="0"/>
          <w:marRight w:val="0"/>
          <w:marTop w:val="0"/>
          <w:marBottom w:val="0"/>
          <w:divBdr>
            <w:top w:val="none" w:sz="0" w:space="0" w:color="auto"/>
            <w:left w:val="none" w:sz="0" w:space="0" w:color="auto"/>
            <w:bottom w:val="none" w:sz="0" w:space="0" w:color="auto"/>
            <w:right w:val="none" w:sz="0" w:space="0" w:color="auto"/>
          </w:divBdr>
          <w:divsChild>
            <w:div w:id="1231766564">
              <w:marLeft w:val="0"/>
              <w:marRight w:val="0"/>
              <w:marTop w:val="0"/>
              <w:marBottom w:val="0"/>
              <w:divBdr>
                <w:top w:val="none" w:sz="0" w:space="0" w:color="auto"/>
                <w:left w:val="none" w:sz="0" w:space="0" w:color="auto"/>
                <w:bottom w:val="none" w:sz="0" w:space="0" w:color="auto"/>
                <w:right w:val="none" w:sz="0" w:space="0" w:color="auto"/>
              </w:divBdr>
              <w:divsChild>
                <w:div w:id="12580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58119">
      <w:bodyDiv w:val="1"/>
      <w:marLeft w:val="0"/>
      <w:marRight w:val="0"/>
      <w:marTop w:val="0"/>
      <w:marBottom w:val="0"/>
      <w:divBdr>
        <w:top w:val="none" w:sz="0" w:space="0" w:color="auto"/>
        <w:left w:val="none" w:sz="0" w:space="0" w:color="auto"/>
        <w:bottom w:val="none" w:sz="0" w:space="0" w:color="auto"/>
        <w:right w:val="none" w:sz="0" w:space="0" w:color="auto"/>
      </w:divBdr>
    </w:div>
    <w:div w:id="1982490765">
      <w:bodyDiv w:val="1"/>
      <w:marLeft w:val="0"/>
      <w:marRight w:val="0"/>
      <w:marTop w:val="0"/>
      <w:marBottom w:val="0"/>
      <w:divBdr>
        <w:top w:val="none" w:sz="0" w:space="0" w:color="auto"/>
        <w:left w:val="none" w:sz="0" w:space="0" w:color="auto"/>
        <w:bottom w:val="none" w:sz="0" w:space="0" w:color="auto"/>
        <w:right w:val="none" w:sz="0" w:space="0" w:color="auto"/>
      </w:divBdr>
    </w:div>
    <w:div w:id="2011977677">
      <w:bodyDiv w:val="1"/>
      <w:marLeft w:val="0"/>
      <w:marRight w:val="0"/>
      <w:marTop w:val="0"/>
      <w:marBottom w:val="0"/>
      <w:divBdr>
        <w:top w:val="none" w:sz="0" w:space="0" w:color="auto"/>
        <w:left w:val="none" w:sz="0" w:space="0" w:color="auto"/>
        <w:bottom w:val="none" w:sz="0" w:space="0" w:color="auto"/>
        <w:right w:val="none" w:sz="0" w:space="0" w:color="auto"/>
      </w:divBdr>
    </w:div>
    <w:div w:id="2015692036">
      <w:bodyDiv w:val="1"/>
      <w:marLeft w:val="0"/>
      <w:marRight w:val="0"/>
      <w:marTop w:val="0"/>
      <w:marBottom w:val="0"/>
      <w:divBdr>
        <w:top w:val="none" w:sz="0" w:space="0" w:color="auto"/>
        <w:left w:val="none" w:sz="0" w:space="0" w:color="auto"/>
        <w:bottom w:val="none" w:sz="0" w:space="0" w:color="auto"/>
        <w:right w:val="none" w:sz="0" w:space="0" w:color="auto"/>
      </w:divBdr>
    </w:div>
    <w:div w:id="2018463680">
      <w:bodyDiv w:val="1"/>
      <w:marLeft w:val="0"/>
      <w:marRight w:val="0"/>
      <w:marTop w:val="0"/>
      <w:marBottom w:val="0"/>
      <w:divBdr>
        <w:top w:val="none" w:sz="0" w:space="0" w:color="auto"/>
        <w:left w:val="none" w:sz="0" w:space="0" w:color="auto"/>
        <w:bottom w:val="none" w:sz="0" w:space="0" w:color="auto"/>
        <w:right w:val="none" w:sz="0" w:space="0" w:color="auto"/>
      </w:divBdr>
    </w:div>
    <w:div w:id="2038501032">
      <w:bodyDiv w:val="1"/>
      <w:marLeft w:val="0"/>
      <w:marRight w:val="0"/>
      <w:marTop w:val="0"/>
      <w:marBottom w:val="0"/>
      <w:divBdr>
        <w:top w:val="none" w:sz="0" w:space="0" w:color="auto"/>
        <w:left w:val="none" w:sz="0" w:space="0" w:color="auto"/>
        <w:bottom w:val="none" w:sz="0" w:space="0" w:color="auto"/>
        <w:right w:val="none" w:sz="0" w:space="0" w:color="auto"/>
      </w:divBdr>
    </w:div>
    <w:div w:id="2075857790">
      <w:bodyDiv w:val="1"/>
      <w:marLeft w:val="0"/>
      <w:marRight w:val="0"/>
      <w:marTop w:val="0"/>
      <w:marBottom w:val="0"/>
      <w:divBdr>
        <w:top w:val="none" w:sz="0" w:space="0" w:color="auto"/>
        <w:left w:val="none" w:sz="0" w:space="0" w:color="auto"/>
        <w:bottom w:val="none" w:sz="0" w:space="0" w:color="auto"/>
        <w:right w:val="none" w:sz="0" w:space="0" w:color="auto"/>
      </w:divBdr>
    </w:div>
    <w:div w:id="2090150510">
      <w:bodyDiv w:val="1"/>
      <w:marLeft w:val="0"/>
      <w:marRight w:val="0"/>
      <w:marTop w:val="0"/>
      <w:marBottom w:val="0"/>
      <w:divBdr>
        <w:top w:val="none" w:sz="0" w:space="0" w:color="auto"/>
        <w:left w:val="none" w:sz="0" w:space="0" w:color="auto"/>
        <w:bottom w:val="none" w:sz="0" w:space="0" w:color="auto"/>
        <w:right w:val="none" w:sz="0" w:space="0" w:color="auto"/>
      </w:divBdr>
    </w:div>
    <w:div w:id="2092044394">
      <w:bodyDiv w:val="1"/>
      <w:marLeft w:val="0"/>
      <w:marRight w:val="0"/>
      <w:marTop w:val="0"/>
      <w:marBottom w:val="0"/>
      <w:divBdr>
        <w:top w:val="none" w:sz="0" w:space="0" w:color="auto"/>
        <w:left w:val="none" w:sz="0" w:space="0" w:color="auto"/>
        <w:bottom w:val="none" w:sz="0" w:space="0" w:color="auto"/>
        <w:right w:val="none" w:sz="0" w:space="0" w:color="auto"/>
      </w:divBdr>
    </w:div>
    <w:div w:id="211760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diagramQuickStyle" Target="diagrams/quickStyle5.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aliningrad.gks.ru/" TargetMode="Externa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hyperlink" Target="http://www.plru.e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image" Target="media/image2.jpeg"/><Relationship Id="rId19" Type="http://schemas.openxmlformats.org/officeDocument/2006/relationships/diagramQuickStyle" Target="diagrams/quickStyle2.xml"/><Relationship Id="rId31" Type="http://schemas.microsoft.com/office/2007/relationships/diagramDrawing" Target="diagrams/drawing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s>
</file>

<file path=word/_rels/footnotes.xml.rels><?xml version="1.0" encoding="UTF-8" standalone="yes"?>
<Relationships xmlns="http://schemas.openxmlformats.org/package/2006/relationships"><Relationship Id="rId2" Type="http://schemas.openxmlformats.org/officeDocument/2006/relationships/hyperlink" Target="http://kaliningrad.gks.ru/" TargetMode="External"/><Relationship Id="rId1" Type="http://schemas.openxmlformats.org/officeDocument/2006/relationships/hyperlink" Target="http://stat.gov.p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CD336E-6B75-4D2F-B45C-8F523C332773}"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pl-PL"/>
        </a:p>
      </dgm:t>
    </dgm:pt>
    <dgm:pt modelId="{38CB82A0-54EA-4D01-BA76-D2B99B32792D}">
      <dgm:prSet phldrT="[Tekst]" custT="1"/>
      <dgm:spPr/>
      <dgm:t>
        <a:bodyPr/>
        <a:lstStyle/>
        <a:p>
          <a:r>
            <a:rPr lang="pl-PL" sz="1000" b="1"/>
            <a:t>Wspólny Komitet Monitorujący</a:t>
          </a:r>
        </a:p>
        <a:p>
          <a:endParaRPr lang="pl-PL" sz="1000"/>
        </a:p>
        <a:p>
          <a:r>
            <a:rPr lang="pl-PL" sz="1000"/>
            <a:t>Przedstawiciele każdego państwa uczestniczącego</a:t>
          </a:r>
        </a:p>
        <a:p>
          <a:endParaRPr lang="pl-PL" sz="1000"/>
        </a:p>
        <a:p>
          <a:r>
            <a:rPr lang="pl-PL" sz="1000"/>
            <a:t>Organ decyzyjny, nadzór nad Programem</a:t>
          </a:r>
        </a:p>
      </dgm:t>
    </dgm:pt>
    <dgm:pt modelId="{73FB2FA7-FBDA-4471-9C1F-C977F60CE808}" type="parTrans" cxnId="{3A35F493-B403-4F4B-8304-BA2A2D4FBFED}">
      <dgm:prSet/>
      <dgm:spPr/>
      <dgm:t>
        <a:bodyPr/>
        <a:lstStyle/>
        <a:p>
          <a:endParaRPr lang="pl-PL"/>
        </a:p>
      </dgm:t>
    </dgm:pt>
    <dgm:pt modelId="{5C712BEF-88B1-4CC9-BFA1-F5A9BEF1F48F}" type="sibTrans" cxnId="{3A35F493-B403-4F4B-8304-BA2A2D4FBFED}">
      <dgm:prSet/>
      <dgm:spPr/>
      <dgm:t>
        <a:bodyPr/>
        <a:lstStyle/>
        <a:p>
          <a:endParaRPr lang="pl-PL"/>
        </a:p>
      </dgm:t>
    </dgm:pt>
    <dgm:pt modelId="{F121ED84-A79C-4854-8072-9EC383121252}">
      <dgm:prSet phldrT="[Tekst]" custT="1"/>
      <dgm:spPr/>
      <dgm:t>
        <a:bodyPr/>
        <a:lstStyle/>
        <a:p>
          <a:r>
            <a:rPr lang="pl-PL" sz="1000" b="1"/>
            <a:t>Instytucja Zarządzająca</a:t>
          </a:r>
        </a:p>
        <a:p>
          <a:endParaRPr lang="pl-PL" sz="1000"/>
        </a:p>
        <a:p>
          <a:r>
            <a:rPr lang="pl-PL" sz="1000"/>
            <a:t>Ministerstwo Inwestycji i Rozwoju Rzeczpospolitej Polskiej , Departament Współpracy Terytorialnej</a:t>
          </a:r>
        </a:p>
      </dgm:t>
    </dgm:pt>
    <dgm:pt modelId="{E02B1584-F7F2-4878-95B2-7656072ADF37}" type="parTrans" cxnId="{5E8F01C0-A319-4A26-98E3-74586A47F964}">
      <dgm:prSet/>
      <dgm:spPr>
        <a:ln>
          <a:noFill/>
        </a:ln>
        <a:effectLst/>
        <a:scene3d>
          <a:camera prst="orthographicFront">
            <a:rot lat="0" lon="0" rev="0"/>
          </a:camera>
          <a:lightRig rig="chilly" dir="t">
            <a:rot lat="0" lon="0" rev="18480000"/>
          </a:lightRig>
        </a:scene3d>
        <a:sp3d prstMaterial="clear">
          <a:bevelT h="63500"/>
        </a:sp3d>
      </dgm:spPr>
      <dgm:t>
        <a:bodyPr/>
        <a:lstStyle/>
        <a:p>
          <a:endParaRPr lang="pl-PL"/>
        </a:p>
      </dgm:t>
    </dgm:pt>
    <dgm:pt modelId="{6A8D38B1-9075-4488-8E3C-3CEC29DBAD24}" type="sibTrans" cxnId="{5E8F01C0-A319-4A26-98E3-74586A47F964}">
      <dgm:prSet/>
      <dgm:spPr/>
      <dgm:t>
        <a:bodyPr/>
        <a:lstStyle/>
        <a:p>
          <a:endParaRPr lang="pl-PL"/>
        </a:p>
      </dgm:t>
    </dgm:pt>
    <dgm:pt modelId="{8BE70DAC-C90A-49D4-BFFF-D8D21A0B2E92}">
      <dgm:prSet phldrT="[Tekst]" custT="1"/>
      <dgm:spPr/>
      <dgm:t>
        <a:bodyPr/>
        <a:lstStyle/>
        <a:p>
          <a:pPr algn="ctr"/>
          <a:r>
            <a:rPr lang="pl-PL" sz="1000" b="1"/>
            <a:t>Instytucje Krajowe w PL i RU</a:t>
          </a:r>
        </a:p>
        <a:p>
          <a:pPr algn="ctr"/>
          <a:endParaRPr lang="pl-PL" sz="1000"/>
        </a:p>
        <a:p>
          <a:pPr algn="ctr"/>
          <a:r>
            <a:rPr lang="pl-PL" sz="1000"/>
            <a:t>PL - Ministerstwo Inwestycji i Rozwoju Rzeczpospolitej Polskiej</a:t>
          </a:r>
        </a:p>
        <a:p>
          <a:pPr algn="ctr"/>
          <a:r>
            <a:rPr lang="pl-PL" sz="1000"/>
            <a:t>RU - Ministerstwo Rozwoju Godpodarczego Federacji Rosyjskiej</a:t>
          </a:r>
        </a:p>
      </dgm:t>
    </dgm:pt>
    <dgm:pt modelId="{E8F097E7-13D1-4035-9D6B-C4718F7EE6FD}" type="parTrans" cxnId="{27B4B490-C765-4696-B348-F37F789FEA84}">
      <dgm:prSet/>
      <dgm:spPr>
        <a:ln>
          <a:noFill/>
        </a:ln>
      </dgm:spPr>
      <dgm:t>
        <a:bodyPr/>
        <a:lstStyle/>
        <a:p>
          <a:endParaRPr lang="pl-PL"/>
        </a:p>
      </dgm:t>
    </dgm:pt>
    <dgm:pt modelId="{E6C0E15E-1D0F-4DE7-B044-5023D41067F8}" type="sibTrans" cxnId="{27B4B490-C765-4696-B348-F37F789FEA84}">
      <dgm:prSet/>
      <dgm:spPr/>
      <dgm:t>
        <a:bodyPr/>
        <a:lstStyle/>
        <a:p>
          <a:endParaRPr lang="pl-PL"/>
        </a:p>
      </dgm:t>
    </dgm:pt>
    <dgm:pt modelId="{EEA052E7-AB96-4ED7-AB86-06D729EC4902}">
      <dgm:prSet custT="1"/>
      <dgm:spPr/>
      <dgm:t>
        <a:bodyPr/>
        <a:lstStyle/>
        <a:p>
          <a:r>
            <a:rPr lang="pl-PL" sz="1000" b="1"/>
            <a:t>Wspólny Sekretariat Techniczny</a:t>
          </a:r>
        </a:p>
        <a:p>
          <a:endParaRPr lang="pl-PL" sz="1000"/>
        </a:p>
        <a:p>
          <a:r>
            <a:rPr lang="pl-PL" sz="1000"/>
            <a:t>Centrum Projektów Europejskich</a:t>
          </a:r>
        </a:p>
        <a:p>
          <a:r>
            <a:rPr lang="pl-PL" sz="1000"/>
            <a:t>Wspiera IZ i WKM w wykonywaniu ich właściwych funkcji</a:t>
          </a:r>
        </a:p>
      </dgm:t>
    </dgm:pt>
    <dgm:pt modelId="{5CD8EF7D-A40C-465B-B6B8-2C0C3F331252}" type="parTrans" cxnId="{73DD2FE7-5735-401D-851C-DD0B606427F0}">
      <dgm:prSet/>
      <dgm:spPr>
        <a:ln>
          <a:noFill/>
        </a:ln>
      </dgm:spPr>
      <dgm:t>
        <a:bodyPr/>
        <a:lstStyle/>
        <a:p>
          <a:endParaRPr lang="pl-PL"/>
        </a:p>
      </dgm:t>
    </dgm:pt>
    <dgm:pt modelId="{3FF43E5C-5267-42D7-82E8-BC6C51D20331}" type="sibTrans" cxnId="{73DD2FE7-5735-401D-851C-DD0B606427F0}">
      <dgm:prSet/>
      <dgm:spPr/>
      <dgm:t>
        <a:bodyPr/>
        <a:lstStyle/>
        <a:p>
          <a:endParaRPr lang="pl-PL"/>
        </a:p>
      </dgm:t>
    </dgm:pt>
    <dgm:pt modelId="{F3C04F27-A74A-485E-B5D9-69F0A2D44154}">
      <dgm:prSet custT="1"/>
      <dgm:spPr/>
      <dgm:t>
        <a:bodyPr/>
        <a:lstStyle/>
        <a:p>
          <a:r>
            <a:rPr lang="pl-PL" sz="1000" b="1"/>
            <a:t>Oddział w Rosji</a:t>
          </a:r>
        </a:p>
      </dgm:t>
    </dgm:pt>
    <dgm:pt modelId="{299BD133-5B84-4ADC-A2DE-C08678D147E0}" type="parTrans" cxnId="{F61308B2-7C1C-4D00-9443-9D107F9945FD}">
      <dgm:prSet/>
      <dgm:spPr>
        <a:ln>
          <a:noFill/>
        </a:ln>
      </dgm:spPr>
      <dgm:t>
        <a:bodyPr/>
        <a:lstStyle/>
        <a:p>
          <a:endParaRPr lang="pl-PL"/>
        </a:p>
      </dgm:t>
    </dgm:pt>
    <dgm:pt modelId="{1AF8D35E-0B61-404B-B324-3A9EDFF8E299}" type="sibTrans" cxnId="{F61308B2-7C1C-4D00-9443-9D107F9945FD}">
      <dgm:prSet/>
      <dgm:spPr/>
      <dgm:t>
        <a:bodyPr/>
        <a:lstStyle/>
        <a:p>
          <a:endParaRPr lang="pl-PL"/>
        </a:p>
      </dgm:t>
    </dgm:pt>
    <dgm:pt modelId="{E11D97A3-D959-4F45-BD92-55C9B06D16BF}" type="pres">
      <dgm:prSet presAssocID="{91CD336E-6B75-4D2F-B45C-8F523C332773}" presName="hierChild1" presStyleCnt="0">
        <dgm:presLayoutVars>
          <dgm:chPref val="1"/>
          <dgm:dir/>
          <dgm:animOne val="branch"/>
          <dgm:animLvl val="lvl"/>
          <dgm:resizeHandles/>
        </dgm:presLayoutVars>
      </dgm:prSet>
      <dgm:spPr/>
      <dgm:t>
        <a:bodyPr/>
        <a:lstStyle/>
        <a:p>
          <a:endParaRPr lang="pl-PL"/>
        </a:p>
      </dgm:t>
    </dgm:pt>
    <dgm:pt modelId="{5EBEACF9-80A9-48B9-BDAB-947C9F740138}" type="pres">
      <dgm:prSet presAssocID="{38CB82A0-54EA-4D01-BA76-D2B99B32792D}" presName="hierRoot1" presStyleCnt="0"/>
      <dgm:spPr/>
    </dgm:pt>
    <dgm:pt modelId="{665CAAB7-3C6E-4D9E-9BD4-042F875EFB35}" type="pres">
      <dgm:prSet presAssocID="{38CB82A0-54EA-4D01-BA76-D2B99B32792D}" presName="composite" presStyleCnt="0"/>
      <dgm:spPr/>
    </dgm:pt>
    <dgm:pt modelId="{9E4422F4-1523-4403-B729-B9172274383E}" type="pres">
      <dgm:prSet presAssocID="{38CB82A0-54EA-4D01-BA76-D2B99B32792D}" presName="background" presStyleLbl="node0" presStyleIdx="0" presStyleCnt="1"/>
      <dgm:spPr>
        <a:ln>
          <a:noFill/>
        </a:ln>
        <a:scene3d>
          <a:camera prst="orthographicFront"/>
          <a:lightRig rig="flat" dir="t"/>
        </a:scene3d>
      </dgm:spPr>
    </dgm:pt>
    <dgm:pt modelId="{69B49D04-FE3B-4FED-852A-8162AEB0CC49}" type="pres">
      <dgm:prSet presAssocID="{38CB82A0-54EA-4D01-BA76-D2B99B32792D}" presName="text" presStyleLbl="fgAcc0" presStyleIdx="0" presStyleCnt="1" custScaleX="195468" custScaleY="112478">
        <dgm:presLayoutVars>
          <dgm:chPref val="3"/>
        </dgm:presLayoutVars>
      </dgm:prSet>
      <dgm:spPr/>
      <dgm:t>
        <a:bodyPr/>
        <a:lstStyle/>
        <a:p>
          <a:endParaRPr lang="pl-PL"/>
        </a:p>
      </dgm:t>
    </dgm:pt>
    <dgm:pt modelId="{DFBE72B0-B24D-4DAF-9FD8-6E7B662B7990}" type="pres">
      <dgm:prSet presAssocID="{38CB82A0-54EA-4D01-BA76-D2B99B32792D}" presName="hierChild2" presStyleCnt="0"/>
      <dgm:spPr/>
    </dgm:pt>
    <dgm:pt modelId="{462765DC-A672-44BB-AC0A-C037183ADB32}" type="pres">
      <dgm:prSet presAssocID="{E02B1584-F7F2-4878-95B2-7656072ADF37}" presName="Name10" presStyleLbl="parChTrans1D2" presStyleIdx="0" presStyleCnt="1"/>
      <dgm:spPr/>
      <dgm:t>
        <a:bodyPr/>
        <a:lstStyle/>
        <a:p>
          <a:endParaRPr lang="pl-PL"/>
        </a:p>
      </dgm:t>
    </dgm:pt>
    <dgm:pt modelId="{5E346F1B-D876-4A0A-B045-739FDEA0CB97}" type="pres">
      <dgm:prSet presAssocID="{F121ED84-A79C-4854-8072-9EC383121252}" presName="hierRoot2" presStyleCnt="0"/>
      <dgm:spPr/>
    </dgm:pt>
    <dgm:pt modelId="{39E37123-DA5D-426C-B0AB-51D5D2248ECD}" type="pres">
      <dgm:prSet presAssocID="{F121ED84-A79C-4854-8072-9EC383121252}" presName="composite2" presStyleCnt="0"/>
      <dgm:spPr/>
    </dgm:pt>
    <dgm:pt modelId="{D1206613-9642-446D-9CBC-07FA69EA56C3}" type="pres">
      <dgm:prSet presAssocID="{F121ED84-A79C-4854-8072-9EC383121252}" presName="background2" presStyleLbl="node2" presStyleIdx="0" presStyleCnt="1"/>
      <dgm:spPr/>
    </dgm:pt>
    <dgm:pt modelId="{020A79BF-9A7C-4589-869D-BEA698CA5503}" type="pres">
      <dgm:prSet presAssocID="{F121ED84-A79C-4854-8072-9EC383121252}" presName="text2" presStyleLbl="fgAcc2" presStyleIdx="0" presStyleCnt="1" custScaleX="128735" custScaleY="142018">
        <dgm:presLayoutVars>
          <dgm:chPref val="3"/>
        </dgm:presLayoutVars>
      </dgm:prSet>
      <dgm:spPr/>
      <dgm:t>
        <a:bodyPr/>
        <a:lstStyle/>
        <a:p>
          <a:endParaRPr lang="pl-PL"/>
        </a:p>
      </dgm:t>
    </dgm:pt>
    <dgm:pt modelId="{7622EB80-C534-40E9-95AD-01AFA1400D4C}" type="pres">
      <dgm:prSet presAssocID="{F121ED84-A79C-4854-8072-9EC383121252}" presName="hierChild3" presStyleCnt="0"/>
      <dgm:spPr/>
    </dgm:pt>
    <dgm:pt modelId="{AFAE6D09-1CFB-42D5-A6AC-62085CEAD88F}" type="pres">
      <dgm:prSet presAssocID="{E8F097E7-13D1-4035-9D6B-C4718F7EE6FD}" presName="Name17" presStyleLbl="parChTrans1D3" presStyleIdx="0" presStyleCnt="2"/>
      <dgm:spPr/>
      <dgm:t>
        <a:bodyPr/>
        <a:lstStyle/>
        <a:p>
          <a:endParaRPr lang="pl-PL"/>
        </a:p>
      </dgm:t>
    </dgm:pt>
    <dgm:pt modelId="{85C00E83-3E03-4A7D-BA77-332269FE387E}" type="pres">
      <dgm:prSet presAssocID="{8BE70DAC-C90A-49D4-BFFF-D8D21A0B2E92}" presName="hierRoot3" presStyleCnt="0"/>
      <dgm:spPr/>
    </dgm:pt>
    <dgm:pt modelId="{92C9E3E9-CF36-4A9F-8012-AAAD425E5BF9}" type="pres">
      <dgm:prSet presAssocID="{8BE70DAC-C90A-49D4-BFFF-D8D21A0B2E92}" presName="composite3" presStyleCnt="0"/>
      <dgm:spPr/>
    </dgm:pt>
    <dgm:pt modelId="{A887967D-7493-4D67-86EF-C7E356E75D96}" type="pres">
      <dgm:prSet presAssocID="{8BE70DAC-C90A-49D4-BFFF-D8D21A0B2E92}" presName="background3" presStyleLbl="node3" presStyleIdx="0" presStyleCnt="2"/>
      <dgm:spPr/>
    </dgm:pt>
    <dgm:pt modelId="{F860EC7A-EBCA-4A64-950B-444F4C2670CF}" type="pres">
      <dgm:prSet presAssocID="{8BE70DAC-C90A-49D4-BFFF-D8D21A0B2E92}" presName="text3" presStyleLbl="fgAcc3" presStyleIdx="0" presStyleCnt="2" custScaleX="144221" custScaleY="125632">
        <dgm:presLayoutVars>
          <dgm:chPref val="3"/>
        </dgm:presLayoutVars>
      </dgm:prSet>
      <dgm:spPr/>
      <dgm:t>
        <a:bodyPr/>
        <a:lstStyle/>
        <a:p>
          <a:endParaRPr lang="pl-PL"/>
        </a:p>
      </dgm:t>
    </dgm:pt>
    <dgm:pt modelId="{59B63455-22CE-4B55-83B7-467F64E768DD}" type="pres">
      <dgm:prSet presAssocID="{8BE70DAC-C90A-49D4-BFFF-D8D21A0B2E92}" presName="hierChild4" presStyleCnt="0"/>
      <dgm:spPr/>
    </dgm:pt>
    <dgm:pt modelId="{162E2909-32FD-471A-A55C-19411A078145}" type="pres">
      <dgm:prSet presAssocID="{5CD8EF7D-A40C-465B-B6B8-2C0C3F331252}" presName="Name17" presStyleLbl="parChTrans1D3" presStyleIdx="1" presStyleCnt="2"/>
      <dgm:spPr/>
      <dgm:t>
        <a:bodyPr/>
        <a:lstStyle/>
        <a:p>
          <a:endParaRPr lang="pl-PL"/>
        </a:p>
      </dgm:t>
    </dgm:pt>
    <dgm:pt modelId="{4B535EDE-BBA6-4BD3-A9BC-37C7D2919548}" type="pres">
      <dgm:prSet presAssocID="{EEA052E7-AB96-4ED7-AB86-06D729EC4902}" presName="hierRoot3" presStyleCnt="0"/>
      <dgm:spPr/>
    </dgm:pt>
    <dgm:pt modelId="{BBA0413F-36CE-4912-A7D9-4F44E35D1211}" type="pres">
      <dgm:prSet presAssocID="{EEA052E7-AB96-4ED7-AB86-06D729EC4902}" presName="composite3" presStyleCnt="0"/>
      <dgm:spPr/>
    </dgm:pt>
    <dgm:pt modelId="{6FF4CC0A-AEB2-456D-92E3-DD29ECCE1CB0}" type="pres">
      <dgm:prSet presAssocID="{EEA052E7-AB96-4ED7-AB86-06D729EC4902}" presName="background3" presStyleLbl="node3" presStyleIdx="1" presStyleCnt="2"/>
      <dgm:spPr/>
    </dgm:pt>
    <dgm:pt modelId="{984B2ED4-1B22-400A-8E4D-F1162AA41860}" type="pres">
      <dgm:prSet presAssocID="{EEA052E7-AB96-4ED7-AB86-06D729EC4902}" presName="text3" presStyleLbl="fgAcc3" presStyleIdx="1" presStyleCnt="2" custScaleX="118783" custScaleY="119188">
        <dgm:presLayoutVars>
          <dgm:chPref val="3"/>
        </dgm:presLayoutVars>
      </dgm:prSet>
      <dgm:spPr/>
      <dgm:t>
        <a:bodyPr/>
        <a:lstStyle/>
        <a:p>
          <a:endParaRPr lang="pl-PL"/>
        </a:p>
      </dgm:t>
    </dgm:pt>
    <dgm:pt modelId="{A59A1317-B8FB-4207-8C1C-D7D2BF509D56}" type="pres">
      <dgm:prSet presAssocID="{EEA052E7-AB96-4ED7-AB86-06D729EC4902}" presName="hierChild4" presStyleCnt="0"/>
      <dgm:spPr/>
    </dgm:pt>
    <dgm:pt modelId="{AB96A170-1AC5-4CEC-9677-59A11A7A4216}" type="pres">
      <dgm:prSet presAssocID="{299BD133-5B84-4ADC-A2DE-C08678D147E0}" presName="Name23" presStyleLbl="parChTrans1D4" presStyleIdx="0" presStyleCnt="1"/>
      <dgm:spPr/>
      <dgm:t>
        <a:bodyPr/>
        <a:lstStyle/>
        <a:p>
          <a:endParaRPr lang="pl-PL"/>
        </a:p>
      </dgm:t>
    </dgm:pt>
    <dgm:pt modelId="{263A4CD4-D378-4E8E-92AF-A3DF97315F78}" type="pres">
      <dgm:prSet presAssocID="{F3C04F27-A74A-485E-B5D9-69F0A2D44154}" presName="hierRoot4" presStyleCnt="0"/>
      <dgm:spPr/>
    </dgm:pt>
    <dgm:pt modelId="{7D553234-47BF-4E78-B41B-0CEF04617BBB}" type="pres">
      <dgm:prSet presAssocID="{F3C04F27-A74A-485E-B5D9-69F0A2D44154}" presName="composite4" presStyleCnt="0"/>
      <dgm:spPr/>
    </dgm:pt>
    <dgm:pt modelId="{2B844CE6-60A3-4D1B-A90F-6ADCBC95D45E}" type="pres">
      <dgm:prSet presAssocID="{F3C04F27-A74A-485E-B5D9-69F0A2D44154}" presName="background4" presStyleLbl="node4" presStyleIdx="0" presStyleCnt="1"/>
      <dgm:spPr/>
    </dgm:pt>
    <dgm:pt modelId="{DC5DA891-895D-41A2-87A1-75782D2F3740}" type="pres">
      <dgm:prSet presAssocID="{F3C04F27-A74A-485E-B5D9-69F0A2D44154}" presName="text4" presStyleLbl="fgAcc4" presStyleIdx="0" presStyleCnt="1" custScaleY="36443">
        <dgm:presLayoutVars>
          <dgm:chPref val="3"/>
        </dgm:presLayoutVars>
      </dgm:prSet>
      <dgm:spPr/>
      <dgm:t>
        <a:bodyPr/>
        <a:lstStyle/>
        <a:p>
          <a:endParaRPr lang="pl-PL"/>
        </a:p>
      </dgm:t>
    </dgm:pt>
    <dgm:pt modelId="{50E49122-5D64-4E5C-BC37-3E6BBF8CADE4}" type="pres">
      <dgm:prSet presAssocID="{F3C04F27-A74A-485E-B5D9-69F0A2D44154}" presName="hierChild5" presStyleCnt="0"/>
      <dgm:spPr/>
    </dgm:pt>
  </dgm:ptLst>
  <dgm:cxnLst>
    <dgm:cxn modelId="{73DD2FE7-5735-401D-851C-DD0B606427F0}" srcId="{F121ED84-A79C-4854-8072-9EC383121252}" destId="{EEA052E7-AB96-4ED7-AB86-06D729EC4902}" srcOrd="1" destOrd="0" parTransId="{5CD8EF7D-A40C-465B-B6B8-2C0C3F331252}" sibTransId="{3FF43E5C-5267-42D7-82E8-BC6C51D20331}"/>
    <dgm:cxn modelId="{9719EB17-66D8-4A19-B1C7-87813D310332}" type="presOf" srcId="{299BD133-5B84-4ADC-A2DE-C08678D147E0}" destId="{AB96A170-1AC5-4CEC-9677-59A11A7A4216}" srcOrd="0" destOrd="0" presId="urn:microsoft.com/office/officeart/2005/8/layout/hierarchy1"/>
    <dgm:cxn modelId="{075860B3-994B-47E3-BEF4-F65982F5A071}" type="presOf" srcId="{E8F097E7-13D1-4035-9D6B-C4718F7EE6FD}" destId="{AFAE6D09-1CFB-42D5-A6AC-62085CEAD88F}" srcOrd="0" destOrd="0" presId="urn:microsoft.com/office/officeart/2005/8/layout/hierarchy1"/>
    <dgm:cxn modelId="{F61308B2-7C1C-4D00-9443-9D107F9945FD}" srcId="{EEA052E7-AB96-4ED7-AB86-06D729EC4902}" destId="{F3C04F27-A74A-485E-B5D9-69F0A2D44154}" srcOrd="0" destOrd="0" parTransId="{299BD133-5B84-4ADC-A2DE-C08678D147E0}" sibTransId="{1AF8D35E-0B61-404B-B324-3A9EDFF8E299}"/>
    <dgm:cxn modelId="{5E8F01C0-A319-4A26-98E3-74586A47F964}" srcId="{38CB82A0-54EA-4D01-BA76-D2B99B32792D}" destId="{F121ED84-A79C-4854-8072-9EC383121252}" srcOrd="0" destOrd="0" parTransId="{E02B1584-F7F2-4878-95B2-7656072ADF37}" sibTransId="{6A8D38B1-9075-4488-8E3C-3CEC29DBAD24}"/>
    <dgm:cxn modelId="{14C4CAE5-D188-40C8-853F-9972822DC8EA}" type="presOf" srcId="{E02B1584-F7F2-4878-95B2-7656072ADF37}" destId="{462765DC-A672-44BB-AC0A-C037183ADB32}" srcOrd="0" destOrd="0" presId="urn:microsoft.com/office/officeart/2005/8/layout/hierarchy1"/>
    <dgm:cxn modelId="{7F1AFA4C-D6AE-40BE-BECA-E483AB69B5CC}" type="presOf" srcId="{5CD8EF7D-A40C-465B-B6B8-2C0C3F331252}" destId="{162E2909-32FD-471A-A55C-19411A078145}" srcOrd="0" destOrd="0" presId="urn:microsoft.com/office/officeart/2005/8/layout/hierarchy1"/>
    <dgm:cxn modelId="{61845859-EEF2-4149-8068-45A83342C573}" type="presOf" srcId="{8BE70DAC-C90A-49D4-BFFF-D8D21A0B2E92}" destId="{F860EC7A-EBCA-4A64-950B-444F4C2670CF}" srcOrd="0" destOrd="0" presId="urn:microsoft.com/office/officeart/2005/8/layout/hierarchy1"/>
    <dgm:cxn modelId="{3A35F493-B403-4F4B-8304-BA2A2D4FBFED}" srcId="{91CD336E-6B75-4D2F-B45C-8F523C332773}" destId="{38CB82A0-54EA-4D01-BA76-D2B99B32792D}" srcOrd="0" destOrd="0" parTransId="{73FB2FA7-FBDA-4471-9C1F-C977F60CE808}" sibTransId="{5C712BEF-88B1-4CC9-BFA1-F5A9BEF1F48F}"/>
    <dgm:cxn modelId="{7378AF6B-DEEF-4248-91DA-A3B8DDF6D147}" type="presOf" srcId="{F121ED84-A79C-4854-8072-9EC383121252}" destId="{020A79BF-9A7C-4589-869D-BEA698CA5503}" srcOrd="0" destOrd="0" presId="urn:microsoft.com/office/officeart/2005/8/layout/hierarchy1"/>
    <dgm:cxn modelId="{27B4B490-C765-4696-B348-F37F789FEA84}" srcId="{F121ED84-A79C-4854-8072-9EC383121252}" destId="{8BE70DAC-C90A-49D4-BFFF-D8D21A0B2E92}" srcOrd="0" destOrd="0" parTransId="{E8F097E7-13D1-4035-9D6B-C4718F7EE6FD}" sibTransId="{E6C0E15E-1D0F-4DE7-B044-5023D41067F8}"/>
    <dgm:cxn modelId="{2958FF8B-EF14-4E65-BBE2-DABBF9532B4E}" type="presOf" srcId="{91CD336E-6B75-4D2F-B45C-8F523C332773}" destId="{E11D97A3-D959-4F45-BD92-55C9B06D16BF}" srcOrd="0" destOrd="0" presId="urn:microsoft.com/office/officeart/2005/8/layout/hierarchy1"/>
    <dgm:cxn modelId="{BE8355B8-C8C5-4E84-9494-13457F6F618D}" type="presOf" srcId="{EEA052E7-AB96-4ED7-AB86-06D729EC4902}" destId="{984B2ED4-1B22-400A-8E4D-F1162AA41860}" srcOrd="0" destOrd="0" presId="urn:microsoft.com/office/officeart/2005/8/layout/hierarchy1"/>
    <dgm:cxn modelId="{FBA811AA-F51F-4B19-8CC0-3936A7EF211F}" type="presOf" srcId="{F3C04F27-A74A-485E-B5D9-69F0A2D44154}" destId="{DC5DA891-895D-41A2-87A1-75782D2F3740}" srcOrd="0" destOrd="0" presId="urn:microsoft.com/office/officeart/2005/8/layout/hierarchy1"/>
    <dgm:cxn modelId="{FAF1667E-0B2A-48DF-9F2B-1C3FCE962165}" type="presOf" srcId="{38CB82A0-54EA-4D01-BA76-D2B99B32792D}" destId="{69B49D04-FE3B-4FED-852A-8162AEB0CC49}" srcOrd="0" destOrd="0" presId="urn:microsoft.com/office/officeart/2005/8/layout/hierarchy1"/>
    <dgm:cxn modelId="{9EA3C89A-8C88-4D90-A866-FCA7FCF1222B}" type="presParOf" srcId="{E11D97A3-D959-4F45-BD92-55C9B06D16BF}" destId="{5EBEACF9-80A9-48B9-BDAB-947C9F740138}" srcOrd="0" destOrd="0" presId="urn:microsoft.com/office/officeart/2005/8/layout/hierarchy1"/>
    <dgm:cxn modelId="{256D0738-10D1-4AE5-85A5-6E7E8EA9D663}" type="presParOf" srcId="{5EBEACF9-80A9-48B9-BDAB-947C9F740138}" destId="{665CAAB7-3C6E-4D9E-9BD4-042F875EFB35}" srcOrd="0" destOrd="0" presId="urn:microsoft.com/office/officeart/2005/8/layout/hierarchy1"/>
    <dgm:cxn modelId="{AD12A618-0A87-4B21-A3BD-4580A8E2F165}" type="presParOf" srcId="{665CAAB7-3C6E-4D9E-9BD4-042F875EFB35}" destId="{9E4422F4-1523-4403-B729-B9172274383E}" srcOrd="0" destOrd="0" presId="urn:microsoft.com/office/officeart/2005/8/layout/hierarchy1"/>
    <dgm:cxn modelId="{8F9CEF30-0B61-4593-84BC-C35651B104CD}" type="presParOf" srcId="{665CAAB7-3C6E-4D9E-9BD4-042F875EFB35}" destId="{69B49D04-FE3B-4FED-852A-8162AEB0CC49}" srcOrd="1" destOrd="0" presId="urn:microsoft.com/office/officeart/2005/8/layout/hierarchy1"/>
    <dgm:cxn modelId="{71215FA0-A1A6-4F00-B848-D7827157613F}" type="presParOf" srcId="{5EBEACF9-80A9-48B9-BDAB-947C9F740138}" destId="{DFBE72B0-B24D-4DAF-9FD8-6E7B662B7990}" srcOrd="1" destOrd="0" presId="urn:microsoft.com/office/officeart/2005/8/layout/hierarchy1"/>
    <dgm:cxn modelId="{75294993-2923-4D1B-90BC-EC156D4281C4}" type="presParOf" srcId="{DFBE72B0-B24D-4DAF-9FD8-6E7B662B7990}" destId="{462765DC-A672-44BB-AC0A-C037183ADB32}" srcOrd="0" destOrd="0" presId="urn:microsoft.com/office/officeart/2005/8/layout/hierarchy1"/>
    <dgm:cxn modelId="{E37AC24A-EEF6-4909-8995-A15A9245710E}" type="presParOf" srcId="{DFBE72B0-B24D-4DAF-9FD8-6E7B662B7990}" destId="{5E346F1B-D876-4A0A-B045-739FDEA0CB97}" srcOrd="1" destOrd="0" presId="urn:microsoft.com/office/officeart/2005/8/layout/hierarchy1"/>
    <dgm:cxn modelId="{29C430CC-55E2-4592-9D53-EE621EF3A2CB}" type="presParOf" srcId="{5E346F1B-D876-4A0A-B045-739FDEA0CB97}" destId="{39E37123-DA5D-426C-B0AB-51D5D2248ECD}" srcOrd="0" destOrd="0" presId="urn:microsoft.com/office/officeart/2005/8/layout/hierarchy1"/>
    <dgm:cxn modelId="{A4DE86EE-291B-4EB6-9D91-271E16576509}" type="presParOf" srcId="{39E37123-DA5D-426C-B0AB-51D5D2248ECD}" destId="{D1206613-9642-446D-9CBC-07FA69EA56C3}" srcOrd="0" destOrd="0" presId="urn:microsoft.com/office/officeart/2005/8/layout/hierarchy1"/>
    <dgm:cxn modelId="{53601265-5667-4E55-B4BD-6DD02D8E69DA}" type="presParOf" srcId="{39E37123-DA5D-426C-B0AB-51D5D2248ECD}" destId="{020A79BF-9A7C-4589-869D-BEA698CA5503}" srcOrd="1" destOrd="0" presId="urn:microsoft.com/office/officeart/2005/8/layout/hierarchy1"/>
    <dgm:cxn modelId="{D14AB92C-E535-4C9D-892F-B3F3ADA47527}" type="presParOf" srcId="{5E346F1B-D876-4A0A-B045-739FDEA0CB97}" destId="{7622EB80-C534-40E9-95AD-01AFA1400D4C}" srcOrd="1" destOrd="0" presId="urn:microsoft.com/office/officeart/2005/8/layout/hierarchy1"/>
    <dgm:cxn modelId="{0822FD0A-2AE6-493C-A4C1-5490CA41683E}" type="presParOf" srcId="{7622EB80-C534-40E9-95AD-01AFA1400D4C}" destId="{AFAE6D09-1CFB-42D5-A6AC-62085CEAD88F}" srcOrd="0" destOrd="0" presId="urn:microsoft.com/office/officeart/2005/8/layout/hierarchy1"/>
    <dgm:cxn modelId="{0564C738-C421-4FDB-AA93-A6F59CF91C9D}" type="presParOf" srcId="{7622EB80-C534-40E9-95AD-01AFA1400D4C}" destId="{85C00E83-3E03-4A7D-BA77-332269FE387E}" srcOrd="1" destOrd="0" presId="urn:microsoft.com/office/officeart/2005/8/layout/hierarchy1"/>
    <dgm:cxn modelId="{7D531A7D-44A8-4ECD-AD35-DBD43DA87776}" type="presParOf" srcId="{85C00E83-3E03-4A7D-BA77-332269FE387E}" destId="{92C9E3E9-CF36-4A9F-8012-AAAD425E5BF9}" srcOrd="0" destOrd="0" presId="urn:microsoft.com/office/officeart/2005/8/layout/hierarchy1"/>
    <dgm:cxn modelId="{E1B907CC-05CB-4323-A475-C323C6912C9E}" type="presParOf" srcId="{92C9E3E9-CF36-4A9F-8012-AAAD425E5BF9}" destId="{A887967D-7493-4D67-86EF-C7E356E75D96}" srcOrd="0" destOrd="0" presId="urn:microsoft.com/office/officeart/2005/8/layout/hierarchy1"/>
    <dgm:cxn modelId="{92EEB5F1-6760-4A7F-A317-4D0E04FDAFA1}" type="presParOf" srcId="{92C9E3E9-CF36-4A9F-8012-AAAD425E5BF9}" destId="{F860EC7A-EBCA-4A64-950B-444F4C2670CF}" srcOrd="1" destOrd="0" presId="urn:microsoft.com/office/officeart/2005/8/layout/hierarchy1"/>
    <dgm:cxn modelId="{0B867382-7E86-4EEC-BDC9-FCD3C691DAD0}" type="presParOf" srcId="{85C00E83-3E03-4A7D-BA77-332269FE387E}" destId="{59B63455-22CE-4B55-83B7-467F64E768DD}" srcOrd="1" destOrd="0" presId="urn:microsoft.com/office/officeart/2005/8/layout/hierarchy1"/>
    <dgm:cxn modelId="{20C5740D-3B8F-4651-A0A5-C978A05668B0}" type="presParOf" srcId="{7622EB80-C534-40E9-95AD-01AFA1400D4C}" destId="{162E2909-32FD-471A-A55C-19411A078145}" srcOrd="2" destOrd="0" presId="urn:microsoft.com/office/officeart/2005/8/layout/hierarchy1"/>
    <dgm:cxn modelId="{5F439000-9BB4-4988-B665-C2850C913F24}" type="presParOf" srcId="{7622EB80-C534-40E9-95AD-01AFA1400D4C}" destId="{4B535EDE-BBA6-4BD3-A9BC-37C7D2919548}" srcOrd="3" destOrd="0" presId="urn:microsoft.com/office/officeart/2005/8/layout/hierarchy1"/>
    <dgm:cxn modelId="{5D64100F-FB41-4E46-A35A-0B3306129F46}" type="presParOf" srcId="{4B535EDE-BBA6-4BD3-A9BC-37C7D2919548}" destId="{BBA0413F-36CE-4912-A7D9-4F44E35D1211}" srcOrd="0" destOrd="0" presId="urn:microsoft.com/office/officeart/2005/8/layout/hierarchy1"/>
    <dgm:cxn modelId="{BC6D74C5-E1A4-46A0-99E8-E93B63E61064}" type="presParOf" srcId="{BBA0413F-36CE-4912-A7D9-4F44E35D1211}" destId="{6FF4CC0A-AEB2-456D-92E3-DD29ECCE1CB0}" srcOrd="0" destOrd="0" presId="urn:microsoft.com/office/officeart/2005/8/layout/hierarchy1"/>
    <dgm:cxn modelId="{7431ABDC-8BE5-426D-AE16-1C31718E1DF0}" type="presParOf" srcId="{BBA0413F-36CE-4912-A7D9-4F44E35D1211}" destId="{984B2ED4-1B22-400A-8E4D-F1162AA41860}" srcOrd="1" destOrd="0" presId="urn:microsoft.com/office/officeart/2005/8/layout/hierarchy1"/>
    <dgm:cxn modelId="{EC991624-F57F-4B85-9509-6D8C460A88A2}" type="presParOf" srcId="{4B535EDE-BBA6-4BD3-A9BC-37C7D2919548}" destId="{A59A1317-B8FB-4207-8C1C-D7D2BF509D56}" srcOrd="1" destOrd="0" presId="urn:microsoft.com/office/officeart/2005/8/layout/hierarchy1"/>
    <dgm:cxn modelId="{5C7EAC40-36C3-42AA-A1F4-32A97242600D}" type="presParOf" srcId="{A59A1317-B8FB-4207-8C1C-D7D2BF509D56}" destId="{AB96A170-1AC5-4CEC-9677-59A11A7A4216}" srcOrd="0" destOrd="0" presId="urn:microsoft.com/office/officeart/2005/8/layout/hierarchy1"/>
    <dgm:cxn modelId="{DDC077E2-C964-476B-B60D-0D8AFA352F71}" type="presParOf" srcId="{A59A1317-B8FB-4207-8C1C-D7D2BF509D56}" destId="{263A4CD4-D378-4E8E-92AF-A3DF97315F78}" srcOrd="1" destOrd="0" presId="urn:microsoft.com/office/officeart/2005/8/layout/hierarchy1"/>
    <dgm:cxn modelId="{297FCC9D-908C-4CC8-9CC9-741B5E0EC15F}" type="presParOf" srcId="{263A4CD4-D378-4E8E-92AF-A3DF97315F78}" destId="{7D553234-47BF-4E78-B41B-0CEF04617BBB}" srcOrd="0" destOrd="0" presId="urn:microsoft.com/office/officeart/2005/8/layout/hierarchy1"/>
    <dgm:cxn modelId="{904E7FB8-5236-43B4-8931-8DA0DC558716}" type="presParOf" srcId="{7D553234-47BF-4E78-B41B-0CEF04617BBB}" destId="{2B844CE6-60A3-4D1B-A90F-6ADCBC95D45E}" srcOrd="0" destOrd="0" presId="urn:microsoft.com/office/officeart/2005/8/layout/hierarchy1"/>
    <dgm:cxn modelId="{0564E3E3-FEAF-456C-BD7C-3DEA9B74735F}" type="presParOf" srcId="{7D553234-47BF-4E78-B41B-0CEF04617BBB}" destId="{DC5DA891-895D-41A2-87A1-75782D2F3740}" srcOrd="1" destOrd="0" presId="urn:microsoft.com/office/officeart/2005/8/layout/hierarchy1"/>
    <dgm:cxn modelId="{045644F1-0A3C-4CD6-9AFB-4F0F52D617EE}" type="presParOf" srcId="{263A4CD4-D378-4E8E-92AF-A3DF97315F78}" destId="{50E49122-5D64-4E5C-BC37-3E6BBF8CADE4}" srcOrd="1" destOrd="0" presId="urn:microsoft.com/office/officeart/2005/8/layout/hierarchy1"/>
  </dgm:cxnLst>
  <dgm:bg/>
  <dgm:whole>
    <a:ln w="6350"/>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CD336E-6B75-4D2F-B45C-8F523C332773}"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pl-PL"/>
        </a:p>
      </dgm:t>
    </dgm:pt>
    <dgm:pt modelId="{38CB82A0-54EA-4D01-BA76-D2B99B32792D}">
      <dgm:prSet phldrT="[Tekst]" custT="1"/>
      <dgm:spPr/>
      <dgm:t>
        <a:bodyPr/>
        <a:lstStyle/>
        <a:p>
          <a:r>
            <a:rPr lang="pl-PL" sz="1000" b="1"/>
            <a:t>Niezależni audytorzy</a:t>
          </a:r>
        </a:p>
        <a:p>
          <a:endParaRPr lang="pl-PL" sz="1000"/>
        </a:p>
        <a:p>
          <a:r>
            <a:rPr lang="pl-PL" sz="1000"/>
            <a:t>Kontrola wydatków na poziomie projektu</a:t>
          </a:r>
        </a:p>
      </dgm:t>
    </dgm:pt>
    <dgm:pt modelId="{73FB2FA7-FBDA-4471-9C1F-C977F60CE808}" type="parTrans" cxnId="{3A35F493-B403-4F4B-8304-BA2A2D4FBFED}">
      <dgm:prSet/>
      <dgm:spPr/>
      <dgm:t>
        <a:bodyPr/>
        <a:lstStyle/>
        <a:p>
          <a:endParaRPr lang="pl-PL"/>
        </a:p>
      </dgm:t>
    </dgm:pt>
    <dgm:pt modelId="{5C712BEF-88B1-4CC9-BFA1-F5A9BEF1F48F}" type="sibTrans" cxnId="{3A35F493-B403-4F4B-8304-BA2A2D4FBFED}">
      <dgm:prSet/>
      <dgm:spPr/>
      <dgm:t>
        <a:bodyPr/>
        <a:lstStyle/>
        <a:p>
          <a:endParaRPr lang="pl-PL"/>
        </a:p>
      </dgm:t>
    </dgm:pt>
    <dgm:pt modelId="{F121ED84-A79C-4854-8072-9EC383121252}">
      <dgm:prSet phldrT="[Tekst]" custT="1"/>
      <dgm:spPr/>
      <dgm:t>
        <a:bodyPr/>
        <a:lstStyle/>
        <a:p>
          <a:r>
            <a:rPr lang="pl-PL" sz="1000" b="1"/>
            <a:t>Instytucja Zarządzająca</a:t>
          </a:r>
        </a:p>
        <a:p>
          <a:endParaRPr lang="pl-PL" sz="1000"/>
        </a:p>
        <a:p>
          <a:r>
            <a:rPr lang="pl-PL" sz="1000"/>
            <a:t>Ministerstwo Inwestycji i Rozwoju Rzeczpospolitej Polskiej, Departament Współpracy Terytorialnej</a:t>
          </a:r>
        </a:p>
        <a:p>
          <a:r>
            <a:rPr lang="pl-PL" sz="1000"/>
            <a:t>Ma własne zadania kontrolne i przeprowadza własną weryfikację</a:t>
          </a:r>
        </a:p>
        <a:p>
          <a:endParaRPr lang="pl-PL" sz="1000"/>
        </a:p>
        <a:p>
          <a:r>
            <a:rPr lang="pl-PL" sz="1000"/>
            <a:t>Weryfikuje wydatki w ramach Pomocy Technicznej</a:t>
          </a:r>
        </a:p>
      </dgm:t>
    </dgm:pt>
    <dgm:pt modelId="{E02B1584-F7F2-4878-95B2-7656072ADF37}" type="parTrans" cxnId="{5E8F01C0-A319-4A26-98E3-74586A47F964}">
      <dgm:prSet/>
      <dgm:spPr>
        <a:ln>
          <a:noFill/>
        </a:ln>
        <a:effectLst/>
        <a:scene3d>
          <a:camera prst="orthographicFront">
            <a:rot lat="0" lon="0" rev="0"/>
          </a:camera>
          <a:lightRig rig="chilly" dir="t">
            <a:rot lat="0" lon="0" rev="18480000"/>
          </a:lightRig>
        </a:scene3d>
        <a:sp3d prstMaterial="clear">
          <a:bevelT h="63500"/>
        </a:sp3d>
      </dgm:spPr>
      <dgm:t>
        <a:bodyPr/>
        <a:lstStyle/>
        <a:p>
          <a:endParaRPr lang="pl-PL"/>
        </a:p>
      </dgm:t>
    </dgm:pt>
    <dgm:pt modelId="{6A8D38B1-9075-4488-8E3C-3CEC29DBAD24}" type="sibTrans" cxnId="{5E8F01C0-A319-4A26-98E3-74586A47F964}">
      <dgm:prSet/>
      <dgm:spPr/>
      <dgm:t>
        <a:bodyPr/>
        <a:lstStyle/>
        <a:p>
          <a:endParaRPr lang="pl-PL"/>
        </a:p>
      </dgm:t>
    </dgm:pt>
    <dgm:pt modelId="{8BE70DAC-C90A-49D4-BFFF-D8D21A0B2E92}">
      <dgm:prSet phldrT="[Tekst]" custT="1"/>
      <dgm:spPr/>
      <dgm:t>
        <a:bodyPr/>
        <a:lstStyle/>
        <a:p>
          <a:pPr algn="ctr"/>
          <a:r>
            <a:rPr lang="pl-PL" sz="1000" b="1"/>
            <a:t>Kontrolne Punkty Kontaktowe</a:t>
          </a:r>
        </a:p>
        <a:p>
          <a:pPr algn="ctr"/>
          <a:endParaRPr lang="pl-PL" sz="1000"/>
        </a:p>
        <a:p>
          <a:pPr algn="ctr"/>
          <a:r>
            <a:rPr lang="pl-PL" sz="1000"/>
            <a:t>PL - Centrum Projektów Europejskich,</a:t>
          </a:r>
        </a:p>
        <a:p>
          <a:pPr algn="ctr"/>
          <a:r>
            <a:rPr lang="pl-PL" sz="1000"/>
            <a:t>RU - Ministerstwo Rozwoju Gospodarczego Federacji Rosyjskiej</a:t>
          </a:r>
        </a:p>
      </dgm:t>
    </dgm:pt>
    <dgm:pt modelId="{E8F097E7-13D1-4035-9D6B-C4718F7EE6FD}" type="parTrans" cxnId="{27B4B490-C765-4696-B348-F37F789FEA84}">
      <dgm:prSet/>
      <dgm:spPr>
        <a:ln>
          <a:noFill/>
        </a:ln>
      </dgm:spPr>
      <dgm:t>
        <a:bodyPr/>
        <a:lstStyle/>
        <a:p>
          <a:endParaRPr lang="pl-PL"/>
        </a:p>
      </dgm:t>
    </dgm:pt>
    <dgm:pt modelId="{E6C0E15E-1D0F-4DE7-B044-5023D41067F8}" type="sibTrans" cxnId="{27B4B490-C765-4696-B348-F37F789FEA84}">
      <dgm:prSet/>
      <dgm:spPr/>
      <dgm:t>
        <a:bodyPr/>
        <a:lstStyle/>
        <a:p>
          <a:endParaRPr lang="pl-PL"/>
        </a:p>
      </dgm:t>
    </dgm:pt>
    <dgm:pt modelId="{EEA052E7-AB96-4ED7-AB86-06D729EC4902}">
      <dgm:prSet custT="1"/>
      <dgm:spPr/>
      <dgm:t>
        <a:bodyPr/>
        <a:lstStyle/>
        <a:p>
          <a:r>
            <a:rPr lang="pl-PL" sz="1000" b="1"/>
            <a:t>Wspólny Sekretariat Techniczny</a:t>
          </a:r>
        </a:p>
        <a:p>
          <a:endParaRPr lang="pl-PL" sz="1000"/>
        </a:p>
        <a:p>
          <a:r>
            <a:rPr lang="pl-PL" sz="1000"/>
            <a:t>Centrum Projektów Europejskich, Jednostka WST</a:t>
          </a:r>
        </a:p>
        <a:p>
          <a:endParaRPr lang="pl-PL" sz="1000"/>
        </a:p>
        <a:p>
          <a:r>
            <a:rPr lang="pl-PL" sz="1000"/>
            <a:t>Wspiera IZ w realizacji właściwych funkcji na wniosek IZ</a:t>
          </a:r>
        </a:p>
      </dgm:t>
    </dgm:pt>
    <dgm:pt modelId="{5CD8EF7D-A40C-465B-B6B8-2C0C3F331252}" type="parTrans" cxnId="{73DD2FE7-5735-401D-851C-DD0B606427F0}">
      <dgm:prSet/>
      <dgm:spPr>
        <a:ln>
          <a:noFill/>
        </a:ln>
      </dgm:spPr>
      <dgm:t>
        <a:bodyPr/>
        <a:lstStyle/>
        <a:p>
          <a:endParaRPr lang="pl-PL"/>
        </a:p>
      </dgm:t>
    </dgm:pt>
    <dgm:pt modelId="{3FF43E5C-5267-42D7-82E8-BC6C51D20331}" type="sibTrans" cxnId="{73DD2FE7-5735-401D-851C-DD0B606427F0}">
      <dgm:prSet/>
      <dgm:spPr/>
      <dgm:t>
        <a:bodyPr/>
        <a:lstStyle/>
        <a:p>
          <a:endParaRPr lang="pl-PL"/>
        </a:p>
      </dgm:t>
    </dgm:pt>
    <dgm:pt modelId="{E11D97A3-D959-4F45-BD92-55C9B06D16BF}" type="pres">
      <dgm:prSet presAssocID="{91CD336E-6B75-4D2F-B45C-8F523C332773}" presName="hierChild1" presStyleCnt="0">
        <dgm:presLayoutVars>
          <dgm:chPref val="1"/>
          <dgm:dir/>
          <dgm:animOne val="branch"/>
          <dgm:animLvl val="lvl"/>
          <dgm:resizeHandles/>
        </dgm:presLayoutVars>
      </dgm:prSet>
      <dgm:spPr/>
      <dgm:t>
        <a:bodyPr/>
        <a:lstStyle/>
        <a:p>
          <a:endParaRPr lang="pl-PL"/>
        </a:p>
      </dgm:t>
    </dgm:pt>
    <dgm:pt modelId="{5EBEACF9-80A9-48B9-BDAB-947C9F740138}" type="pres">
      <dgm:prSet presAssocID="{38CB82A0-54EA-4D01-BA76-D2B99B32792D}" presName="hierRoot1" presStyleCnt="0"/>
      <dgm:spPr/>
    </dgm:pt>
    <dgm:pt modelId="{665CAAB7-3C6E-4D9E-9BD4-042F875EFB35}" type="pres">
      <dgm:prSet presAssocID="{38CB82A0-54EA-4D01-BA76-D2B99B32792D}" presName="composite" presStyleCnt="0"/>
      <dgm:spPr/>
    </dgm:pt>
    <dgm:pt modelId="{9E4422F4-1523-4403-B729-B9172274383E}" type="pres">
      <dgm:prSet presAssocID="{38CB82A0-54EA-4D01-BA76-D2B99B32792D}" presName="background" presStyleLbl="node0" presStyleIdx="0" presStyleCnt="2"/>
      <dgm:spPr>
        <a:ln>
          <a:noFill/>
        </a:ln>
        <a:scene3d>
          <a:camera prst="orthographicFront"/>
          <a:lightRig rig="flat" dir="t"/>
        </a:scene3d>
      </dgm:spPr>
    </dgm:pt>
    <dgm:pt modelId="{69B49D04-FE3B-4FED-852A-8162AEB0CC49}" type="pres">
      <dgm:prSet presAssocID="{38CB82A0-54EA-4D01-BA76-D2B99B32792D}" presName="text" presStyleLbl="fgAcc0" presStyleIdx="0" presStyleCnt="2" custScaleX="110667" custScaleY="116857">
        <dgm:presLayoutVars>
          <dgm:chPref val="3"/>
        </dgm:presLayoutVars>
      </dgm:prSet>
      <dgm:spPr/>
      <dgm:t>
        <a:bodyPr/>
        <a:lstStyle/>
        <a:p>
          <a:endParaRPr lang="pl-PL"/>
        </a:p>
      </dgm:t>
    </dgm:pt>
    <dgm:pt modelId="{DFBE72B0-B24D-4DAF-9FD8-6E7B662B7990}" type="pres">
      <dgm:prSet presAssocID="{38CB82A0-54EA-4D01-BA76-D2B99B32792D}" presName="hierChild2" presStyleCnt="0"/>
      <dgm:spPr/>
    </dgm:pt>
    <dgm:pt modelId="{DD6186EC-AFE8-4389-B9B0-3E3EE5512773}" type="pres">
      <dgm:prSet presAssocID="{F121ED84-A79C-4854-8072-9EC383121252}" presName="hierRoot1" presStyleCnt="0"/>
      <dgm:spPr/>
    </dgm:pt>
    <dgm:pt modelId="{39F1E757-23E0-40F5-9238-0FD374475490}" type="pres">
      <dgm:prSet presAssocID="{F121ED84-A79C-4854-8072-9EC383121252}" presName="composite" presStyleCnt="0"/>
      <dgm:spPr/>
    </dgm:pt>
    <dgm:pt modelId="{7E884947-BBEC-4CA1-B550-23EE28D66F74}" type="pres">
      <dgm:prSet presAssocID="{F121ED84-A79C-4854-8072-9EC383121252}" presName="background" presStyleLbl="node0" presStyleIdx="1" presStyleCnt="2"/>
      <dgm:spPr/>
    </dgm:pt>
    <dgm:pt modelId="{0C60AF66-AF4B-4739-8416-F17EAF7E3A46}" type="pres">
      <dgm:prSet presAssocID="{F121ED84-A79C-4854-8072-9EC383121252}" presName="text" presStyleLbl="fgAcc0" presStyleIdx="1" presStyleCnt="2" custScaleX="167595" custScaleY="145295">
        <dgm:presLayoutVars>
          <dgm:chPref val="3"/>
        </dgm:presLayoutVars>
      </dgm:prSet>
      <dgm:spPr/>
      <dgm:t>
        <a:bodyPr/>
        <a:lstStyle/>
        <a:p>
          <a:endParaRPr lang="pl-PL"/>
        </a:p>
      </dgm:t>
    </dgm:pt>
    <dgm:pt modelId="{5688B5D4-C3FD-4AEE-AF65-F66D104872D6}" type="pres">
      <dgm:prSet presAssocID="{F121ED84-A79C-4854-8072-9EC383121252}" presName="hierChild2" presStyleCnt="0"/>
      <dgm:spPr/>
    </dgm:pt>
    <dgm:pt modelId="{114BD2FD-19E8-4F3D-952A-739C06DCB6E0}" type="pres">
      <dgm:prSet presAssocID="{E8F097E7-13D1-4035-9D6B-C4718F7EE6FD}" presName="Name10" presStyleLbl="parChTrans1D2" presStyleIdx="0" presStyleCnt="2"/>
      <dgm:spPr/>
      <dgm:t>
        <a:bodyPr/>
        <a:lstStyle/>
        <a:p>
          <a:endParaRPr lang="pl-PL"/>
        </a:p>
      </dgm:t>
    </dgm:pt>
    <dgm:pt modelId="{A1B4ED00-2009-4EBD-A9F2-936780CC58EF}" type="pres">
      <dgm:prSet presAssocID="{8BE70DAC-C90A-49D4-BFFF-D8D21A0B2E92}" presName="hierRoot2" presStyleCnt="0"/>
      <dgm:spPr/>
    </dgm:pt>
    <dgm:pt modelId="{E40BE84B-2E26-46F3-8479-9085F6EEAAC8}" type="pres">
      <dgm:prSet presAssocID="{8BE70DAC-C90A-49D4-BFFF-D8D21A0B2E92}" presName="composite2" presStyleCnt="0"/>
      <dgm:spPr/>
    </dgm:pt>
    <dgm:pt modelId="{E931715A-0E9A-40EB-9CAA-8C99EDE4B521}" type="pres">
      <dgm:prSet presAssocID="{8BE70DAC-C90A-49D4-BFFF-D8D21A0B2E92}" presName="background2" presStyleLbl="node2" presStyleIdx="0" presStyleCnt="2"/>
      <dgm:spPr/>
    </dgm:pt>
    <dgm:pt modelId="{FC6C08BC-1E96-4F5E-90EF-D8B8BA53CF13}" type="pres">
      <dgm:prSet presAssocID="{8BE70DAC-C90A-49D4-BFFF-D8D21A0B2E92}" presName="text2" presStyleLbl="fgAcc2" presStyleIdx="0" presStyleCnt="2" custScaleY="136242">
        <dgm:presLayoutVars>
          <dgm:chPref val="3"/>
        </dgm:presLayoutVars>
      </dgm:prSet>
      <dgm:spPr/>
      <dgm:t>
        <a:bodyPr/>
        <a:lstStyle/>
        <a:p>
          <a:endParaRPr lang="pl-PL"/>
        </a:p>
      </dgm:t>
    </dgm:pt>
    <dgm:pt modelId="{B647469A-D522-417F-B645-04A229AED01C}" type="pres">
      <dgm:prSet presAssocID="{8BE70DAC-C90A-49D4-BFFF-D8D21A0B2E92}" presName="hierChild3" presStyleCnt="0"/>
      <dgm:spPr/>
    </dgm:pt>
    <dgm:pt modelId="{60217D3F-A5A0-4CA6-96D9-F9BAD31430DB}" type="pres">
      <dgm:prSet presAssocID="{5CD8EF7D-A40C-465B-B6B8-2C0C3F331252}" presName="Name10" presStyleLbl="parChTrans1D2" presStyleIdx="1" presStyleCnt="2"/>
      <dgm:spPr/>
      <dgm:t>
        <a:bodyPr/>
        <a:lstStyle/>
        <a:p>
          <a:endParaRPr lang="pl-PL"/>
        </a:p>
      </dgm:t>
    </dgm:pt>
    <dgm:pt modelId="{4020A416-742B-447C-92C8-477730697C2C}" type="pres">
      <dgm:prSet presAssocID="{EEA052E7-AB96-4ED7-AB86-06D729EC4902}" presName="hierRoot2" presStyleCnt="0"/>
      <dgm:spPr/>
    </dgm:pt>
    <dgm:pt modelId="{98132212-6F71-4DB7-8B0D-520D7272707B}" type="pres">
      <dgm:prSet presAssocID="{EEA052E7-AB96-4ED7-AB86-06D729EC4902}" presName="composite2" presStyleCnt="0"/>
      <dgm:spPr/>
    </dgm:pt>
    <dgm:pt modelId="{CA2496B4-9795-439B-A047-DB65E85A3FFC}" type="pres">
      <dgm:prSet presAssocID="{EEA052E7-AB96-4ED7-AB86-06D729EC4902}" presName="background2" presStyleLbl="node2" presStyleIdx="1" presStyleCnt="2"/>
      <dgm:spPr/>
    </dgm:pt>
    <dgm:pt modelId="{881124FE-3307-4DD7-BAEA-A2B5478D6544}" type="pres">
      <dgm:prSet presAssocID="{EEA052E7-AB96-4ED7-AB86-06D729EC4902}" presName="text2" presStyleLbl="fgAcc2" presStyleIdx="1" presStyleCnt="2" custScaleY="146623">
        <dgm:presLayoutVars>
          <dgm:chPref val="3"/>
        </dgm:presLayoutVars>
      </dgm:prSet>
      <dgm:spPr/>
      <dgm:t>
        <a:bodyPr/>
        <a:lstStyle/>
        <a:p>
          <a:endParaRPr lang="pl-PL"/>
        </a:p>
      </dgm:t>
    </dgm:pt>
    <dgm:pt modelId="{56C24AA0-863A-4A7C-BAC6-D69C60816197}" type="pres">
      <dgm:prSet presAssocID="{EEA052E7-AB96-4ED7-AB86-06D729EC4902}" presName="hierChild3" presStyleCnt="0"/>
      <dgm:spPr/>
    </dgm:pt>
  </dgm:ptLst>
  <dgm:cxnLst>
    <dgm:cxn modelId="{3A35F493-B403-4F4B-8304-BA2A2D4FBFED}" srcId="{91CD336E-6B75-4D2F-B45C-8F523C332773}" destId="{38CB82A0-54EA-4D01-BA76-D2B99B32792D}" srcOrd="0" destOrd="0" parTransId="{73FB2FA7-FBDA-4471-9C1F-C977F60CE808}" sibTransId="{5C712BEF-88B1-4CC9-BFA1-F5A9BEF1F48F}"/>
    <dgm:cxn modelId="{5E8F01C0-A319-4A26-98E3-74586A47F964}" srcId="{91CD336E-6B75-4D2F-B45C-8F523C332773}" destId="{F121ED84-A79C-4854-8072-9EC383121252}" srcOrd="1" destOrd="0" parTransId="{E02B1584-F7F2-4878-95B2-7656072ADF37}" sibTransId="{6A8D38B1-9075-4488-8E3C-3CEC29DBAD24}"/>
    <dgm:cxn modelId="{C351C201-315A-4864-BD79-3DE4FA550674}" type="presOf" srcId="{5CD8EF7D-A40C-465B-B6B8-2C0C3F331252}" destId="{60217D3F-A5A0-4CA6-96D9-F9BAD31430DB}" srcOrd="0" destOrd="0" presId="urn:microsoft.com/office/officeart/2005/8/layout/hierarchy1"/>
    <dgm:cxn modelId="{73DD2FE7-5735-401D-851C-DD0B606427F0}" srcId="{F121ED84-A79C-4854-8072-9EC383121252}" destId="{EEA052E7-AB96-4ED7-AB86-06D729EC4902}" srcOrd="1" destOrd="0" parTransId="{5CD8EF7D-A40C-465B-B6B8-2C0C3F331252}" sibTransId="{3FF43E5C-5267-42D7-82E8-BC6C51D20331}"/>
    <dgm:cxn modelId="{A788837E-03CA-497D-BCD4-3B2F9C76CB2C}" type="presOf" srcId="{F121ED84-A79C-4854-8072-9EC383121252}" destId="{0C60AF66-AF4B-4739-8416-F17EAF7E3A46}" srcOrd="0" destOrd="0" presId="urn:microsoft.com/office/officeart/2005/8/layout/hierarchy1"/>
    <dgm:cxn modelId="{27B4B490-C765-4696-B348-F37F789FEA84}" srcId="{F121ED84-A79C-4854-8072-9EC383121252}" destId="{8BE70DAC-C90A-49D4-BFFF-D8D21A0B2E92}" srcOrd="0" destOrd="0" parTransId="{E8F097E7-13D1-4035-9D6B-C4718F7EE6FD}" sibTransId="{E6C0E15E-1D0F-4DE7-B044-5023D41067F8}"/>
    <dgm:cxn modelId="{0AF91A95-6632-4539-B06A-5FB18E05CE3E}" type="presOf" srcId="{E8F097E7-13D1-4035-9D6B-C4718F7EE6FD}" destId="{114BD2FD-19E8-4F3D-952A-739C06DCB6E0}" srcOrd="0" destOrd="0" presId="urn:microsoft.com/office/officeart/2005/8/layout/hierarchy1"/>
    <dgm:cxn modelId="{A32BBC1C-9D87-4742-8571-16B521A2919C}" type="presOf" srcId="{91CD336E-6B75-4D2F-B45C-8F523C332773}" destId="{E11D97A3-D959-4F45-BD92-55C9B06D16BF}" srcOrd="0" destOrd="0" presId="urn:microsoft.com/office/officeart/2005/8/layout/hierarchy1"/>
    <dgm:cxn modelId="{D2755DDB-367E-4A98-AEBA-3BE302AC44F2}" type="presOf" srcId="{38CB82A0-54EA-4D01-BA76-D2B99B32792D}" destId="{69B49D04-FE3B-4FED-852A-8162AEB0CC49}" srcOrd="0" destOrd="0" presId="urn:microsoft.com/office/officeart/2005/8/layout/hierarchy1"/>
    <dgm:cxn modelId="{1EBC2E57-9BE9-4954-8137-991BA47D4BB0}" type="presOf" srcId="{8BE70DAC-C90A-49D4-BFFF-D8D21A0B2E92}" destId="{FC6C08BC-1E96-4F5E-90EF-D8B8BA53CF13}" srcOrd="0" destOrd="0" presId="urn:microsoft.com/office/officeart/2005/8/layout/hierarchy1"/>
    <dgm:cxn modelId="{4FBEE79F-052F-4C1F-B7E2-914763AC0BEF}" type="presOf" srcId="{EEA052E7-AB96-4ED7-AB86-06D729EC4902}" destId="{881124FE-3307-4DD7-BAEA-A2B5478D6544}" srcOrd="0" destOrd="0" presId="urn:microsoft.com/office/officeart/2005/8/layout/hierarchy1"/>
    <dgm:cxn modelId="{EC3B20AD-3CBC-4501-82CC-0B85B2A0314D}" type="presParOf" srcId="{E11D97A3-D959-4F45-BD92-55C9B06D16BF}" destId="{5EBEACF9-80A9-48B9-BDAB-947C9F740138}" srcOrd="0" destOrd="0" presId="urn:microsoft.com/office/officeart/2005/8/layout/hierarchy1"/>
    <dgm:cxn modelId="{30BBC8A0-9A67-45B0-90B5-DA9B6E7C9C02}" type="presParOf" srcId="{5EBEACF9-80A9-48B9-BDAB-947C9F740138}" destId="{665CAAB7-3C6E-4D9E-9BD4-042F875EFB35}" srcOrd="0" destOrd="0" presId="urn:microsoft.com/office/officeart/2005/8/layout/hierarchy1"/>
    <dgm:cxn modelId="{084C3F5A-9FD3-449E-AE05-1F54E0D5B4CD}" type="presParOf" srcId="{665CAAB7-3C6E-4D9E-9BD4-042F875EFB35}" destId="{9E4422F4-1523-4403-B729-B9172274383E}" srcOrd="0" destOrd="0" presId="urn:microsoft.com/office/officeart/2005/8/layout/hierarchy1"/>
    <dgm:cxn modelId="{654A3675-6D5F-42E6-AC85-06C993FD68E7}" type="presParOf" srcId="{665CAAB7-3C6E-4D9E-9BD4-042F875EFB35}" destId="{69B49D04-FE3B-4FED-852A-8162AEB0CC49}" srcOrd="1" destOrd="0" presId="urn:microsoft.com/office/officeart/2005/8/layout/hierarchy1"/>
    <dgm:cxn modelId="{E3FDF5EE-0C87-4C6E-A1F9-605E7A023DB5}" type="presParOf" srcId="{5EBEACF9-80A9-48B9-BDAB-947C9F740138}" destId="{DFBE72B0-B24D-4DAF-9FD8-6E7B662B7990}" srcOrd="1" destOrd="0" presId="urn:microsoft.com/office/officeart/2005/8/layout/hierarchy1"/>
    <dgm:cxn modelId="{F0CF5B62-CECD-4EC9-BE4D-2393B986EEBD}" type="presParOf" srcId="{E11D97A3-D959-4F45-BD92-55C9B06D16BF}" destId="{DD6186EC-AFE8-4389-B9B0-3E3EE5512773}" srcOrd="1" destOrd="0" presId="urn:microsoft.com/office/officeart/2005/8/layout/hierarchy1"/>
    <dgm:cxn modelId="{A8944934-7324-42BE-9F5C-EE6511A066A0}" type="presParOf" srcId="{DD6186EC-AFE8-4389-B9B0-3E3EE5512773}" destId="{39F1E757-23E0-40F5-9238-0FD374475490}" srcOrd="0" destOrd="0" presId="urn:microsoft.com/office/officeart/2005/8/layout/hierarchy1"/>
    <dgm:cxn modelId="{916721B7-2452-4EEF-9979-7B7C33BADD2B}" type="presParOf" srcId="{39F1E757-23E0-40F5-9238-0FD374475490}" destId="{7E884947-BBEC-4CA1-B550-23EE28D66F74}" srcOrd="0" destOrd="0" presId="urn:microsoft.com/office/officeart/2005/8/layout/hierarchy1"/>
    <dgm:cxn modelId="{1DAAB10A-C191-412A-A19D-017DF7990ADC}" type="presParOf" srcId="{39F1E757-23E0-40F5-9238-0FD374475490}" destId="{0C60AF66-AF4B-4739-8416-F17EAF7E3A46}" srcOrd="1" destOrd="0" presId="urn:microsoft.com/office/officeart/2005/8/layout/hierarchy1"/>
    <dgm:cxn modelId="{BC8C43D1-1759-4453-95FB-0545F2717FD3}" type="presParOf" srcId="{DD6186EC-AFE8-4389-B9B0-3E3EE5512773}" destId="{5688B5D4-C3FD-4AEE-AF65-F66D104872D6}" srcOrd="1" destOrd="0" presId="urn:microsoft.com/office/officeart/2005/8/layout/hierarchy1"/>
    <dgm:cxn modelId="{C33C4FA0-88BD-492A-8F8D-AD2AC55BBB2B}" type="presParOf" srcId="{5688B5D4-C3FD-4AEE-AF65-F66D104872D6}" destId="{114BD2FD-19E8-4F3D-952A-739C06DCB6E0}" srcOrd="0" destOrd="0" presId="urn:microsoft.com/office/officeart/2005/8/layout/hierarchy1"/>
    <dgm:cxn modelId="{F10BA7FF-31DA-4A03-A2C5-90FF47CF63C5}" type="presParOf" srcId="{5688B5D4-C3FD-4AEE-AF65-F66D104872D6}" destId="{A1B4ED00-2009-4EBD-A9F2-936780CC58EF}" srcOrd="1" destOrd="0" presId="urn:microsoft.com/office/officeart/2005/8/layout/hierarchy1"/>
    <dgm:cxn modelId="{5064532D-BC64-4B3E-A110-C40BD33C2EBB}" type="presParOf" srcId="{A1B4ED00-2009-4EBD-A9F2-936780CC58EF}" destId="{E40BE84B-2E26-46F3-8479-9085F6EEAAC8}" srcOrd="0" destOrd="0" presId="urn:microsoft.com/office/officeart/2005/8/layout/hierarchy1"/>
    <dgm:cxn modelId="{1E9924FC-7E2E-4784-AE34-284767CBAD8A}" type="presParOf" srcId="{E40BE84B-2E26-46F3-8479-9085F6EEAAC8}" destId="{E931715A-0E9A-40EB-9CAA-8C99EDE4B521}" srcOrd="0" destOrd="0" presId="urn:microsoft.com/office/officeart/2005/8/layout/hierarchy1"/>
    <dgm:cxn modelId="{0351BCF0-5469-46C2-847F-FDFA50D98B5D}" type="presParOf" srcId="{E40BE84B-2E26-46F3-8479-9085F6EEAAC8}" destId="{FC6C08BC-1E96-4F5E-90EF-D8B8BA53CF13}" srcOrd="1" destOrd="0" presId="urn:microsoft.com/office/officeart/2005/8/layout/hierarchy1"/>
    <dgm:cxn modelId="{A6C54584-53CF-41EE-87B2-5FC42F1A65CD}" type="presParOf" srcId="{A1B4ED00-2009-4EBD-A9F2-936780CC58EF}" destId="{B647469A-D522-417F-B645-04A229AED01C}" srcOrd="1" destOrd="0" presId="urn:microsoft.com/office/officeart/2005/8/layout/hierarchy1"/>
    <dgm:cxn modelId="{6F36486A-9A92-4895-A83A-3676DB8F6672}" type="presParOf" srcId="{5688B5D4-C3FD-4AEE-AF65-F66D104872D6}" destId="{60217D3F-A5A0-4CA6-96D9-F9BAD31430DB}" srcOrd="2" destOrd="0" presId="urn:microsoft.com/office/officeart/2005/8/layout/hierarchy1"/>
    <dgm:cxn modelId="{40F96ABD-4693-4E05-8970-D7962044185A}" type="presParOf" srcId="{5688B5D4-C3FD-4AEE-AF65-F66D104872D6}" destId="{4020A416-742B-447C-92C8-477730697C2C}" srcOrd="3" destOrd="0" presId="urn:microsoft.com/office/officeart/2005/8/layout/hierarchy1"/>
    <dgm:cxn modelId="{7984EF75-473F-4164-B61D-03C4F458C2F8}" type="presParOf" srcId="{4020A416-742B-447C-92C8-477730697C2C}" destId="{98132212-6F71-4DB7-8B0D-520D7272707B}" srcOrd="0" destOrd="0" presId="urn:microsoft.com/office/officeart/2005/8/layout/hierarchy1"/>
    <dgm:cxn modelId="{A9064BA1-4583-44DB-B453-64664915D25C}" type="presParOf" srcId="{98132212-6F71-4DB7-8B0D-520D7272707B}" destId="{CA2496B4-9795-439B-A047-DB65E85A3FFC}" srcOrd="0" destOrd="0" presId="urn:microsoft.com/office/officeart/2005/8/layout/hierarchy1"/>
    <dgm:cxn modelId="{2AA0B19C-5F61-490F-B9A0-DEA87EAB6950}" type="presParOf" srcId="{98132212-6F71-4DB7-8B0D-520D7272707B}" destId="{881124FE-3307-4DD7-BAEA-A2B5478D6544}" srcOrd="1" destOrd="0" presId="urn:microsoft.com/office/officeart/2005/8/layout/hierarchy1"/>
    <dgm:cxn modelId="{6C64F6B3-46D0-40AC-883D-C01ACF685876}" type="presParOf" srcId="{4020A416-742B-447C-92C8-477730697C2C}" destId="{56C24AA0-863A-4A7C-BAC6-D69C60816197}" srcOrd="1" destOrd="0" presId="urn:microsoft.com/office/officeart/2005/8/layout/hierarchy1"/>
  </dgm:cxnLst>
  <dgm:bg/>
  <dgm:whole>
    <a:ln w="6350"/>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CD336E-6B75-4D2F-B45C-8F523C332773}"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pl-PL"/>
        </a:p>
      </dgm:t>
    </dgm:pt>
    <dgm:pt modelId="{38CB82A0-54EA-4D01-BA76-D2B99B32792D}">
      <dgm:prSet phldrT="[Tekst]" custT="1"/>
      <dgm:spPr/>
      <dgm:t>
        <a:bodyPr/>
        <a:lstStyle/>
        <a:p>
          <a:r>
            <a:rPr lang="pl-PL" sz="1000" b="1"/>
            <a:t>Instytucja Audytowa</a:t>
          </a:r>
        </a:p>
        <a:p>
          <a:endParaRPr lang="pl-PL" sz="1000"/>
        </a:p>
        <a:p>
          <a:r>
            <a:rPr lang="pl-PL" sz="1000"/>
            <a:t>Generalny Inspektor Kontroli Skarbowej w Ministerstwie Finansów Rzeczpospolitej Polskiej</a:t>
          </a:r>
        </a:p>
        <a:p>
          <a:r>
            <a:rPr lang="pl-PL" sz="1000"/>
            <a:t>Zapewnia realizację zadań audytowych, obowiązków Instytucji Audytowej przez wyznaczony departament w MF i urzędy kontroli skarbowej</a:t>
          </a:r>
        </a:p>
      </dgm:t>
    </dgm:pt>
    <dgm:pt modelId="{73FB2FA7-FBDA-4471-9C1F-C977F60CE808}" type="parTrans" cxnId="{3A35F493-B403-4F4B-8304-BA2A2D4FBFED}">
      <dgm:prSet/>
      <dgm:spPr/>
      <dgm:t>
        <a:bodyPr/>
        <a:lstStyle/>
        <a:p>
          <a:endParaRPr lang="pl-PL"/>
        </a:p>
      </dgm:t>
    </dgm:pt>
    <dgm:pt modelId="{5C712BEF-88B1-4CC9-BFA1-F5A9BEF1F48F}" type="sibTrans" cxnId="{3A35F493-B403-4F4B-8304-BA2A2D4FBFED}">
      <dgm:prSet/>
      <dgm:spPr/>
      <dgm:t>
        <a:bodyPr/>
        <a:lstStyle/>
        <a:p>
          <a:endParaRPr lang="pl-PL"/>
        </a:p>
      </dgm:t>
    </dgm:pt>
    <dgm:pt modelId="{F121ED84-A79C-4854-8072-9EC383121252}">
      <dgm:prSet phldrT="[Tekst]" custT="1"/>
      <dgm:spPr/>
      <dgm:t>
        <a:bodyPr/>
        <a:lstStyle/>
        <a:p>
          <a:r>
            <a:rPr lang="pl-PL" sz="1000" b="1"/>
            <a:t>Grupa Audytorów</a:t>
          </a:r>
        </a:p>
        <a:p>
          <a:endParaRPr lang="pl-PL" sz="1000"/>
        </a:p>
        <a:p>
          <a:r>
            <a:rPr lang="pl-PL" sz="1000"/>
            <a:t>Przedstawiciel każdego kraju uczestniczącego</a:t>
          </a:r>
        </a:p>
        <a:p>
          <a:r>
            <a:rPr lang="pl-PL" sz="1000"/>
            <a:t>Wsparcie IA</a:t>
          </a:r>
        </a:p>
      </dgm:t>
    </dgm:pt>
    <dgm:pt modelId="{E02B1584-F7F2-4878-95B2-7656072ADF37}" type="parTrans" cxnId="{5E8F01C0-A319-4A26-98E3-74586A47F964}">
      <dgm:prSet/>
      <dgm:spPr>
        <a:ln>
          <a:noFill/>
        </a:ln>
        <a:effectLst/>
        <a:scene3d>
          <a:camera prst="orthographicFront">
            <a:rot lat="0" lon="0" rev="0"/>
          </a:camera>
          <a:lightRig rig="chilly" dir="t">
            <a:rot lat="0" lon="0" rev="18480000"/>
          </a:lightRig>
        </a:scene3d>
        <a:sp3d prstMaterial="clear">
          <a:bevelT h="63500"/>
        </a:sp3d>
      </dgm:spPr>
      <dgm:t>
        <a:bodyPr/>
        <a:lstStyle/>
        <a:p>
          <a:endParaRPr lang="pl-PL"/>
        </a:p>
      </dgm:t>
    </dgm:pt>
    <dgm:pt modelId="{6A8D38B1-9075-4488-8E3C-3CEC29DBAD24}" type="sibTrans" cxnId="{5E8F01C0-A319-4A26-98E3-74586A47F964}">
      <dgm:prSet/>
      <dgm:spPr/>
      <dgm:t>
        <a:bodyPr/>
        <a:lstStyle/>
        <a:p>
          <a:endParaRPr lang="pl-PL"/>
        </a:p>
      </dgm:t>
    </dgm:pt>
    <dgm:pt modelId="{E11D97A3-D959-4F45-BD92-55C9B06D16BF}" type="pres">
      <dgm:prSet presAssocID="{91CD336E-6B75-4D2F-B45C-8F523C332773}" presName="hierChild1" presStyleCnt="0">
        <dgm:presLayoutVars>
          <dgm:chPref val="1"/>
          <dgm:dir/>
          <dgm:animOne val="branch"/>
          <dgm:animLvl val="lvl"/>
          <dgm:resizeHandles/>
        </dgm:presLayoutVars>
      </dgm:prSet>
      <dgm:spPr/>
      <dgm:t>
        <a:bodyPr/>
        <a:lstStyle/>
        <a:p>
          <a:endParaRPr lang="pl-PL"/>
        </a:p>
      </dgm:t>
    </dgm:pt>
    <dgm:pt modelId="{5EBEACF9-80A9-48B9-BDAB-947C9F740138}" type="pres">
      <dgm:prSet presAssocID="{38CB82A0-54EA-4D01-BA76-D2B99B32792D}" presName="hierRoot1" presStyleCnt="0"/>
      <dgm:spPr/>
    </dgm:pt>
    <dgm:pt modelId="{665CAAB7-3C6E-4D9E-9BD4-042F875EFB35}" type="pres">
      <dgm:prSet presAssocID="{38CB82A0-54EA-4D01-BA76-D2B99B32792D}" presName="composite" presStyleCnt="0"/>
      <dgm:spPr/>
    </dgm:pt>
    <dgm:pt modelId="{9E4422F4-1523-4403-B729-B9172274383E}" type="pres">
      <dgm:prSet presAssocID="{38CB82A0-54EA-4D01-BA76-D2B99B32792D}" presName="background" presStyleLbl="node0" presStyleIdx="0" presStyleCnt="2"/>
      <dgm:spPr>
        <a:ln>
          <a:noFill/>
        </a:ln>
        <a:scene3d>
          <a:camera prst="orthographicFront"/>
          <a:lightRig rig="flat" dir="t"/>
        </a:scene3d>
      </dgm:spPr>
    </dgm:pt>
    <dgm:pt modelId="{69B49D04-FE3B-4FED-852A-8162AEB0CC49}" type="pres">
      <dgm:prSet presAssocID="{38CB82A0-54EA-4D01-BA76-D2B99B32792D}" presName="text" presStyleLbl="fgAcc0" presStyleIdx="0" presStyleCnt="2" custScaleX="87131" custScaleY="103232">
        <dgm:presLayoutVars>
          <dgm:chPref val="3"/>
        </dgm:presLayoutVars>
      </dgm:prSet>
      <dgm:spPr/>
      <dgm:t>
        <a:bodyPr/>
        <a:lstStyle/>
        <a:p>
          <a:endParaRPr lang="pl-PL"/>
        </a:p>
      </dgm:t>
    </dgm:pt>
    <dgm:pt modelId="{DFBE72B0-B24D-4DAF-9FD8-6E7B662B7990}" type="pres">
      <dgm:prSet presAssocID="{38CB82A0-54EA-4D01-BA76-D2B99B32792D}" presName="hierChild2" presStyleCnt="0"/>
      <dgm:spPr/>
    </dgm:pt>
    <dgm:pt modelId="{DD6186EC-AFE8-4389-B9B0-3E3EE5512773}" type="pres">
      <dgm:prSet presAssocID="{F121ED84-A79C-4854-8072-9EC383121252}" presName="hierRoot1" presStyleCnt="0"/>
      <dgm:spPr/>
    </dgm:pt>
    <dgm:pt modelId="{39F1E757-23E0-40F5-9238-0FD374475490}" type="pres">
      <dgm:prSet presAssocID="{F121ED84-A79C-4854-8072-9EC383121252}" presName="composite" presStyleCnt="0"/>
      <dgm:spPr/>
    </dgm:pt>
    <dgm:pt modelId="{7E884947-BBEC-4CA1-B550-23EE28D66F74}" type="pres">
      <dgm:prSet presAssocID="{F121ED84-A79C-4854-8072-9EC383121252}" presName="background" presStyleLbl="node0" presStyleIdx="1" presStyleCnt="2"/>
      <dgm:spPr/>
    </dgm:pt>
    <dgm:pt modelId="{0C60AF66-AF4B-4739-8416-F17EAF7E3A46}" type="pres">
      <dgm:prSet presAssocID="{F121ED84-A79C-4854-8072-9EC383121252}" presName="text" presStyleLbl="fgAcc0" presStyleIdx="1" presStyleCnt="2" custScaleX="90902" custScaleY="103232">
        <dgm:presLayoutVars>
          <dgm:chPref val="3"/>
        </dgm:presLayoutVars>
      </dgm:prSet>
      <dgm:spPr/>
      <dgm:t>
        <a:bodyPr/>
        <a:lstStyle/>
        <a:p>
          <a:endParaRPr lang="pl-PL"/>
        </a:p>
      </dgm:t>
    </dgm:pt>
    <dgm:pt modelId="{5688B5D4-C3FD-4AEE-AF65-F66D104872D6}" type="pres">
      <dgm:prSet presAssocID="{F121ED84-A79C-4854-8072-9EC383121252}" presName="hierChild2" presStyleCnt="0"/>
      <dgm:spPr/>
    </dgm:pt>
  </dgm:ptLst>
  <dgm:cxnLst>
    <dgm:cxn modelId="{3A35F493-B403-4F4B-8304-BA2A2D4FBFED}" srcId="{91CD336E-6B75-4D2F-B45C-8F523C332773}" destId="{38CB82A0-54EA-4D01-BA76-D2B99B32792D}" srcOrd="0" destOrd="0" parTransId="{73FB2FA7-FBDA-4471-9C1F-C977F60CE808}" sibTransId="{5C712BEF-88B1-4CC9-BFA1-F5A9BEF1F48F}"/>
    <dgm:cxn modelId="{5E8F01C0-A319-4A26-98E3-74586A47F964}" srcId="{91CD336E-6B75-4D2F-B45C-8F523C332773}" destId="{F121ED84-A79C-4854-8072-9EC383121252}" srcOrd="1" destOrd="0" parTransId="{E02B1584-F7F2-4878-95B2-7656072ADF37}" sibTransId="{6A8D38B1-9075-4488-8E3C-3CEC29DBAD24}"/>
    <dgm:cxn modelId="{D7286AC1-6FC7-4550-98DC-73D6CD4BA6E2}" type="presOf" srcId="{F121ED84-A79C-4854-8072-9EC383121252}" destId="{0C60AF66-AF4B-4739-8416-F17EAF7E3A46}" srcOrd="0" destOrd="0" presId="urn:microsoft.com/office/officeart/2005/8/layout/hierarchy1"/>
    <dgm:cxn modelId="{1168E23F-912E-4A2B-8A97-B360483AC2B5}" type="presOf" srcId="{38CB82A0-54EA-4D01-BA76-D2B99B32792D}" destId="{69B49D04-FE3B-4FED-852A-8162AEB0CC49}" srcOrd="0" destOrd="0" presId="urn:microsoft.com/office/officeart/2005/8/layout/hierarchy1"/>
    <dgm:cxn modelId="{386F0A36-297D-4807-ACF7-824329CC1EE3}" type="presOf" srcId="{91CD336E-6B75-4D2F-B45C-8F523C332773}" destId="{E11D97A3-D959-4F45-BD92-55C9B06D16BF}" srcOrd="0" destOrd="0" presId="urn:microsoft.com/office/officeart/2005/8/layout/hierarchy1"/>
    <dgm:cxn modelId="{2202BB84-9C97-418C-A425-5ED340D7A5B5}" type="presParOf" srcId="{E11D97A3-D959-4F45-BD92-55C9B06D16BF}" destId="{5EBEACF9-80A9-48B9-BDAB-947C9F740138}" srcOrd="0" destOrd="0" presId="urn:microsoft.com/office/officeart/2005/8/layout/hierarchy1"/>
    <dgm:cxn modelId="{702B0546-4F35-414B-9FE7-07DDA48682D0}" type="presParOf" srcId="{5EBEACF9-80A9-48B9-BDAB-947C9F740138}" destId="{665CAAB7-3C6E-4D9E-9BD4-042F875EFB35}" srcOrd="0" destOrd="0" presId="urn:microsoft.com/office/officeart/2005/8/layout/hierarchy1"/>
    <dgm:cxn modelId="{CFD57FED-6A96-4AEB-BEA8-60F617A434F0}" type="presParOf" srcId="{665CAAB7-3C6E-4D9E-9BD4-042F875EFB35}" destId="{9E4422F4-1523-4403-B729-B9172274383E}" srcOrd="0" destOrd="0" presId="urn:microsoft.com/office/officeart/2005/8/layout/hierarchy1"/>
    <dgm:cxn modelId="{211BF838-2BD1-4CDB-B6B6-A73A68068F77}" type="presParOf" srcId="{665CAAB7-3C6E-4D9E-9BD4-042F875EFB35}" destId="{69B49D04-FE3B-4FED-852A-8162AEB0CC49}" srcOrd="1" destOrd="0" presId="urn:microsoft.com/office/officeart/2005/8/layout/hierarchy1"/>
    <dgm:cxn modelId="{DDA0E6C5-B9E2-447C-98B3-2437A11F795F}" type="presParOf" srcId="{5EBEACF9-80A9-48B9-BDAB-947C9F740138}" destId="{DFBE72B0-B24D-4DAF-9FD8-6E7B662B7990}" srcOrd="1" destOrd="0" presId="urn:microsoft.com/office/officeart/2005/8/layout/hierarchy1"/>
    <dgm:cxn modelId="{FD857770-DE46-444F-B16E-DF03BA064351}" type="presParOf" srcId="{E11D97A3-D959-4F45-BD92-55C9B06D16BF}" destId="{DD6186EC-AFE8-4389-B9B0-3E3EE5512773}" srcOrd="1" destOrd="0" presId="urn:microsoft.com/office/officeart/2005/8/layout/hierarchy1"/>
    <dgm:cxn modelId="{3837FD20-8552-4E1D-B9AB-8E1966070140}" type="presParOf" srcId="{DD6186EC-AFE8-4389-B9B0-3E3EE5512773}" destId="{39F1E757-23E0-40F5-9238-0FD374475490}" srcOrd="0" destOrd="0" presId="urn:microsoft.com/office/officeart/2005/8/layout/hierarchy1"/>
    <dgm:cxn modelId="{F6A0F322-C470-4C92-965B-BAE8D489D688}" type="presParOf" srcId="{39F1E757-23E0-40F5-9238-0FD374475490}" destId="{7E884947-BBEC-4CA1-B550-23EE28D66F74}" srcOrd="0" destOrd="0" presId="urn:microsoft.com/office/officeart/2005/8/layout/hierarchy1"/>
    <dgm:cxn modelId="{8501B658-B7C9-4360-925D-188B7F7540F3}" type="presParOf" srcId="{39F1E757-23E0-40F5-9238-0FD374475490}" destId="{0C60AF66-AF4B-4739-8416-F17EAF7E3A46}" srcOrd="1" destOrd="0" presId="urn:microsoft.com/office/officeart/2005/8/layout/hierarchy1"/>
    <dgm:cxn modelId="{28D413A3-31CE-4382-90E6-97866097A5F6}" type="presParOf" srcId="{DD6186EC-AFE8-4389-B9B0-3E3EE5512773}" destId="{5688B5D4-C3FD-4AEE-AF65-F66D104872D6}" srcOrd="1" destOrd="0" presId="urn:microsoft.com/office/officeart/2005/8/layout/hierarchy1"/>
  </dgm:cxnLst>
  <dgm:bg/>
  <dgm:whole>
    <a:ln w="6350"/>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CD336E-6B75-4D2F-B45C-8F523C332773}"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pl-PL"/>
        </a:p>
      </dgm:t>
    </dgm:pt>
    <dgm:pt modelId="{38CB82A0-54EA-4D01-BA76-D2B99B32792D}">
      <dgm:prSet phldrT="[Tekst]" custT="1"/>
      <dgm:spPr>
        <a:xfrm>
          <a:off x="1862300" y="481252"/>
          <a:ext cx="3539651" cy="323457"/>
        </a:xfrm>
      </dgm:spPr>
      <dgm:t>
        <a:bodyPr/>
        <a:lstStyle/>
        <a:p>
          <a:r>
            <a:rPr lang="pl-PL" sz="1000" b="1">
              <a:latin typeface="Calibri"/>
              <a:ea typeface="+mn-ea"/>
              <a:cs typeface="+mn-cs"/>
            </a:rPr>
            <a:t>Minister Inwestycji i Rozwoju</a:t>
          </a:r>
        </a:p>
      </dgm:t>
    </dgm:pt>
    <dgm:pt modelId="{73FB2FA7-FBDA-4471-9C1F-C977F60CE808}" type="parTrans" cxnId="{3A35F493-B403-4F4B-8304-BA2A2D4FBFED}">
      <dgm:prSet/>
      <dgm:spPr/>
      <dgm:t>
        <a:bodyPr/>
        <a:lstStyle/>
        <a:p>
          <a:endParaRPr lang="pl-PL"/>
        </a:p>
      </dgm:t>
    </dgm:pt>
    <dgm:pt modelId="{5C712BEF-88B1-4CC9-BFA1-F5A9BEF1F48F}" type="sibTrans" cxnId="{3A35F493-B403-4F4B-8304-BA2A2D4FBFED}">
      <dgm:prSet/>
      <dgm:spPr/>
      <dgm:t>
        <a:bodyPr/>
        <a:lstStyle/>
        <a:p>
          <a:endParaRPr lang="pl-PL"/>
        </a:p>
      </dgm:t>
    </dgm:pt>
    <dgm:pt modelId="{F121ED84-A79C-4854-8072-9EC383121252}">
      <dgm:prSet phldrT="[Tekst]" custT="1"/>
      <dgm:spPr>
        <a:xfrm>
          <a:off x="1953895" y="1151045"/>
          <a:ext cx="1190839" cy="328508"/>
        </a:xfrm>
      </dgm:spPr>
      <dgm:t>
        <a:bodyPr/>
        <a:lstStyle/>
        <a:p>
          <a:r>
            <a:rPr lang="pl-PL" sz="1000" b="1">
              <a:latin typeface="Calibri"/>
              <a:ea typeface="+mn-ea"/>
              <a:cs typeface="+mn-cs"/>
            </a:rPr>
            <a:t>Podsekretarz Stanu</a:t>
          </a:r>
        </a:p>
      </dgm:t>
    </dgm:pt>
    <dgm:pt modelId="{E02B1584-F7F2-4878-95B2-7656072ADF37}" type="parTrans" cxnId="{5E8F01C0-A319-4A26-98E3-74586A47F964}">
      <dgm:prSet/>
      <dgm:spPr>
        <a:xfrm>
          <a:off x="2417000" y="679010"/>
          <a:ext cx="1082810" cy="346335"/>
        </a:xfrm>
      </dgm:spPr>
      <dgm:t>
        <a:bodyPr/>
        <a:lstStyle/>
        <a:p>
          <a:endParaRPr lang="pl-PL"/>
        </a:p>
      </dgm:t>
    </dgm:pt>
    <dgm:pt modelId="{6A8D38B1-9075-4488-8E3C-3CEC29DBAD24}" type="sibTrans" cxnId="{5E8F01C0-A319-4A26-98E3-74586A47F964}">
      <dgm:prSet/>
      <dgm:spPr/>
      <dgm:t>
        <a:bodyPr/>
        <a:lstStyle/>
        <a:p>
          <a:endParaRPr lang="pl-PL"/>
        </a:p>
      </dgm:t>
    </dgm:pt>
    <dgm:pt modelId="{8BE70DAC-C90A-49D4-BFFF-D8D21A0B2E92}">
      <dgm:prSet phldrT="[Tekst]" custT="1"/>
      <dgm:spPr>
        <a:xfrm>
          <a:off x="1690595" y="1825890"/>
          <a:ext cx="1717440" cy="819611"/>
        </a:xfrm>
      </dgm:spPr>
      <dgm:t>
        <a:bodyPr/>
        <a:lstStyle/>
        <a:p>
          <a:r>
            <a:rPr lang="pl-PL" sz="1000" b="1"/>
            <a:t>Dyrektor</a:t>
          </a:r>
          <a:r>
            <a:rPr lang="pl-PL" sz="1000"/>
            <a:t> Departamentu Współpracy Terytorialnej Ministerstwa Inwestycji i  Rozwoju</a:t>
          </a:r>
          <a:endParaRPr lang="pl-PL" sz="1000">
            <a:latin typeface="Calibri"/>
            <a:ea typeface="+mn-ea"/>
            <a:cs typeface="+mn-cs"/>
          </a:endParaRPr>
        </a:p>
      </dgm:t>
    </dgm:pt>
    <dgm:pt modelId="{E8F097E7-13D1-4035-9D6B-C4718F7EE6FD}" type="parTrans" cxnId="{27B4B490-C765-4696-B348-F37F789FEA84}">
      <dgm:prSet/>
      <dgm:spPr>
        <a:xfrm>
          <a:off x="2371280" y="1353854"/>
          <a:ext cx="91440" cy="346335"/>
        </a:xfrm>
      </dgm:spPr>
      <dgm:t>
        <a:bodyPr/>
        <a:lstStyle/>
        <a:p>
          <a:endParaRPr lang="pl-PL"/>
        </a:p>
      </dgm:t>
    </dgm:pt>
    <dgm:pt modelId="{E6C0E15E-1D0F-4DE7-B044-5023D41067F8}" type="sibTrans" cxnId="{27B4B490-C765-4696-B348-F37F789FEA84}">
      <dgm:prSet/>
      <dgm:spPr/>
      <dgm:t>
        <a:bodyPr/>
        <a:lstStyle/>
        <a:p>
          <a:endParaRPr lang="pl-PL"/>
        </a:p>
      </dgm:t>
    </dgm:pt>
    <dgm:pt modelId="{9AED8CD4-2259-4D4C-8F12-55473FCBDB0D}">
      <dgm:prSet phldrT="[Tekst]" custT="1"/>
      <dgm:spPr>
        <a:xfrm>
          <a:off x="862293" y="2991837"/>
          <a:ext cx="1190839" cy="632849"/>
        </a:xfrm>
      </dgm:spPr>
      <dgm:t>
        <a:bodyPr/>
        <a:lstStyle/>
        <a:p>
          <a:r>
            <a:rPr lang="pl-PL" sz="1000" b="1"/>
            <a:t>Zastępca Dyrektora I </a:t>
          </a:r>
          <a:r>
            <a:rPr lang="pl-PL" sz="1000"/>
            <a:t>(funkcje operacyjne i kontrolne)</a:t>
          </a:r>
          <a:endParaRPr lang="pl-PL" sz="1000">
            <a:latin typeface="Calibri"/>
            <a:ea typeface="+mn-ea"/>
            <a:cs typeface="+mn-cs"/>
          </a:endParaRPr>
        </a:p>
      </dgm:t>
    </dgm:pt>
    <dgm:pt modelId="{4D90AD42-537C-40B8-B194-6EE863B954AE}" type="parTrans" cxnId="{745E1175-D965-4464-9597-F8D313B22562}">
      <dgm:prSet/>
      <dgm:spPr>
        <a:xfrm>
          <a:off x="1325397" y="2519801"/>
          <a:ext cx="1091602" cy="346335"/>
        </a:xfrm>
      </dgm:spPr>
      <dgm:t>
        <a:bodyPr/>
        <a:lstStyle/>
        <a:p>
          <a:endParaRPr lang="pl-PL"/>
        </a:p>
      </dgm:t>
    </dgm:pt>
    <dgm:pt modelId="{DCFAA3F6-0EE9-444E-8F3D-E880A55E9788}" type="sibTrans" cxnId="{745E1175-D965-4464-9597-F8D313B22562}">
      <dgm:prSet/>
      <dgm:spPr/>
      <dgm:t>
        <a:bodyPr/>
        <a:lstStyle/>
        <a:p>
          <a:endParaRPr lang="pl-PL"/>
        </a:p>
      </dgm:t>
    </dgm:pt>
    <dgm:pt modelId="{AE16959A-8444-4D07-A8AA-B12FEAF12942}">
      <dgm:prSet custT="1"/>
      <dgm:spPr>
        <a:xfrm>
          <a:off x="3045498" y="2991837"/>
          <a:ext cx="1190839" cy="625839"/>
        </a:xfrm>
      </dgm:spPr>
      <dgm:t>
        <a:bodyPr/>
        <a:lstStyle/>
        <a:p>
          <a:r>
            <a:rPr lang="pl-PL" sz="1000" b="1"/>
            <a:t>Zastępca Dyrektora II </a:t>
          </a:r>
          <a:r>
            <a:rPr lang="pl-PL" sz="1000"/>
            <a:t>(funkcje finansowe)</a:t>
          </a:r>
          <a:endParaRPr lang="pl-PL" sz="1000">
            <a:latin typeface="Calibri"/>
            <a:ea typeface="+mn-ea"/>
            <a:cs typeface="+mn-cs"/>
          </a:endParaRPr>
        </a:p>
      </dgm:t>
    </dgm:pt>
    <dgm:pt modelId="{C4DA47B0-A79D-4368-86FB-4E8B0FB40879}" type="parTrans" cxnId="{ADBACE24-A806-4DFC-94D2-9A7D96134539}">
      <dgm:prSet/>
      <dgm:spPr>
        <a:xfrm>
          <a:off x="2417000" y="2519801"/>
          <a:ext cx="1091602" cy="346335"/>
        </a:xfrm>
      </dgm:spPr>
      <dgm:t>
        <a:bodyPr/>
        <a:lstStyle/>
        <a:p>
          <a:endParaRPr lang="pl-PL"/>
        </a:p>
      </dgm:t>
    </dgm:pt>
    <dgm:pt modelId="{39C5CF10-808E-4589-96D0-F8A12F77C97F}" type="sibTrans" cxnId="{ADBACE24-A806-4DFC-94D2-9A7D96134539}">
      <dgm:prSet/>
      <dgm:spPr/>
      <dgm:t>
        <a:bodyPr/>
        <a:lstStyle/>
        <a:p>
          <a:endParaRPr lang="pl-PL"/>
        </a:p>
      </dgm:t>
    </dgm:pt>
    <dgm:pt modelId="{9E6CEF41-6DD5-4402-8AC0-9A0A516E3B3A}">
      <dgm:prSet custT="1"/>
      <dgm:spPr>
        <a:xfrm>
          <a:off x="1590028" y="3971022"/>
          <a:ext cx="1190839" cy="683574"/>
        </a:xfrm>
      </dgm:spPr>
      <dgm:t>
        <a:bodyPr/>
        <a:lstStyle/>
        <a:p>
          <a:r>
            <a:rPr lang="pl-PL" sz="1000" b="1"/>
            <a:t>Naczelnik Wydziału Systemów Zarządzania i Kontroli</a:t>
          </a:r>
          <a:endParaRPr lang="pl-PL" sz="1000"/>
        </a:p>
        <a:p>
          <a:r>
            <a:rPr lang="en-US" sz="1000"/>
            <a:t>(</a:t>
          </a:r>
          <a:r>
            <a:rPr lang="pl-PL" sz="1000"/>
            <a:t>jednostka kontrolna i Instytucji Krajowej</a:t>
          </a:r>
          <a:r>
            <a:rPr lang="en-US" sz="1000"/>
            <a:t>)</a:t>
          </a:r>
          <a:endParaRPr lang="pl-PL" sz="1000">
            <a:latin typeface="Calibri"/>
            <a:ea typeface="+mn-ea"/>
            <a:cs typeface="+mn-cs"/>
          </a:endParaRPr>
        </a:p>
      </dgm:t>
    </dgm:pt>
    <dgm:pt modelId="{8160189F-2BCC-4017-8E90-3BA86091EFED}" type="parTrans" cxnId="{03EA9521-3213-4A73-95FF-904BB57737FF}">
      <dgm:prSet/>
      <dgm:spPr>
        <a:xfrm>
          <a:off x="1325397" y="3498987"/>
          <a:ext cx="727735" cy="346335"/>
        </a:xfrm>
      </dgm:spPr>
      <dgm:t>
        <a:bodyPr/>
        <a:lstStyle/>
        <a:p>
          <a:endParaRPr lang="pl-PL"/>
        </a:p>
      </dgm:t>
    </dgm:pt>
    <dgm:pt modelId="{3548E24B-10D7-4039-BE3B-6762E226BF97}" type="sibTrans" cxnId="{03EA9521-3213-4A73-95FF-904BB57737FF}">
      <dgm:prSet/>
      <dgm:spPr/>
      <dgm:t>
        <a:bodyPr/>
        <a:lstStyle/>
        <a:p>
          <a:endParaRPr lang="pl-PL"/>
        </a:p>
      </dgm:t>
    </dgm:pt>
    <dgm:pt modelId="{F64C71FA-5833-4F12-B273-DE6FAE278396}">
      <dgm:prSet custT="1"/>
      <dgm:spPr>
        <a:xfrm>
          <a:off x="3045498" y="3964013"/>
          <a:ext cx="1190839" cy="566789"/>
        </a:xfrm>
      </dgm:spPr>
      <dgm:t>
        <a:bodyPr/>
        <a:lstStyle/>
        <a:p>
          <a:r>
            <a:rPr lang="pl-PL" sz="1000" b="1"/>
            <a:t>Naczelnik Wydziału Zarządzania Finansowego </a:t>
          </a:r>
          <a:r>
            <a:rPr lang="en-US" sz="1000"/>
            <a:t>(</a:t>
          </a:r>
          <a:r>
            <a:rPr lang="pl-PL" sz="1000"/>
            <a:t>jednostka finansowa</a:t>
          </a:r>
          <a:r>
            <a:rPr lang="en-US" sz="1000"/>
            <a:t>)</a:t>
          </a:r>
          <a:endParaRPr lang="pl-PL" sz="1000" b="1">
            <a:latin typeface="Calibri"/>
            <a:ea typeface="+mn-ea"/>
            <a:cs typeface="+mn-cs"/>
          </a:endParaRPr>
        </a:p>
      </dgm:t>
    </dgm:pt>
    <dgm:pt modelId="{86ECB324-3CBC-4F56-BC63-A67CCC49B92C}" type="parTrans" cxnId="{5BC1E6A5-77A3-4B4E-B15C-BCB8337222D2}">
      <dgm:prSet/>
      <dgm:spPr>
        <a:xfrm>
          <a:off x="3462882" y="3491977"/>
          <a:ext cx="91440" cy="346335"/>
        </a:xfrm>
      </dgm:spPr>
      <dgm:t>
        <a:bodyPr/>
        <a:lstStyle/>
        <a:p>
          <a:endParaRPr lang="pl-PL"/>
        </a:p>
      </dgm:t>
    </dgm:pt>
    <dgm:pt modelId="{AE5DB046-F0AB-4854-977B-F222229E7103}" type="sibTrans" cxnId="{5BC1E6A5-77A3-4B4E-B15C-BCB8337222D2}">
      <dgm:prSet/>
      <dgm:spPr/>
      <dgm:t>
        <a:bodyPr/>
        <a:lstStyle/>
        <a:p>
          <a:endParaRPr lang="pl-PL"/>
        </a:p>
      </dgm:t>
    </dgm:pt>
    <dgm:pt modelId="{4926BE29-3AC2-4A7B-B9BD-0C8F2B7B215B}">
      <dgm:prSet/>
      <dgm:spPr/>
      <dgm:t>
        <a:bodyPr/>
        <a:lstStyle/>
        <a:p>
          <a:r>
            <a:rPr lang="pl-PL" b="1"/>
            <a:t>Naczelnik Wydziału Finansowania Programów Współpracy Terytorialnej</a:t>
          </a:r>
        </a:p>
        <a:p>
          <a:r>
            <a:rPr lang="en-US"/>
            <a:t>(</a:t>
          </a:r>
          <a:r>
            <a:rPr lang="pl-PL"/>
            <a:t>jednostka płatnicza)</a:t>
          </a:r>
        </a:p>
      </dgm:t>
    </dgm:pt>
    <dgm:pt modelId="{35C8A5AE-9588-4BCF-A1F3-D66B9258D775}" type="parTrans" cxnId="{8372F733-9CFB-4775-93D8-545C4F286E6B}">
      <dgm:prSet/>
      <dgm:spPr/>
      <dgm:t>
        <a:bodyPr/>
        <a:lstStyle/>
        <a:p>
          <a:endParaRPr lang="pl-PL"/>
        </a:p>
      </dgm:t>
    </dgm:pt>
    <dgm:pt modelId="{1E7FF4F2-B6E3-4EA2-BE3B-078A5619AC64}" type="sibTrans" cxnId="{8372F733-9CFB-4775-93D8-545C4F286E6B}">
      <dgm:prSet/>
      <dgm:spPr/>
      <dgm:t>
        <a:bodyPr/>
        <a:lstStyle/>
        <a:p>
          <a:endParaRPr lang="pl-PL"/>
        </a:p>
      </dgm:t>
    </dgm:pt>
    <dgm:pt modelId="{8DE56BD4-800E-4B2B-A550-20DDCCEB1F35}">
      <dgm:prSet/>
      <dgm:spPr/>
      <dgm:t>
        <a:bodyPr/>
        <a:lstStyle/>
        <a:p>
          <a:r>
            <a:rPr lang="pl-PL" b="1">
              <a:solidFill>
                <a:sysClr val="windowText" lastClr="000000">
                  <a:hueOff val="0"/>
                  <a:satOff val="0"/>
                  <a:lumOff val="0"/>
                  <a:alphaOff val="0"/>
                </a:sysClr>
              </a:solidFill>
              <a:latin typeface="Calibri"/>
              <a:ea typeface="+mn-ea"/>
              <a:cs typeface="+mn-cs"/>
            </a:rPr>
            <a:t>Zastępca Dyrektora I</a:t>
          </a:r>
          <a:endParaRPr lang="pl-PL"/>
        </a:p>
      </dgm:t>
    </dgm:pt>
    <dgm:pt modelId="{C2643DF9-514D-42A8-94A7-B7709A2699A9}" type="sibTrans" cxnId="{EA143EF8-CA9B-4E65-8756-7A0C4426DDBF}">
      <dgm:prSet/>
      <dgm:spPr/>
      <dgm:t>
        <a:bodyPr/>
        <a:lstStyle/>
        <a:p>
          <a:endParaRPr lang="pl-PL"/>
        </a:p>
      </dgm:t>
    </dgm:pt>
    <dgm:pt modelId="{8C49CF11-77AA-4BCE-8077-F321020309AB}" type="parTrans" cxnId="{EA143EF8-CA9B-4E65-8756-7A0C4426DDBF}">
      <dgm:prSet/>
      <dgm:spPr/>
      <dgm:t>
        <a:bodyPr/>
        <a:lstStyle/>
        <a:p>
          <a:endParaRPr lang="pl-PL"/>
        </a:p>
      </dgm:t>
    </dgm:pt>
    <dgm:pt modelId="{A26BAE13-5D99-4A51-9D37-32A7C12287C4}">
      <dgm:prSet custT="1"/>
      <dgm:spPr>
        <a:xfrm>
          <a:off x="3045498" y="3964013"/>
          <a:ext cx="1190839" cy="566789"/>
        </a:xfrm>
      </dgm:spPr>
      <dgm:t>
        <a:bodyPr/>
        <a:lstStyle/>
        <a:p>
          <a:r>
            <a:rPr lang="pl-PL" sz="1000" b="1"/>
            <a:t>Naczelnik Wydziału Zarządzania Finansowego </a:t>
          </a:r>
          <a:r>
            <a:rPr lang="en-US" sz="1000"/>
            <a:t>(</a:t>
          </a:r>
          <a:r>
            <a:rPr lang="pl-PL" sz="1000"/>
            <a:t>jednostka finansowa</a:t>
          </a:r>
          <a:r>
            <a:rPr lang="en-US" sz="1000"/>
            <a:t>)</a:t>
          </a:r>
          <a:endParaRPr lang="pl-PL" sz="1000" b="0">
            <a:latin typeface="Calibri"/>
            <a:ea typeface="+mn-ea"/>
            <a:cs typeface="+mn-cs"/>
          </a:endParaRPr>
        </a:p>
      </dgm:t>
    </dgm:pt>
    <dgm:pt modelId="{83BD825F-3B43-44E9-8579-09FCBA1B1F5D}" type="parTrans" cxnId="{F2B9822F-B41C-4DBE-BD9D-BC4DF7E5A102}">
      <dgm:prSet/>
      <dgm:spPr/>
      <dgm:t>
        <a:bodyPr/>
        <a:lstStyle/>
        <a:p>
          <a:endParaRPr lang="pl-PL"/>
        </a:p>
      </dgm:t>
    </dgm:pt>
    <dgm:pt modelId="{0BD706B5-C2C1-4B75-9488-12CD4B9CE277}" type="sibTrans" cxnId="{F2B9822F-B41C-4DBE-BD9D-BC4DF7E5A102}">
      <dgm:prSet/>
      <dgm:spPr/>
      <dgm:t>
        <a:bodyPr/>
        <a:lstStyle/>
        <a:p>
          <a:endParaRPr lang="pl-PL"/>
        </a:p>
      </dgm:t>
    </dgm:pt>
    <dgm:pt modelId="{840D8F26-6747-4238-A802-B40B7716D4BB}">
      <dgm:prSet custT="1"/>
      <dgm:spPr/>
      <dgm:t>
        <a:bodyPr/>
        <a:lstStyle/>
        <a:p>
          <a:r>
            <a:rPr lang="pl-PL" sz="1000" b="1"/>
            <a:t>Dyrektor</a:t>
          </a:r>
          <a:r>
            <a:rPr lang="pl-PL" sz="1000"/>
            <a:t> Deparatementu Budżetu Rozwoju Ministerstwa Inwestycji i Rozwoju </a:t>
          </a:r>
          <a:r>
            <a:rPr lang="pl-PL" sz="1000">
              <a:solidFill>
                <a:sysClr val="windowText" lastClr="000000">
                  <a:hueOff val="0"/>
                  <a:satOff val="0"/>
                  <a:lumOff val="0"/>
                  <a:alphaOff val="0"/>
                </a:sysClr>
              </a:solidFill>
              <a:latin typeface="Calibri"/>
              <a:ea typeface="+mn-ea"/>
              <a:cs typeface="+mn-cs"/>
            </a:rPr>
            <a:t> </a:t>
          </a:r>
          <a:r>
            <a:rPr lang="pl-PL" sz="1000">
              <a:latin typeface="Calibri"/>
              <a:ea typeface="+mn-ea"/>
              <a:cs typeface="+mn-cs"/>
            </a:rPr>
            <a:t> </a:t>
          </a:r>
          <a:endParaRPr lang="pl-PL" sz="1000" b="1">
            <a:latin typeface="Calibri"/>
            <a:ea typeface="+mn-ea"/>
            <a:cs typeface="+mn-cs"/>
          </a:endParaRPr>
        </a:p>
      </dgm:t>
    </dgm:pt>
    <dgm:pt modelId="{7EFDA4D0-4AED-404F-A662-6D286837F106}" type="parTrans" cxnId="{7B4673C9-1F19-4313-8129-D68B67178F0C}">
      <dgm:prSet/>
      <dgm:spPr/>
      <dgm:t>
        <a:bodyPr/>
        <a:lstStyle/>
        <a:p>
          <a:endParaRPr lang="pl-PL"/>
        </a:p>
      </dgm:t>
    </dgm:pt>
    <dgm:pt modelId="{2FADF504-AE7F-42EF-9EE9-D4B01A19A501}" type="sibTrans" cxnId="{7B4673C9-1F19-4313-8129-D68B67178F0C}">
      <dgm:prSet/>
      <dgm:spPr/>
      <dgm:t>
        <a:bodyPr/>
        <a:lstStyle/>
        <a:p>
          <a:endParaRPr lang="pl-PL"/>
        </a:p>
      </dgm:t>
    </dgm:pt>
    <dgm:pt modelId="{E11D97A3-D959-4F45-BD92-55C9B06D16BF}" type="pres">
      <dgm:prSet presAssocID="{91CD336E-6B75-4D2F-B45C-8F523C332773}" presName="hierChild1" presStyleCnt="0">
        <dgm:presLayoutVars>
          <dgm:chPref val="1"/>
          <dgm:dir/>
          <dgm:animOne val="branch"/>
          <dgm:animLvl val="lvl"/>
          <dgm:resizeHandles/>
        </dgm:presLayoutVars>
      </dgm:prSet>
      <dgm:spPr/>
      <dgm:t>
        <a:bodyPr/>
        <a:lstStyle/>
        <a:p>
          <a:endParaRPr lang="pl-PL"/>
        </a:p>
      </dgm:t>
    </dgm:pt>
    <dgm:pt modelId="{5EBEACF9-80A9-48B9-BDAB-947C9F740138}" type="pres">
      <dgm:prSet presAssocID="{38CB82A0-54EA-4D01-BA76-D2B99B32792D}" presName="hierRoot1" presStyleCnt="0"/>
      <dgm:spPr/>
      <dgm:t>
        <a:bodyPr/>
        <a:lstStyle/>
        <a:p>
          <a:endParaRPr lang="pl-PL"/>
        </a:p>
      </dgm:t>
    </dgm:pt>
    <dgm:pt modelId="{665CAAB7-3C6E-4D9E-9BD4-042F875EFB35}" type="pres">
      <dgm:prSet presAssocID="{38CB82A0-54EA-4D01-BA76-D2B99B32792D}" presName="composite" presStyleCnt="0"/>
      <dgm:spPr/>
      <dgm:t>
        <a:bodyPr/>
        <a:lstStyle/>
        <a:p>
          <a:endParaRPr lang="pl-PL"/>
        </a:p>
      </dgm:t>
    </dgm:pt>
    <dgm:pt modelId="{9E4422F4-1523-4403-B729-B9172274383E}" type="pres">
      <dgm:prSet presAssocID="{38CB82A0-54EA-4D01-BA76-D2B99B32792D}" presName="background" presStyleLbl="node0" presStyleIdx="0" presStyleCnt="1"/>
      <dgm:spPr>
        <a:xfrm>
          <a:off x="1729985" y="355552"/>
          <a:ext cx="3539651" cy="323457"/>
        </a:xfrm>
        <a:prstGeom prst="roundRect">
          <a:avLst>
            <a:gd name="adj" fmla="val 10000"/>
          </a:avLst>
        </a:prstGeom>
      </dgm:spPr>
      <dgm:t>
        <a:bodyPr/>
        <a:lstStyle/>
        <a:p>
          <a:endParaRPr lang="pl-PL"/>
        </a:p>
      </dgm:t>
    </dgm:pt>
    <dgm:pt modelId="{69B49D04-FE3B-4FED-852A-8162AEB0CC49}" type="pres">
      <dgm:prSet presAssocID="{38CB82A0-54EA-4D01-BA76-D2B99B32792D}" presName="text" presStyleLbl="fgAcc0" presStyleIdx="0" presStyleCnt="1" custScaleX="297240" custScaleY="42775">
        <dgm:presLayoutVars>
          <dgm:chPref val="3"/>
        </dgm:presLayoutVars>
      </dgm:prSet>
      <dgm:spPr>
        <a:prstGeom prst="roundRect">
          <a:avLst>
            <a:gd name="adj" fmla="val 10000"/>
          </a:avLst>
        </a:prstGeom>
      </dgm:spPr>
      <dgm:t>
        <a:bodyPr/>
        <a:lstStyle/>
        <a:p>
          <a:endParaRPr lang="pl-PL"/>
        </a:p>
      </dgm:t>
    </dgm:pt>
    <dgm:pt modelId="{DFBE72B0-B24D-4DAF-9FD8-6E7B662B7990}" type="pres">
      <dgm:prSet presAssocID="{38CB82A0-54EA-4D01-BA76-D2B99B32792D}" presName="hierChild2" presStyleCnt="0"/>
      <dgm:spPr/>
      <dgm:t>
        <a:bodyPr/>
        <a:lstStyle/>
        <a:p>
          <a:endParaRPr lang="pl-PL"/>
        </a:p>
      </dgm:t>
    </dgm:pt>
    <dgm:pt modelId="{462765DC-A672-44BB-AC0A-C037183ADB32}" type="pres">
      <dgm:prSet presAssocID="{E02B1584-F7F2-4878-95B2-7656072ADF37}" presName="Name10" presStyleLbl="parChTrans1D2" presStyleIdx="0" presStyleCnt="2"/>
      <dgm:spPr>
        <a:custGeom>
          <a:avLst/>
          <a:gdLst/>
          <a:ahLst/>
          <a:cxnLst/>
          <a:rect l="0" t="0" r="0" b="0"/>
          <a:pathLst>
            <a:path>
              <a:moveTo>
                <a:pt x="1082441" y="0"/>
              </a:moveTo>
              <a:lnTo>
                <a:pt x="1082441" y="235937"/>
              </a:lnTo>
              <a:lnTo>
                <a:pt x="0" y="235937"/>
              </a:lnTo>
              <a:lnTo>
                <a:pt x="0" y="346217"/>
              </a:lnTo>
            </a:path>
          </a:pathLst>
        </a:custGeom>
      </dgm:spPr>
      <dgm:t>
        <a:bodyPr/>
        <a:lstStyle/>
        <a:p>
          <a:endParaRPr lang="pl-PL"/>
        </a:p>
      </dgm:t>
    </dgm:pt>
    <dgm:pt modelId="{5E346F1B-D876-4A0A-B045-739FDEA0CB97}" type="pres">
      <dgm:prSet presAssocID="{F121ED84-A79C-4854-8072-9EC383121252}" presName="hierRoot2" presStyleCnt="0"/>
      <dgm:spPr/>
      <dgm:t>
        <a:bodyPr/>
        <a:lstStyle/>
        <a:p>
          <a:endParaRPr lang="pl-PL"/>
        </a:p>
      </dgm:t>
    </dgm:pt>
    <dgm:pt modelId="{39E37123-DA5D-426C-B0AB-51D5D2248ECD}" type="pres">
      <dgm:prSet presAssocID="{F121ED84-A79C-4854-8072-9EC383121252}" presName="composite2" presStyleCnt="0"/>
      <dgm:spPr/>
      <dgm:t>
        <a:bodyPr/>
        <a:lstStyle/>
        <a:p>
          <a:endParaRPr lang="pl-PL"/>
        </a:p>
      </dgm:t>
    </dgm:pt>
    <dgm:pt modelId="{D1206613-9642-446D-9CBC-07FA69EA56C3}" type="pres">
      <dgm:prSet presAssocID="{F121ED84-A79C-4854-8072-9EC383121252}" presName="background2" presStyleLbl="node2" presStyleIdx="0" presStyleCnt="2"/>
      <dgm:spPr>
        <a:xfrm>
          <a:off x="1821580" y="1025345"/>
          <a:ext cx="1190839" cy="328508"/>
        </a:xfrm>
        <a:prstGeom prst="roundRect">
          <a:avLst>
            <a:gd name="adj" fmla="val 10000"/>
          </a:avLst>
        </a:prstGeom>
      </dgm:spPr>
      <dgm:t>
        <a:bodyPr/>
        <a:lstStyle/>
        <a:p>
          <a:endParaRPr lang="pl-PL"/>
        </a:p>
      </dgm:t>
    </dgm:pt>
    <dgm:pt modelId="{020A79BF-9A7C-4589-869D-BEA698CA5503}" type="pres">
      <dgm:prSet presAssocID="{F121ED84-A79C-4854-8072-9EC383121252}" presName="text2" presStyleLbl="fgAcc2" presStyleIdx="0" presStyleCnt="2" custScaleY="43443">
        <dgm:presLayoutVars>
          <dgm:chPref val="3"/>
        </dgm:presLayoutVars>
      </dgm:prSet>
      <dgm:spPr>
        <a:prstGeom prst="roundRect">
          <a:avLst>
            <a:gd name="adj" fmla="val 10000"/>
          </a:avLst>
        </a:prstGeom>
      </dgm:spPr>
      <dgm:t>
        <a:bodyPr/>
        <a:lstStyle/>
        <a:p>
          <a:endParaRPr lang="pl-PL"/>
        </a:p>
      </dgm:t>
    </dgm:pt>
    <dgm:pt modelId="{7622EB80-C534-40E9-95AD-01AFA1400D4C}" type="pres">
      <dgm:prSet presAssocID="{F121ED84-A79C-4854-8072-9EC383121252}" presName="hierChild3" presStyleCnt="0"/>
      <dgm:spPr/>
      <dgm:t>
        <a:bodyPr/>
        <a:lstStyle/>
        <a:p>
          <a:endParaRPr lang="pl-PL"/>
        </a:p>
      </dgm:t>
    </dgm:pt>
    <dgm:pt modelId="{AFAE6D09-1CFB-42D5-A6AC-62085CEAD88F}" type="pres">
      <dgm:prSet presAssocID="{E8F097E7-13D1-4035-9D6B-C4718F7EE6FD}" presName="Name17" presStyleLbl="parChTrans1D3" presStyleIdx="0" presStyleCnt="2"/>
      <dgm:spPr>
        <a:custGeom>
          <a:avLst/>
          <a:gdLst/>
          <a:ahLst/>
          <a:cxnLst/>
          <a:rect l="0" t="0" r="0" b="0"/>
          <a:pathLst>
            <a:path>
              <a:moveTo>
                <a:pt x="45720" y="0"/>
              </a:moveTo>
              <a:lnTo>
                <a:pt x="45720" y="346217"/>
              </a:lnTo>
            </a:path>
          </a:pathLst>
        </a:custGeom>
      </dgm:spPr>
      <dgm:t>
        <a:bodyPr/>
        <a:lstStyle/>
        <a:p>
          <a:endParaRPr lang="pl-PL"/>
        </a:p>
      </dgm:t>
    </dgm:pt>
    <dgm:pt modelId="{85C00E83-3E03-4A7D-BA77-332269FE387E}" type="pres">
      <dgm:prSet presAssocID="{8BE70DAC-C90A-49D4-BFFF-D8D21A0B2E92}" presName="hierRoot3" presStyleCnt="0"/>
      <dgm:spPr/>
      <dgm:t>
        <a:bodyPr/>
        <a:lstStyle/>
        <a:p>
          <a:endParaRPr lang="pl-PL"/>
        </a:p>
      </dgm:t>
    </dgm:pt>
    <dgm:pt modelId="{92C9E3E9-CF36-4A9F-8012-AAAD425E5BF9}" type="pres">
      <dgm:prSet presAssocID="{8BE70DAC-C90A-49D4-BFFF-D8D21A0B2E92}" presName="composite3" presStyleCnt="0"/>
      <dgm:spPr/>
      <dgm:t>
        <a:bodyPr/>
        <a:lstStyle/>
        <a:p>
          <a:endParaRPr lang="pl-PL"/>
        </a:p>
      </dgm:t>
    </dgm:pt>
    <dgm:pt modelId="{A887967D-7493-4D67-86EF-C7E356E75D96}" type="pres">
      <dgm:prSet presAssocID="{8BE70DAC-C90A-49D4-BFFF-D8D21A0B2E92}" presName="background3" presStyleLbl="node3" presStyleIdx="0" presStyleCnt="2"/>
      <dgm:spPr>
        <a:xfrm>
          <a:off x="1558279" y="1700190"/>
          <a:ext cx="1717440" cy="819611"/>
        </a:xfrm>
        <a:prstGeom prst="roundRect">
          <a:avLst>
            <a:gd name="adj" fmla="val 10000"/>
          </a:avLst>
        </a:prstGeom>
      </dgm:spPr>
      <dgm:t>
        <a:bodyPr/>
        <a:lstStyle/>
        <a:p>
          <a:endParaRPr lang="pl-PL"/>
        </a:p>
      </dgm:t>
    </dgm:pt>
    <dgm:pt modelId="{F860EC7A-EBCA-4A64-950B-444F4C2670CF}" type="pres">
      <dgm:prSet presAssocID="{8BE70DAC-C90A-49D4-BFFF-D8D21A0B2E92}" presName="text3" presStyleLbl="fgAcc3" presStyleIdx="0" presStyleCnt="2" custScaleX="144221" custScaleY="83421">
        <dgm:presLayoutVars>
          <dgm:chPref val="3"/>
        </dgm:presLayoutVars>
      </dgm:prSet>
      <dgm:spPr>
        <a:prstGeom prst="roundRect">
          <a:avLst>
            <a:gd name="adj" fmla="val 10000"/>
          </a:avLst>
        </a:prstGeom>
      </dgm:spPr>
      <dgm:t>
        <a:bodyPr/>
        <a:lstStyle/>
        <a:p>
          <a:endParaRPr lang="pl-PL"/>
        </a:p>
      </dgm:t>
    </dgm:pt>
    <dgm:pt modelId="{59B63455-22CE-4B55-83B7-467F64E768DD}" type="pres">
      <dgm:prSet presAssocID="{8BE70DAC-C90A-49D4-BFFF-D8D21A0B2E92}" presName="hierChild4" presStyleCnt="0"/>
      <dgm:spPr/>
      <dgm:t>
        <a:bodyPr/>
        <a:lstStyle/>
        <a:p>
          <a:endParaRPr lang="pl-PL"/>
        </a:p>
      </dgm:t>
    </dgm:pt>
    <dgm:pt modelId="{66B033E0-BA23-480F-AD2C-DBBB0F0934A5}" type="pres">
      <dgm:prSet presAssocID="{4D90AD42-537C-40B8-B194-6EE863B954AE}" presName="Name23" presStyleLbl="parChTrans1D4" presStyleIdx="0" presStyleCnt="6"/>
      <dgm:spPr>
        <a:custGeom>
          <a:avLst/>
          <a:gdLst/>
          <a:ahLst/>
          <a:cxnLst/>
          <a:rect l="0" t="0" r="0" b="0"/>
          <a:pathLst>
            <a:path>
              <a:moveTo>
                <a:pt x="1091230" y="0"/>
              </a:moveTo>
              <a:lnTo>
                <a:pt x="1091230" y="235937"/>
              </a:lnTo>
              <a:lnTo>
                <a:pt x="0" y="235937"/>
              </a:lnTo>
              <a:lnTo>
                <a:pt x="0" y="346217"/>
              </a:lnTo>
            </a:path>
          </a:pathLst>
        </a:custGeom>
      </dgm:spPr>
      <dgm:t>
        <a:bodyPr/>
        <a:lstStyle/>
        <a:p>
          <a:endParaRPr lang="pl-PL"/>
        </a:p>
      </dgm:t>
    </dgm:pt>
    <dgm:pt modelId="{32811790-F87E-4629-A1E8-28A6829C66E2}" type="pres">
      <dgm:prSet presAssocID="{9AED8CD4-2259-4D4C-8F12-55473FCBDB0D}" presName="hierRoot4" presStyleCnt="0"/>
      <dgm:spPr/>
      <dgm:t>
        <a:bodyPr/>
        <a:lstStyle/>
        <a:p>
          <a:endParaRPr lang="pl-PL"/>
        </a:p>
      </dgm:t>
    </dgm:pt>
    <dgm:pt modelId="{0F20E14A-2A58-4C61-B3D5-9BAD52402680}" type="pres">
      <dgm:prSet presAssocID="{9AED8CD4-2259-4D4C-8F12-55473FCBDB0D}" presName="composite4" presStyleCnt="0"/>
      <dgm:spPr/>
      <dgm:t>
        <a:bodyPr/>
        <a:lstStyle/>
        <a:p>
          <a:endParaRPr lang="pl-PL"/>
        </a:p>
      </dgm:t>
    </dgm:pt>
    <dgm:pt modelId="{662A104A-8EB3-4139-8E37-BE709991E1B6}" type="pres">
      <dgm:prSet presAssocID="{9AED8CD4-2259-4D4C-8F12-55473FCBDB0D}" presName="background4" presStyleLbl="node4" presStyleIdx="0" presStyleCnt="6"/>
      <dgm:spPr>
        <a:xfrm>
          <a:off x="729977" y="2866137"/>
          <a:ext cx="1190839" cy="632849"/>
        </a:xfrm>
        <a:prstGeom prst="roundRect">
          <a:avLst>
            <a:gd name="adj" fmla="val 10000"/>
          </a:avLst>
        </a:prstGeom>
      </dgm:spPr>
      <dgm:t>
        <a:bodyPr/>
        <a:lstStyle/>
        <a:p>
          <a:endParaRPr lang="pl-PL"/>
        </a:p>
      </dgm:t>
    </dgm:pt>
    <dgm:pt modelId="{22467EE5-E849-4D0A-B92C-7B0433113A50}" type="pres">
      <dgm:prSet presAssocID="{9AED8CD4-2259-4D4C-8F12-55473FCBDB0D}" presName="text4" presStyleLbl="fgAcc4" presStyleIdx="0" presStyleCnt="6" custScaleX="131896" custScaleY="83690">
        <dgm:presLayoutVars>
          <dgm:chPref val="3"/>
        </dgm:presLayoutVars>
      </dgm:prSet>
      <dgm:spPr>
        <a:prstGeom prst="roundRect">
          <a:avLst>
            <a:gd name="adj" fmla="val 10000"/>
          </a:avLst>
        </a:prstGeom>
      </dgm:spPr>
      <dgm:t>
        <a:bodyPr/>
        <a:lstStyle/>
        <a:p>
          <a:endParaRPr lang="pl-PL"/>
        </a:p>
      </dgm:t>
    </dgm:pt>
    <dgm:pt modelId="{184F5C7E-E30C-42FD-B841-A4516FD5CD91}" type="pres">
      <dgm:prSet presAssocID="{9AED8CD4-2259-4D4C-8F12-55473FCBDB0D}" presName="hierChild5" presStyleCnt="0"/>
      <dgm:spPr/>
      <dgm:t>
        <a:bodyPr/>
        <a:lstStyle/>
        <a:p>
          <a:endParaRPr lang="pl-PL"/>
        </a:p>
      </dgm:t>
    </dgm:pt>
    <dgm:pt modelId="{16BBD4ED-1BE8-4823-A951-D85FAE3E7799}" type="pres">
      <dgm:prSet presAssocID="{8160189F-2BCC-4017-8E90-3BA86091EFED}" presName="Name23" presStyleLbl="parChTrans1D4" presStyleIdx="1" presStyleCnt="6"/>
      <dgm:spPr>
        <a:custGeom>
          <a:avLst/>
          <a:gdLst/>
          <a:ahLst/>
          <a:cxnLst/>
          <a:rect l="0" t="0" r="0" b="0"/>
          <a:pathLst>
            <a:path>
              <a:moveTo>
                <a:pt x="0" y="0"/>
              </a:moveTo>
              <a:lnTo>
                <a:pt x="0" y="235937"/>
              </a:lnTo>
              <a:lnTo>
                <a:pt x="727486" y="235937"/>
              </a:lnTo>
              <a:lnTo>
                <a:pt x="727486" y="346217"/>
              </a:lnTo>
            </a:path>
          </a:pathLst>
        </a:custGeom>
      </dgm:spPr>
      <dgm:t>
        <a:bodyPr/>
        <a:lstStyle/>
        <a:p>
          <a:endParaRPr lang="pl-PL"/>
        </a:p>
      </dgm:t>
    </dgm:pt>
    <dgm:pt modelId="{674935A8-885C-46AD-8DA0-101D11A3742B}" type="pres">
      <dgm:prSet presAssocID="{9E6CEF41-6DD5-4402-8AC0-9A0A516E3B3A}" presName="hierRoot4" presStyleCnt="0"/>
      <dgm:spPr/>
      <dgm:t>
        <a:bodyPr/>
        <a:lstStyle/>
        <a:p>
          <a:endParaRPr lang="pl-PL"/>
        </a:p>
      </dgm:t>
    </dgm:pt>
    <dgm:pt modelId="{908C15A4-4A8C-4F06-A721-9E3C6FB2F1BF}" type="pres">
      <dgm:prSet presAssocID="{9E6CEF41-6DD5-4402-8AC0-9A0A516E3B3A}" presName="composite4" presStyleCnt="0"/>
      <dgm:spPr/>
      <dgm:t>
        <a:bodyPr/>
        <a:lstStyle/>
        <a:p>
          <a:endParaRPr lang="pl-PL"/>
        </a:p>
      </dgm:t>
    </dgm:pt>
    <dgm:pt modelId="{98230C6B-2BBA-4B31-BE9C-16504951EEAE}" type="pres">
      <dgm:prSet presAssocID="{9E6CEF41-6DD5-4402-8AC0-9A0A516E3B3A}" presName="background4" presStyleLbl="node4" presStyleIdx="1" presStyleCnt="6"/>
      <dgm:spPr>
        <a:xfrm>
          <a:off x="1457712" y="3845323"/>
          <a:ext cx="1190839" cy="683574"/>
        </a:xfrm>
        <a:prstGeom prst="roundRect">
          <a:avLst>
            <a:gd name="adj" fmla="val 10000"/>
          </a:avLst>
        </a:prstGeom>
      </dgm:spPr>
      <dgm:t>
        <a:bodyPr/>
        <a:lstStyle/>
        <a:p>
          <a:endParaRPr lang="pl-PL"/>
        </a:p>
      </dgm:t>
    </dgm:pt>
    <dgm:pt modelId="{DDD5AA0A-9F71-4155-8B3F-54AD5DC581BA}" type="pres">
      <dgm:prSet presAssocID="{9E6CEF41-6DD5-4402-8AC0-9A0A516E3B3A}" presName="text4" presStyleLbl="fgAcc4" presStyleIdx="1" presStyleCnt="6" custScaleX="132537" custScaleY="156818">
        <dgm:presLayoutVars>
          <dgm:chPref val="3"/>
        </dgm:presLayoutVars>
      </dgm:prSet>
      <dgm:spPr>
        <a:prstGeom prst="roundRect">
          <a:avLst>
            <a:gd name="adj" fmla="val 10000"/>
          </a:avLst>
        </a:prstGeom>
      </dgm:spPr>
      <dgm:t>
        <a:bodyPr/>
        <a:lstStyle/>
        <a:p>
          <a:endParaRPr lang="pl-PL"/>
        </a:p>
      </dgm:t>
    </dgm:pt>
    <dgm:pt modelId="{803AD57A-1FA5-460A-8A43-C3CD2F90B691}" type="pres">
      <dgm:prSet presAssocID="{9E6CEF41-6DD5-4402-8AC0-9A0A516E3B3A}" presName="hierChild5" presStyleCnt="0"/>
      <dgm:spPr/>
      <dgm:t>
        <a:bodyPr/>
        <a:lstStyle/>
        <a:p>
          <a:endParaRPr lang="pl-PL"/>
        </a:p>
      </dgm:t>
    </dgm:pt>
    <dgm:pt modelId="{44A232B9-5D9B-4CA5-A5B8-39E16BA592B3}" type="pres">
      <dgm:prSet presAssocID="{C4DA47B0-A79D-4368-86FB-4E8B0FB40879}" presName="Name23" presStyleLbl="parChTrans1D4" presStyleIdx="2" presStyleCnt="6"/>
      <dgm:spPr>
        <a:custGeom>
          <a:avLst/>
          <a:gdLst/>
          <a:ahLst/>
          <a:cxnLst/>
          <a:rect l="0" t="0" r="0" b="0"/>
          <a:pathLst>
            <a:path>
              <a:moveTo>
                <a:pt x="0" y="0"/>
              </a:moveTo>
              <a:lnTo>
                <a:pt x="0" y="235937"/>
              </a:lnTo>
              <a:lnTo>
                <a:pt x="1091230" y="235937"/>
              </a:lnTo>
              <a:lnTo>
                <a:pt x="1091230" y="346217"/>
              </a:lnTo>
            </a:path>
          </a:pathLst>
        </a:custGeom>
      </dgm:spPr>
      <dgm:t>
        <a:bodyPr/>
        <a:lstStyle/>
        <a:p>
          <a:endParaRPr lang="pl-PL"/>
        </a:p>
      </dgm:t>
    </dgm:pt>
    <dgm:pt modelId="{F0C3D09E-5336-4907-8E0E-C135D08621B4}" type="pres">
      <dgm:prSet presAssocID="{AE16959A-8444-4D07-A8AA-B12FEAF12942}" presName="hierRoot4" presStyleCnt="0"/>
      <dgm:spPr/>
      <dgm:t>
        <a:bodyPr/>
        <a:lstStyle/>
        <a:p>
          <a:endParaRPr lang="pl-PL"/>
        </a:p>
      </dgm:t>
    </dgm:pt>
    <dgm:pt modelId="{EC6477B2-6B77-410B-9538-BD759E74B531}" type="pres">
      <dgm:prSet presAssocID="{AE16959A-8444-4D07-A8AA-B12FEAF12942}" presName="composite4" presStyleCnt="0"/>
      <dgm:spPr/>
      <dgm:t>
        <a:bodyPr/>
        <a:lstStyle/>
        <a:p>
          <a:endParaRPr lang="pl-PL"/>
        </a:p>
      </dgm:t>
    </dgm:pt>
    <dgm:pt modelId="{1631AF6B-13E4-46A2-81CC-F84FB1C49B92}" type="pres">
      <dgm:prSet presAssocID="{AE16959A-8444-4D07-A8AA-B12FEAF12942}" presName="background4" presStyleLbl="node4" presStyleIdx="2" presStyleCnt="6"/>
      <dgm:spPr>
        <a:xfrm>
          <a:off x="2913183" y="2866137"/>
          <a:ext cx="1190839" cy="625839"/>
        </a:xfrm>
        <a:prstGeom prst="roundRect">
          <a:avLst>
            <a:gd name="adj" fmla="val 10000"/>
          </a:avLst>
        </a:prstGeom>
      </dgm:spPr>
      <dgm:t>
        <a:bodyPr/>
        <a:lstStyle/>
        <a:p>
          <a:endParaRPr lang="pl-PL"/>
        </a:p>
      </dgm:t>
    </dgm:pt>
    <dgm:pt modelId="{D2C7596E-D285-4F55-AB8E-1679809F5935}" type="pres">
      <dgm:prSet presAssocID="{AE16959A-8444-4D07-A8AA-B12FEAF12942}" presName="text4" presStyleLbl="fgAcc4" presStyleIdx="2" presStyleCnt="6" custScaleX="110300" custScaleY="96573">
        <dgm:presLayoutVars>
          <dgm:chPref val="3"/>
        </dgm:presLayoutVars>
      </dgm:prSet>
      <dgm:spPr>
        <a:prstGeom prst="roundRect">
          <a:avLst>
            <a:gd name="adj" fmla="val 10000"/>
          </a:avLst>
        </a:prstGeom>
      </dgm:spPr>
      <dgm:t>
        <a:bodyPr/>
        <a:lstStyle/>
        <a:p>
          <a:endParaRPr lang="pl-PL"/>
        </a:p>
      </dgm:t>
    </dgm:pt>
    <dgm:pt modelId="{D7429FBA-30D1-4242-B412-60CF4F7C7EB7}" type="pres">
      <dgm:prSet presAssocID="{AE16959A-8444-4D07-A8AA-B12FEAF12942}" presName="hierChild5" presStyleCnt="0"/>
      <dgm:spPr/>
      <dgm:t>
        <a:bodyPr/>
        <a:lstStyle/>
        <a:p>
          <a:endParaRPr lang="pl-PL"/>
        </a:p>
      </dgm:t>
    </dgm:pt>
    <dgm:pt modelId="{373C7C68-C822-423E-95D1-1AF3DB9EF73C}" type="pres">
      <dgm:prSet presAssocID="{86ECB324-3CBC-4F56-BC63-A67CCC49B92C}" presName="Name23" presStyleLbl="parChTrans1D4" presStyleIdx="3" presStyleCnt="6"/>
      <dgm:spPr>
        <a:custGeom>
          <a:avLst/>
          <a:gdLst/>
          <a:ahLst/>
          <a:cxnLst/>
          <a:rect l="0" t="0" r="0" b="0"/>
          <a:pathLst>
            <a:path>
              <a:moveTo>
                <a:pt x="45720" y="0"/>
              </a:moveTo>
              <a:lnTo>
                <a:pt x="45720" y="346217"/>
              </a:lnTo>
            </a:path>
          </a:pathLst>
        </a:custGeom>
      </dgm:spPr>
      <dgm:t>
        <a:bodyPr/>
        <a:lstStyle/>
        <a:p>
          <a:endParaRPr lang="pl-PL"/>
        </a:p>
      </dgm:t>
    </dgm:pt>
    <dgm:pt modelId="{15B8B781-CB2C-496A-BB24-17858C10B4A6}" type="pres">
      <dgm:prSet presAssocID="{F64C71FA-5833-4F12-B273-DE6FAE278396}" presName="hierRoot4" presStyleCnt="0"/>
      <dgm:spPr/>
      <dgm:t>
        <a:bodyPr/>
        <a:lstStyle/>
        <a:p>
          <a:endParaRPr lang="pl-PL"/>
        </a:p>
      </dgm:t>
    </dgm:pt>
    <dgm:pt modelId="{2A1E7E66-414E-4E41-8433-31AE97D23E0C}" type="pres">
      <dgm:prSet presAssocID="{F64C71FA-5833-4F12-B273-DE6FAE278396}" presName="composite4" presStyleCnt="0"/>
      <dgm:spPr/>
      <dgm:t>
        <a:bodyPr/>
        <a:lstStyle/>
        <a:p>
          <a:endParaRPr lang="pl-PL"/>
        </a:p>
      </dgm:t>
    </dgm:pt>
    <dgm:pt modelId="{5F3674DD-9E0E-4525-B257-DEC25915E5B4}" type="pres">
      <dgm:prSet presAssocID="{F64C71FA-5833-4F12-B273-DE6FAE278396}" presName="background4" presStyleLbl="node4" presStyleIdx="3" presStyleCnt="6"/>
      <dgm:spPr>
        <a:xfrm>
          <a:off x="2913183" y="3838313"/>
          <a:ext cx="1190839" cy="566789"/>
        </a:xfrm>
        <a:prstGeom prst="roundRect">
          <a:avLst>
            <a:gd name="adj" fmla="val 10000"/>
          </a:avLst>
        </a:prstGeom>
      </dgm:spPr>
      <dgm:t>
        <a:bodyPr/>
        <a:lstStyle/>
        <a:p>
          <a:endParaRPr lang="pl-PL"/>
        </a:p>
      </dgm:t>
    </dgm:pt>
    <dgm:pt modelId="{169AF7D3-2F33-4169-B263-32BB7429106A}" type="pres">
      <dgm:prSet presAssocID="{F64C71FA-5833-4F12-B273-DE6FAE278396}" presName="text4" presStyleLbl="fgAcc4" presStyleIdx="3" presStyleCnt="6" custScaleY="149459">
        <dgm:presLayoutVars>
          <dgm:chPref val="3"/>
        </dgm:presLayoutVars>
      </dgm:prSet>
      <dgm:spPr>
        <a:prstGeom prst="roundRect">
          <a:avLst>
            <a:gd name="adj" fmla="val 10000"/>
          </a:avLst>
        </a:prstGeom>
      </dgm:spPr>
      <dgm:t>
        <a:bodyPr/>
        <a:lstStyle/>
        <a:p>
          <a:endParaRPr lang="pl-PL"/>
        </a:p>
      </dgm:t>
    </dgm:pt>
    <dgm:pt modelId="{E789E245-ADC0-4DDA-8251-FC6488868794}" type="pres">
      <dgm:prSet presAssocID="{F64C71FA-5833-4F12-B273-DE6FAE278396}" presName="hierChild5" presStyleCnt="0"/>
      <dgm:spPr/>
      <dgm:t>
        <a:bodyPr/>
        <a:lstStyle/>
        <a:p>
          <a:endParaRPr lang="pl-PL"/>
        </a:p>
      </dgm:t>
    </dgm:pt>
    <dgm:pt modelId="{858CEBD0-FA35-448F-8D2B-2F63A1079333}" type="pres">
      <dgm:prSet presAssocID="{83BD825F-3B43-44E9-8579-09FCBA1B1F5D}" presName="Name23" presStyleLbl="parChTrans1D4" presStyleIdx="4" presStyleCnt="6"/>
      <dgm:spPr/>
      <dgm:t>
        <a:bodyPr/>
        <a:lstStyle/>
        <a:p>
          <a:endParaRPr lang="pl-PL"/>
        </a:p>
      </dgm:t>
    </dgm:pt>
    <dgm:pt modelId="{CAF961AA-8DDE-47CD-B297-33D32EC1B151}" type="pres">
      <dgm:prSet presAssocID="{A26BAE13-5D99-4A51-9D37-32A7C12287C4}" presName="hierRoot4" presStyleCnt="0"/>
      <dgm:spPr/>
      <dgm:t>
        <a:bodyPr/>
        <a:lstStyle/>
        <a:p>
          <a:endParaRPr lang="pl-PL"/>
        </a:p>
      </dgm:t>
    </dgm:pt>
    <dgm:pt modelId="{965E4B27-B9AB-48DB-A8B0-1EC7BA551AF0}" type="pres">
      <dgm:prSet presAssocID="{A26BAE13-5D99-4A51-9D37-32A7C12287C4}" presName="composite4" presStyleCnt="0"/>
      <dgm:spPr/>
      <dgm:t>
        <a:bodyPr/>
        <a:lstStyle/>
        <a:p>
          <a:endParaRPr lang="pl-PL"/>
        </a:p>
      </dgm:t>
    </dgm:pt>
    <dgm:pt modelId="{752CAAE6-637F-4B73-B34B-40871F0E1313}" type="pres">
      <dgm:prSet presAssocID="{A26BAE13-5D99-4A51-9D37-32A7C12287C4}" presName="background4" presStyleLbl="node4" presStyleIdx="4" presStyleCnt="6"/>
      <dgm:spPr/>
      <dgm:t>
        <a:bodyPr/>
        <a:lstStyle/>
        <a:p>
          <a:endParaRPr lang="pl-PL"/>
        </a:p>
      </dgm:t>
    </dgm:pt>
    <dgm:pt modelId="{1236CE3B-0CA1-4000-9C68-612E41A61FF1}" type="pres">
      <dgm:prSet presAssocID="{A26BAE13-5D99-4A51-9D37-32A7C12287C4}" presName="text4" presStyleLbl="fgAcc4" presStyleIdx="4" presStyleCnt="6" custScaleX="100725" custScaleY="125860">
        <dgm:presLayoutVars>
          <dgm:chPref val="3"/>
        </dgm:presLayoutVars>
      </dgm:prSet>
      <dgm:spPr/>
      <dgm:t>
        <a:bodyPr/>
        <a:lstStyle/>
        <a:p>
          <a:endParaRPr lang="pl-PL"/>
        </a:p>
      </dgm:t>
    </dgm:pt>
    <dgm:pt modelId="{8F6F7D52-1A00-4E1E-AE1C-E6037245A47A}" type="pres">
      <dgm:prSet presAssocID="{A26BAE13-5D99-4A51-9D37-32A7C12287C4}" presName="hierChild5" presStyleCnt="0"/>
      <dgm:spPr/>
      <dgm:t>
        <a:bodyPr/>
        <a:lstStyle/>
        <a:p>
          <a:endParaRPr lang="pl-PL"/>
        </a:p>
      </dgm:t>
    </dgm:pt>
    <dgm:pt modelId="{17939B28-1775-4C4B-B877-C4E0CA078FD9}" type="pres">
      <dgm:prSet presAssocID="{7EFDA4D0-4AED-404F-A662-6D286837F106}" presName="Name10" presStyleLbl="parChTrans1D2" presStyleIdx="1" presStyleCnt="2"/>
      <dgm:spPr/>
      <dgm:t>
        <a:bodyPr/>
        <a:lstStyle/>
        <a:p>
          <a:endParaRPr lang="pl-PL"/>
        </a:p>
      </dgm:t>
    </dgm:pt>
    <dgm:pt modelId="{387753F7-2382-4B16-A1DE-134FF95D6A84}" type="pres">
      <dgm:prSet presAssocID="{840D8F26-6747-4238-A802-B40B7716D4BB}" presName="hierRoot2" presStyleCnt="0"/>
      <dgm:spPr/>
      <dgm:t>
        <a:bodyPr/>
        <a:lstStyle/>
        <a:p>
          <a:endParaRPr lang="pl-PL"/>
        </a:p>
      </dgm:t>
    </dgm:pt>
    <dgm:pt modelId="{ADAD06EF-F3A0-494B-892B-F9B78BD2C5BB}" type="pres">
      <dgm:prSet presAssocID="{840D8F26-6747-4238-A802-B40B7716D4BB}" presName="composite2" presStyleCnt="0"/>
      <dgm:spPr/>
      <dgm:t>
        <a:bodyPr/>
        <a:lstStyle/>
        <a:p>
          <a:endParaRPr lang="pl-PL"/>
        </a:p>
      </dgm:t>
    </dgm:pt>
    <dgm:pt modelId="{ACF2202A-DA10-46C4-B2ED-05B8A792E536}" type="pres">
      <dgm:prSet presAssocID="{840D8F26-6747-4238-A802-B40B7716D4BB}" presName="background2" presStyleLbl="node2" presStyleIdx="1" presStyleCnt="2"/>
      <dgm:spPr/>
      <dgm:t>
        <a:bodyPr/>
        <a:lstStyle/>
        <a:p>
          <a:endParaRPr lang="pl-PL"/>
        </a:p>
      </dgm:t>
    </dgm:pt>
    <dgm:pt modelId="{4A0DBC30-037A-44F4-B699-9C12AC0CE6A5}" type="pres">
      <dgm:prSet presAssocID="{840D8F26-6747-4238-A802-B40B7716D4BB}" presName="text2" presStyleLbl="fgAcc2" presStyleIdx="1" presStyleCnt="2" custScaleX="101482" custScaleY="141962" custLinFactNeighborX="824" custLinFactNeighborY="1298">
        <dgm:presLayoutVars>
          <dgm:chPref val="3"/>
        </dgm:presLayoutVars>
      </dgm:prSet>
      <dgm:spPr/>
      <dgm:t>
        <a:bodyPr/>
        <a:lstStyle/>
        <a:p>
          <a:endParaRPr lang="pl-PL"/>
        </a:p>
      </dgm:t>
    </dgm:pt>
    <dgm:pt modelId="{E223DB5E-E736-4320-8C9A-F4D11B78DC23}" type="pres">
      <dgm:prSet presAssocID="{840D8F26-6747-4238-A802-B40B7716D4BB}" presName="hierChild3" presStyleCnt="0"/>
      <dgm:spPr/>
      <dgm:t>
        <a:bodyPr/>
        <a:lstStyle/>
        <a:p>
          <a:endParaRPr lang="pl-PL"/>
        </a:p>
      </dgm:t>
    </dgm:pt>
    <dgm:pt modelId="{1E1DBC3D-E436-46B8-944B-D7F11F5DBC7A}" type="pres">
      <dgm:prSet presAssocID="{8C49CF11-77AA-4BCE-8077-F321020309AB}" presName="Name17" presStyleLbl="parChTrans1D3" presStyleIdx="1" presStyleCnt="2"/>
      <dgm:spPr/>
      <dgm:t>
        <a:bodyPr/>
        <a:lstStyle/>
        <a:p>
          <a:endParaRPr lang="pl-PL"/>
        </a:p>
      </dgm:t>
    </dgm:pt>
    <dgm:pt modelId="{0E49A95A-02DA-4EE6-9265-F5AFDA63526F}" type="pres">
      <dgm:prSet presAssocID="{8DE56BD4-800E-4B2B-A550-20DDCCEB1F35}" presName="hierRoot3" presStyleCnt="0"/>
      <dgm:spPr/>
      <dgm:t>
        <a:bodyPr/>
        <a:lstStyle/>
        <a:p>
          <a:endParaRPr lang="pl-PL"/>
        </a:p>
      </dgm:t>
    </dgm:pt>
    <dgm:pt modelId="{9759477E-E175-43B9-BB44-E4CBF94DE168}" type="pres">
      <dgm:prSet presAssocID="{8DE56BD4-800E-4B2B-A550-20DDCCEB1F35}" presName="composite3" presStyleCnt="0"/>
      <dgm:spPr/>
      <dgm:t>
        <a:bodyPr/>
        <a:lstStyle/>
        <a:p>
          <a:endParaRPr lang="pl-PL"/>
        </a:p>
      </dgm:t>
    </dgm:pt>
    <dgm:pt modelId="{A0B4DBC0-DB2F-4A82-8C12-2A4BFCF923F7}" type="pres">
      <dgm:prSet presAssocID="{8DE56BD4-800E-4B2B-A550-20DDCCEB1F35}" presName="background3" presStyleLbl="node3" presStyleIdx="1" presStyleCnt="2"/>
      <dgm:spPr/>
      <dgm:t>
        <a:bodyPr/>
        <a:lstStyle/>
        <a:p>
          <a:endParaRPr lang="pl-PL"/>
        </a:p>
      </dgm:t>
    </dgm:pt>
    <dgm:pt modelId="{62786B1D-2042-4D87-90DC-5AF94A3D2D26}" type="pres">
      <dgm:prSet presAssocID="{8DE56BD4-800E-4B2B-A550-20DDCCEB1F35}" presName="text3" presStyleLbl="fgAcc3" presStyleIdx="1" presStyleCnt="2" custScaleX="109926">
        <dgm:presLayoutVars>
          <dgm:chPref val="3"/>
        </dgm:presLayoutVars>
      </dgm:prSet>
      <dgm:spPr/>
      <dgm:t>
        <a:bodyPr/>
        <a:lstStyle/>
        <a:p>
          <a:endParaRPr lang="pl-PL"/>
        </a:p>
      </dgm:t>
    </dgm:pt>
    <dgm:pt modelId="{EB7E83A7-EFA4-446A-9020-5D25D003F978}" type="pres">
      <dgm:prSet presAssocID="{8DE56BD4-800E-4B2B-A550-20DDCCEB1F35}" presName="hierChild4" presStyleCnt="0"/>
      <dgm:spPr/>
      <dgm:t>
        <a:bodyPr/>
        <a:lstStyle/>
        <a:p>
          <a:endParaRPr lang="pl-PL"/>
        </a:p>
      </dgm:t>
    </dgm:pt>
    <dgm:pt modelId="{1961F0F0-F76E-4972-A681-14059683427E}" type="pres">
      <dgm:prSet presAssocID="{35C8A5AE-9588-4BCF-A1F3-D66B9258D775}" presName="Name23" presStyleLbl="parChTrans1D4" presStyleIdx="5" presStyleCnt="6"/>
      <dgm:spPr/>
      <dgm:t>
        <a:bodyPr/>
        <a:lstStyle/>
        <a:p>
          <a:endParaRPr lang="pl-PL"/>
        </a:p>
      </dgm:t>
    </dgm:pt>
    <dgm:pt modelId="{64A7A4D8-A413-419A-9B63-66E4D4577DB2}" type="pres">
      <dgm:prSet presAssocID="{4926BE29-3AC2-4A7B-B9BD-0C8F2B7B215B}" presName="hierRoot4" presStyleCnt="0"/>
      <dgm:spPr/>
      <dgm:t>
        <a:bodyPr/>
        <a:lstStyle/>
        <a:p>
          <a:endParaRPr lang="pl-PL"/>
        </a:p>
      </dgm:t>
    </dgm:pt>
    <dgm:pt modelId="{C6A441E4-DDAC-47C6-A524-DF833F4E4FA8}" type="pres">
      <dgm:prSet presAssocID="{4926BE29-3AC2-4A7B-B9BD-0C8F2B7B215B}" presName="composite4" presStyleCnt="0"/>
      <dgm:spPr/>
      <dgm:t>
        <a:bodyPr/>
        <a:lstStyle/>
        <a:p>
          <a:endParaRPr lang="pl-PL"/>
        </a:p>
      </dgm:t>
    </dgm:pt>
    <dgm:pt modelId="{DFBDC156-0857-4553-BDE0-B8DEB892FF1C}" type="pres">
      <dgm:prSet presAssocID="{4926BE29-3AC2-4A7B-B9BD-0C8F2B7B215B}" presName="background4" presStyleLbl="node4" presStyleIdx="5" presStyleCnt="6"/>
      <dgm:spPr/>
      <dgm:t>
        <a:bodyPr/>
        <a:lstStyle/>
        <a:p>
          <a:endParaRPr lang="pl-PL"/>
        </a:p>
      </dgm:t>
    </dgm:pt>
    <dgm:pt modelId="{CCA84A50-7D70-4336-839F-C419859F469A}" type="pres">
      <dgm:prSet presAssocID="{4926BE29-3AC2-4A7B-B9BD-0C8F2B7B215B}" presName="text4" presStyleLbl="fgAcc4" presStyleIdx="5" presStyleCnt="6" custScaleX="139964">
        <dgm:presLayoutVars>
          <dgm:chPref val="3"/>
        </dgm:presLayoutVars>
      </dgm:prSet>
      <dgm:spPr/>
      <dgm:t>
        <a:bodyPr/>
        <a:lstStyle/>
        <a:p>
          <a:endParaRPr lang="pl-PL"/>
        </a:p>
      </dgm:t>
    </dgm:pt>
    <dgm:pt modelId="{96A52183-148D-451E-A20F-EBF9B854FA40}" type="pres">
      <dgm:prSet presAssocID="{4926BE29-3AC2-4A7B-B9BD-0C8F2B7B215B}" presName="hierChild5" presStyleCnt="0"/>
      <dgm:spPr/>
      <dgm:t>
        <a:bodyPr/>
        <a:lstStyle/>
        <a:p>
          <a:endParaRPr lang="pl-PL"/>
        </a:p>
      </dgm:t>
    </dgm:pt>
  </dgm:ptLst>
  <dgm:cxnLst>
    <dgm:cxn modelId="{7E5FA80B-385A-4E32-ABDA-E26EB85866A7}" type="presOf" srcId="{F64C71FA-5833-4F12-B273-DE6FAE278396}" destId="{169AF7D3-2F33-4169-B263-32BB7429106A}" srcOrd="0" destOrd="0" presId="urn:microsoft.com/office/officeart/2005/8/layout/hierarchy1"/>
    <dgm:cxn modelId="{5BC1E6A5-77A3-4B4E-B15C-BCB8337222D2}" srcId="{AE16959A-8444-4D07-A8AA-B12FEAF12942}" destId="{F64C71FA-5833-4F12-B273-DE6FAE278396}" srcOrd="0" destOrd="0" parTransId="{86ECB324-3CBC-4F56-BC63-A67CCC49B92C}" sibTransId="{AE5DB046-F0AB-4854-977B-F222229E7103}"/>
    <dgm:cxn modelId="{688A9628-D359-4560-8A2F-A65F9DA1FB0D}" type="presOf" srcId="{F121ED84-A79C-4854-8072-9EC383121252}" destId="{020A79BF-9A7C-4589-869D-BEA698CA5503}" srcOrd="0" destOrd="0" presId="urn:microsoft.com/office/officeart/2005/8/layout/hierarchy1"/>
    <dgm:cxn modelId="{02008573-FA36-4AB6-8296-4F18D20161E0}" type="presOf" srcId="{E02B1584-F7F2-4878-95B2-7656072ADF37}" destId="{462765DC-A672-44BB-AC0A-C037183ADB32}" srcOrd="0" destOrd="0" presId="urn:microsoft.com/office/officeart/2005/8/layout/hierarchy1"/>
    <dgm:cxn modelId="{0C0CAC59-2CD5-4C98-8D18-4D9EEEF157DD}" type="presOf" srcId="{4D90AD42-537C-40B8-B194-6EE863B954AE}" destId="{66B033E0-BA23-480F-AD2C-DBBB0F0934A5}" srcOrd="0" destOrd="0" presId="urn:microsoft.com/office/officeart/2005/8/layout/hierarchy1"/>
    <dgm:cxn modelId="{D0BBB2C5-A72A-4159-9EAA-B79DA56B8F26}" type="presOf" srcId="{4926BE29-3AC2-4A7B-B9BD-0C8F2B7B215B}" destId="{CCA84A50-7D70-4336-839F-C419859F469A}" srcOrd="0" destOrd="0" presId="urn:microsoft.com/office/officeart/2005/8/layout/hierarchy1"/>
    <dgm:cxn modelId="{243FA928-C86D-4654-B2D4-E8056F563E6A}" type="presOf" srcId="{E8F097E7-13D1-4035-9D6B-C4718F7EE6FD}" destId="{AFAE6D09-1CFB-42D5-A6AC-62085CEAD88F}" srcOrd="0" destOrd="0" presId="urn:microsoft.com/office/officeart/2005/8/layout/hierarchy1"/>
    <dgm:cxn modelId="{745E1175-D965-4464-9597-F8D313B22562}" srcId="{8BE70DAC-C90A-49D4-BFFF-D8D21A0B2E92}" destId="{9AED8CD4-2259-4D4C-8F12-55473FCBDB0D}" srcOrd="0" destOrd="0" parTransId="{4D90AD42-537C-40B8-B194-6EE863B954AE}" sibTransId="{DCFAA3F6-0EE9-444E-8F3D-E880A55E9788}"/>
    <dgm:cxn modelId="{AD1FC688-6458-43CB-A83C-0985733581A5}" type="presOf" srcId="{9AED8CD4-2259-4D4C-8F12-55473FCBDB0D}" destId="{22467EE5-E849-4D0A-B92C-7B0433113A50}" srcOrd="0" destOrd="0" presId="urn:microsoft.com/office/officeart/2005/8/layout/hierarchy1"/>
    <dgm:cxn modelId="{790AD3C1-F582-4BFD-B9ED-B53FAE9B8940}" type="presOf" srcId="{A26BAE13-5D99-4A51-9D37-32A7C12287C4}" destId="{1236CE3B-0CA1-4000-9C68-612E41A61FF1}" srcOrd="0" destOrd="0" presId="urn:microsoft.com/office/officeart/2005/8/layout/hierarchy1"/>
    <dgm:cxn modelId="{1311094B-D214-467E-9786-1DD1D461A86B}" type="presOf" srcId="{C4DA47B0-A79D-4368-86FB-4E8B0FB40879}" destId="{44A232B9-5D9B-4CA5-A5B8-39E16BA592B3}" srcOrd="0" destOrd="0" presId="urn:microsoft.com/office/officeart/2005/8/layout/hierarchy1"/>
    <dgm:cxn modelId="{5E8F01C0-A319-4A26-98E3-74586A47F964}" srcId="{38CB82A0-54EA-4D01-BA76-D2B99B32792D}" destId="{F121ED84-A79C-4854-8072-9EC383121252}" srcOrd="0" destOrd="0" parTransId="{E02B1584-F7F2-4878-95B2-7656072ADF37}" sibTransId="{6A8D38B1-9075-4488-8E3C-3CEC29DBAD24}"/>
    <dgm:cxn modelId="{213EE8AB-67FE-4E12-A932-8E25642BFA72}" type="presOf" srcId="{8DE56BD4-800E-4B2B-A550-20DDCCEB1F35}" destId="{62786B1D-2042-4D87-90DC-5AF94A3D2D26}" srcOrd="0" destOrd="0" presId="urn:microsoft.com/office/officeart/2005/8/layout/hierarchy1"/>
    <dgm:cxn modelId="{EBB64446-8C83-40AA-B9D2-93A1116A9E4B}" type="presOf" srcId="{AE16959A-8444-4D07-A8AA-B12FEAF12942}" destId="{D2C7596E-D285-4F55-AB8E-1679809F5935}" srcOrd="0" destOrd="0" presId="urn:microsoft.com/office/officeart/2005/8/layout/hierarchy1"/>
    <dgm:cxn modelId="{27B4B490-C765-4696-B348-F37F789FEA84}" srcId="{F121ED84-A79C-4854-8072-9EC383121252}" destId="{8BE70DAC-C90A-49D4-BFFF-D8D21A0B2E92}" srcOrd="0" destOrd="0" parTransId="{E8F097E7-13D1-4035-9D6B-C4718F7EE6FD}" sibTransId="{E6C0E15E-1D0F-4DE7-B044-5023D41067F8}"/>
    <dgm:cxn modelId="{3838B873-9683-464A-89ED-FAEC5B2F6B02}" type="presOf" srcId="{83BD825F-3B43-44E9-8579-09FCBA1B1F5D}" destId="{858CEBD0-FA35-448F-8D2B-2F63A1079333}" srcOrd="0" destOrd="0" presId="urn:microsoft.com/office/officeart/2005/8/layout/hierarchy1"/>
    <dgm:cxn modelId="{7C510015-5009-4DA8-BDE6-13EC62E17F2C}" type="presOf" srcId="{91CD336E-6B75-4D2F-B45C-8F523C332773}" destId="{E11D97A3-D959-4F45-BD92-55C9B06D16BF}" srcOrd="0" destOrd="0" presId="urn:microsoft.com/office/officeart/2005/8/layout/hierarchy1"/>
    <dgm:cxn modelId="{ADABCC1C-4E4E-4CD4-A404-480731952584}" type="presOf" srcId="{38CB82A0-54EA-4D01-BA76-D2B99B32792D}" destId="{69B49D04-FE3B-4FED-852A-8162AEB0CC49}" srcOrd="0" destOrd="0" presId="urn:microsoft.com/office/officeart/2005/8/layout/hierarchy1"/>
    <dgm:cxn modelId="{B884D225-CB85-4EE1-9688-FE5411D93E54}" type="presOf" srcId="{8160189F-2BCC-4017-8E90-3BA86091EFED}" destId="{16BBD4ED-1BE8-4823-A951-D85FAE3E7799}" srcOrd="0" destOrd="0" presId="urn:microsoft.com/office/officeart/2005/8/layout/hierarchy1"/>
    <dgm:cxn modelId="{EA143EF8-CA9B-4E65-8756-7A0C4426DDBF}" srcId="{840D8F26-6747-4238-A802-B40B7716D4BB}" destId="{8DE56BD4-800E-4B2B-A550-20DDCCEB1F35}" srcOrd="0" destOrd="0" parTransId="{8C49CF11-77AA-4BCE-8077-F321020309AB}" sibTransId="{C2643DF9-514D-42A8-94A7-B7709A2699A9}"/>
    <dgm:cxn modelId="{01118764-AB24-448F-AE10-EBB6F4CB3901}" type="presOf" srcId="{8C49CF11-77AA-4BCE-8077-F321020309AB}" destId="{1E1DBC3D-E436-46B8-944B-D7F11F5DBC7A}" srcOrd="0" destOrd="0" presId="urn:microsoft.com/office/officeart/2005/8/layout/hierarchy1"/>
    <dgm:cxn modelId="{7B4673C9-1F19-4313-8129-D68B67178F0C}" srcId="{38CB82A0-54EA-4D01-BA76-D2B99B32792D}" destId="{840D8F26-6747-4238-A802-B40B7716D4BB}" srcOrd="1" destOrd="0" parTransId="{7EFDA4D0-4AED-404F-A662-6D286837F106}" sibTransId="{2FADF504-AE7F-42EF-9EE9-D4B01A19A501}"/>
    <dgm:cxn modelId="{1777A392-546A-447B-923A-2D4290947652}" type="presOf" srcId="{35C8A5AE-9588-4BCF-A1F3-D66B9258D775}" destId="{1961F0F0-F76E-4972-A681-14059683427E}" srcOrd="0" destOrd="0" presId="urn:microsoft.com/office/officeart/2005/8/layout/hierarchy1"/>
    <dgm:cxn modelId="{8372F733-9CFB-4775-93D8-545C4F286E6B}" srcId="{8DE56BD4-800E-4B2B-A550-20DDCCEB1F35}" destId="{4926BE29-3AC2-4A7B-B9BD-0C8F2B7B215B}" srcOrd="0" destOrd="0" parTransId="{35C8A5AE-9588-4BCF-A1F3-D66B9258D775}" sibTransId="{1E7FF4F2-B6E3-4EA2-BE3B-078A5619AC64}"/>
    <dgm:cxn modelId="{ADBACE24-A806-4DFC-94D2-9A7D96134539}" srcId="{8BE70DAC-C90A-49D4-BFFF-D8D21A0B2E92}" destId="{AE16959A-8444-4D07-A8AA-B12FEAF12942}" srcOrd="1" destOrd="0" parTransId="{C4DA47B0-A79D-4368-86FB-4E8B0FB40879}" sibTransId="{39C5CF10-808E-4589-96D0-F8A12F77C97F}"/>
    <dgm:cxn modelId="{03EA9521-3213-4A73-95FF-904BB57737FF}" srcId="{9AED8CD4-2259-4D4C-8F12-55473FCBDB0D}" destId="{9E6CEF41-6DD5-4402-8AC0-9A0A516E3B3A}" srcOrd="0" destOrd="0" parTransId="{8160189F-2BCC-4017-8E90-3BA86091EFED}" sibTransId="{3548E24B-10D7-4039-BE3B-6762E226BF97}"/>
    <dgm:cxn modelId="{3A35F493-B403-4F4B-8304-BA2A2D4FBFED}" srcId="{91CD336E-6B75-4D2F-B45C-8F523C332773}" destId="{38CB82A0-54EA-4D01-BA76-D2B99B32792D}" srcOrd="0" destOrd="0" parTransId="{73FB2FA7-FBDA-4471-9C1F-C977F60CE808}" sibTransId="{5C712BEF-88B1-4CC9-BFA1-F5A9BEF1F48F}"/>
    <dgm:cxn modelId="{64A9AE86-50B5-415F-8FCE-2007E29B4187}" type="presOf" srcId="{9E6CEF41-6DD5-4402-8AC0-9A0A516E3B3A}" destId="{DDD5AA0A-9F71-4155-8B3F-54AD5DC581BA}" srcOrd="0" destOrd="0" presId="urn:microsoft.com/office/officeart/2005/8/layout/hierarchy1"/>
    <dgm:cxn modelId="{AFB45DC7-5704-49AD-8F90-EDF0EE206E36}" type="presOf" srcId="{8BE70DAC-C90A-49D4-BFFF-D8D21A0B2E92}" destId="{F860EC7A-EBCA-4A64-950B-444F4C2670CF}" srcOrd="0" destOrd="0" presId="urn:microsoft.com/office/officeart/2005/8/layout/hierarchy1"/>
    <dgm:cxn modelId="{F2B9822F-B41C-4DBE-BD9D-BC4DF7E5A102}" srcId="{8BE70DAC-C90A-49D4-BFFF-D8D21A0B2E92}" destId="{A26BAE13-5D99-4A51-9D37-32A7C12287C4}" srcOrd="2" destOrd="0" parTransId="{83BD825F-3B43-44E9-8579-09FCBA1B1F5D}" sibTransId="{0BD706B5-C2C1-4B75-9488-12CD4B9CE277}"/>
    <dgm:cxn modelId="{DF9AABF3-5E8F-42E1-97F5-F067E3495463}" type="presOf" srcId="{86ECB324-3CBC-4F56-BC63-A67CCC49B92C}" destId="{373C7C68-C822-423E-95D1-1AF3DB9EF73C}" srcOrd="0" destOrd="0" presId="urn:microsoft.com/office/officeart/2005/8/layout/hierarchy1"/>
    <dgm:cxn modelId="{1A50BB01-ADCF-4558-BF2B-4E7FCBA5CDBC}" type="presOf" srcId="{7EFDA4D0-4AED-404F-A662-6D286837F106}" destId="{17939B28-1775-4C4B-B877-C4E0CA078FD9}" srcOrd="0" destOrd="0" presId="urn:microsoft.com/office/officeart/2005/8/layout/hierarchy1"/>
    <dgm:cxn modelId="{7A5D551C-86DD-4561-B362-4F867B8988AE}" type="presOf" srcId="{840D8F26-6747-4238-A802-B40B7716D4BB}" destId="{4A0DBC30-037A-44F4-B699-9C12AC0CE6A5}" srcOrd="0" destOrd="0" presId="urn:microsoft.com/office/officeart/2005/8/layout/hierarchy1"/>
    <dgm:cxn modelId="{A43212D5-F0EF-4BE9-AD9B-9F1080D52CE1}" type="presParOf" srcId="{E11D97A3-D959-4F45-BD92-55C9B06D16BF}" destId="{5EBEACF9-80A9-48B9-BDAB-947C9F740138}" srcOrd="0" destOrd="0" presId="urn:microsoft.com/office/officeart/2005/8/layout/hierarchy1"/>
    <dgm:cxn modelId="{85A8789C-228F-4CF9-A51F-FAF99A806D72}" type="presParOf" srcId="{5EBEACF9-80A9-48B9-BDAB-947C9F740138}" destId="{665CAAB7-3C6E-4D9E-9BD4-042F875EFB35}" srcOrd="0" destOrd="0" presId="urn:microsoft.com/office/officeart/2005/8/layout/hierarchy1"/>
    <dgm:cxn modelId="{7D8107C9-E319-4639-AB48-66828865D165}" type="presParOf" srcId="{665CAAB7-3C6E-4D9E-9BD4-042F875EFB35}" destId="{9E4422F4-1523-4403-B729-B9172274383E}" srcOrd="0" destOrd="0" presId="urn:microsoft.com/office/officeart/2005/8/layout/hierarchy1"/>
    <dgm:cxn modelId="{DCC9DDCB-B21B-42FC-9A63-8AB43D24C7EF}" type="presParOf" srcId="{665CAAB7-3C6E-4D9E-9BD4-042F875EFB35}" destId="{69B49D04-FE3B-4FED-852A-8162AEB0CC49}" srcOrd="1" destOrd="0" presId="urn:microsoft.com/office/officeart/2005/8/layout/hierarchy1"/>
    <dgm:cxn modelId="{F3890F8C-799C-446A-A436-0299E5A67C1C}" type="presParOf" srcId="{5EBEACF9-80A9-48B9-BDAB-947C9F740138}" destId="{DFBE72B0-B24D-4DAF-9FD8-6E7B662B7990}" srcOrd="1" destOrd="0" presId="urn:microsoft.com/office/officeart/2005/8/layout/hierarchy1"/>
    <dgm:cxn modelId="{EC776C31-4704-4965-BE3B-0771A7AF72F9}" type="presParOf" srcId="{DFBE72B0-B24D-4DAF-9FD8-6E7B662B7990}" destId="{462765DC-A672-44BB-AC0A-C037183ADB32}" srcOrd="0" destOrd="0" presId="urn:microsoft.com/office/officeart/2005/8/layout/hierarchy1"/>
    <dgm:cxn modelId="{5D114BB8-C64C-4305-80E0-A7FC626ED246}" type="presParOf" srcId="{DFBE72B0-B24D-4DAF-9FD8-6E7B662B7990}" destId="{5E346F1B-D876-4A0A-B045-739FDEA0CB97}" srcOrd="1" destOrd="0" presId="urn:microsoft.com/office/officeart/2005/8/layout/hierarchy1"/>
    <dgm:cxn modelId="{B6824D74-457C-44EA-B165-65D9E7EC50AB}" type="presParOf" srcId="{5E346F1B-D876-4A0A-B045-739FDEA0CB97}" destId="{39E37123-DA5D-426C-B0AB-51D5D2248ECD}" srcOrd="0" destOrd="0" presId="urn:microsoft.com/office/officeart/2005/8/layout/hierarchy1"/>
    <dgm:cxn modelId="{3BEE6CD6-041B-44DF-89F7-431F7BEB618E}" type="presParOf" srcId="{39E37123-DA5D-426C-B0AB-51D5D2248ECD}" destId="{D1206613-9642-446D-9CBC-07FA69EA56C3}" srcOrd="0" destOrd="0" presId="urn:microsoft.com/office/officeart/2005/8/layout/hierarchy1"/>
    <dgm:cxn modelId="{97A3076D-EFF9-4456-AC5F-A0ADEB5552BF}" type="presParOf" srcId="{39E37123-DA5D-426C-B0AB-51D5D2248ECD}" destId="{020A79BF-9A7C-4589-869D-BEA698CA5503}" srcOrd="1" destOrd="0" presId="urn:microsoft.com/office/officeart/2005/8/layout/hierarchy1"/>
    <dgm:cxn modelId="{201C36FC-D13C-4A97-9E22-643BF4955AA6}" type="presParOf" srcId="{5E346F1B-D876-4A0A-B045-739FDEA0CB97}" destId="{7622EB80-C534-40E9-95AD-01AFA1400D4C}" srcOrd="1" destOrd="0" presId="urn:microsoft.com/office/officeart/2005/8/layout/hierarchy1"/>
    <dgm:cxn modelId="{8257A6DA-314F-4878-A5A5-88CB1C6B7238}" type="presParOf" srcId="{7622EB80-C534-40E9-95AD-01AFA1400D4C}" destId="{AFAE6D09-1CFB-42D5-A6AC-62085CEAD88F}" srcOrd="0" destOrd="0" presId="urn:microsoft.com/office/officeart/2005/8/layout/hierarchy1"/>
    <dgm:cxn modelId="{30C01776-DA8B-49A7-AC09-4F59C9103F63}" type="presParOf" srcId="{7622EB80-C534-40E9-95AD-01AFA1400D4C}" destId="{85C00E83-3E03-4A7D-BA77-332269FE387E}" srcOrd="1" destOrd="0" presId="urn:microsoft.com/office/officeart/2005/8/layout/hierarchy1"/>
    <dgm:cxn modelId="{E631F618-B045-4098-88F6-0BBAF8BBFD7E}" type="presParOf" srcId="{85C00E83-3E03-4A7D-BA77-332269FE387E}" destId="{92C9E3E9-CF36-4A9F-8012-AAAD425E5BF9}" srcOrd="0" destOrd="0" presId="urn:microsoft.com/office/officeart/2005/8/layout/hierarchy1"/>
    <dgm:cxn modelId="{4C48632F-13BE-4420-AB7F-7DFDFF7FBA03}" type="presParOf" srcId="{92C9E3E9-CF36-4A9F-8012-AAAD425E5BF9}" destId="{A887967D-7493-4D67-86EF-C7E356E75D96}" srcOrd="0" destOrd="0" presId="urn:microsoft.com/office/officeart/2005/8/layout/hierarchy1"/>
    <dgm:cxn modelId="{0D49833C-2880-496F-9F7E-6ECB9D57B2F5}" type="presParOf" srcId="{92C9E3E9-CF36-4A9F-8012-AAAD425E5BF9}" destId="{F860EC7A-EBCA-4A64-950B-444F4C2670CF}" srcOrd="1" destOrd="0" presId="urn:microsoft.com/office/officeart/2005/8/layout/hierarchy1"/>
    <dgm:cxn modelId="{8BB7D2BE-10DE-45BC-B33B-B999E3198517}" type="presParOf" srcId="{85C00E83-3E03-4A7D-BA77-332269FE387E}" destId="{59B63455-22CE-4B55-83B7-467F64E768DD}" srcOrd="1" destOrd="0" presId="urn:microsoft.com/office/officeart/2005/8/layout/hierarchy1"/>
    <dgm:cxn modelId="{7EF02E0A-7D7E-40D1-98B9-249E2ABB5B10}" type="presParOf" srcId="{59B63455-22CE-4B55-83B7-467F64E768DD}" destId="{66B033E0-BA23-480F-AD2C-DBBB0F0934A5}" srcOrd="0" destOrd="0" presId="urn:microsoft.com/office/officeart/2005/8/layout/hierarchy1"/>
    <dgm:cxn modelId="{892A1422-D94E-4BA0-AAAA-26D9743B8FC9}" type="presParOf" srcId="{59B63455-22CE-4B55-83B7-467F64E768DD}" destId="{32811790-F87E-4629-A1E8-28A6829C66E2}" srcOrd="1" destOrd="0" presId="urn:microsoft.com/office/officeart/2005/8/layout/hierarchy1"/>
    <dgm:cxn modelId="{A82614D6-BF86-4B23-84F0-2CA6A331FD03}" type="presParOf" srcId="{32811790-F87E-4629-A1E8-28A6829C66E2}" destId="{0F20E14A-2A58-4C61-B3D5-9BAD52402680}" srcOrd="0" destOrd="0" presId="urn:microsoft.com/office/officeart/2005/8/layout/hierarchy1"/>
    <dgm:cxn modelId="{B03A9C01-7FB7-4FED-B813-B70EBB412B66}" type="presParOf" srcId="{0F20E14A-2A58-4C61-B3D5-9BAD52402680}" destId="{662A104A-8EB3-4139-8E37-BE709991E1B6}" srcOrd="0" destOrd="0" presId="urn:microsoft.com/office/officeart/2005/8/layout/hierarchy1"/>
    <dgm:cxn modelId="{F05EC5C8-A05E-4652-9799-02A82A6432D4}" type="presParOf" srcId="{0F20E14A-2A58-4C61-B3D5-9BAD52402680}" destId="{22467EE5-E849-4D0A-B92C-7B0433113A50}" srcOrd="1" destOrd="0" presId="urn:microsoft.com/office/officeart/2005/8/layout/hierarchy1"/>
    <dgm:cxn modelId="{9E6626A5-BA0D-4009-8EF6-541F7FD9CB30}" type="presParOf" srcId="{32811790-F87E-4629-A1E8-28A6829C66E2}" destId="{184F5C7E-E30C-42FD-B841-A4516FD5CD91}" srcOrd="1" destOrd="0" presId="urn:microsoft.com/office/officeart/2005/8/layout/hierarchy1"/>
    <dgm:cxn modelId="{D9AA0E47-406D-4FAC-9C4A-5AF98569401C}" type="presParOf" srcId="{184F5C7E-E30C-42FD-B841-A4516FD5CD91}" destId="{16BBD4ED-1BE8-4823-A951-D85FAE3E7799}" srcOrd="0" destOrd="0" presId="urn:microsoft.com/office/officeart/2005/8/layout/hierarchy1"/>
    <dgm:cxn modelId="{290AAE9D-EEE4-4271-B5C8-C94AA1136155}" type="presParOf" srcId="{184F5C7E-E30C-42FD-B841-A4516FD5CD91}" destId="{674935A8-885C-46AD-8DA0-101D11A3742B}" srcOrd="1" destOrd="0" presId="urn:microsoft.com/office/officeart/2005/8/layout/hierarchy1"/>
    <dgm:cxn modelId="{DE659C53-F87D-490B-881C-390394360346}" type="presParOf" srcId="{674935A8-885C-46AD-8DA0-101D11A3742B}" destId="{908C15A4-4A8C-4F06-A721-9E3C6FB2F1BF}" srcOrd="0" destOrd="0" presId="urn:microsoft.com/office/officeart/2005/8/layout/hierarchy1"/>
    <dgm:cxn modelId="{781BB15D-4AE8-40EB-B570-F9DCBB65D413}" type="presParOf" srcId="{908C15A4-4A8C-4F06-A721-9E3C6FB2F1BF}" destId="{98230C6B-2BBA-4B31-BE9C-16504951EEAE}" srcOrd="0" destOrd="0" presId="urn:microsoft.com/office/officeart/2005/8/layout/hierarchy1"/>
    <dgm:cxn modelId="{0F29DFD7-E829-4813-B15F-3F17FA72AB18}" type="presParOf" srcId="{908C15A4-4A8C-4F06-A721-9E3C6FB2F1BF}" destId="{DDD5AA0A-9F71-4155-8B3F-54AD5DC581BA}" srcOrd="1" destOrd="0" presId="urn:microsoft.com/office/officeart/2005/8/layout/hierarchy1"/>
    <dgm:cxn modelId="{014667D8-9C00-4494-94C3-C9C5F5ADB5B5}" type="presParOf" srcId="{674935A8-885C-46AD-8DA0-101D11A3742B}" destId="{803AD57A-1FA5-460A-8A43-C3CD2F90B691}" srcOrd="1" destOrd="0" presId="urn:microsoft.com/office/officeart/2005/8/layout/hierarchy1"/>
    <dgm:cxn modelId="{772ACE30-F1DB-4AA0-AEF9-799FB6E50006}" type="presParOf" srcId="{59B63455-22CE-4B55-83B7-467F64E768DD}" destId="{44A232B9-5D9B-4CA5-A5B8-39E16BA592B3}" srcOrd="2" destOrd="0" presId="urn:microsoft.com/office/officeart/2005/8/layout/hierarchy1"/>
    <dgm:cxn modelId="{5424414B-64BB-498C-AC8D-927007B4882B}" type="presParOf" srcId="{59B63455-22CE-4B55-83B7-467F64E768DD}" destId="{F0C3D09E-5336-4907-8E0E-C135D08621B4}" srcOrd="3" destOrd="0" presId="urn:microsoft.com/office/officeart/2005/8/layout/hierarchy1"/>
    <dgm:cxn modelId="{D553FE89-3714-457F-9BE2-6F821F3C78E8}" type="presParOf" srcId="{F0C3D09E-5336-4907-8E0E-C135D08621B4}" destId="{EC6477B2-6B77-410B-9538-BD759E74B531}" srcOrd="0" destOrd="0" presId="urn:microsoft.com/office/officeart/2005/8/layout/hierarchy1"/>
    <dgm:cxn modelId="{1CDB14BC-C7C4-4888-BF8E-1FD2F134AD51}" type="presParOf" srcId="{EC6477B2-6B77-410B-9538-BD759E74B531}" destId="{1631AF6B-13E4-46A2-81CC-F84FB1C49B92}" srcOrd="0" destOrd="0" presId="urn:microsoft.com/office/officeart/2005/8/layout/hierarchy1"/>
    <dgm:cxn modelId="{67C3D08A-8267-411C-80AC-BA93E92CDABF}" type="presParOf" srcId="{EC6477B2-6B77-410B-9538-BD759E74B531}" destId="{D2C7596E-D285-4F55-AB8E-1679809F5935}" srcOrd="1" destOrd="0" presId="urn:microsoft.com/office/officeart/2005/8/layout/hierarchy1"/>
    <dgm:cxn modelId="{846885B0-F134-4AED-BD8E-D30B317E8901}" type="presParOf" srcId="{F0C3D09E-5336-4907-8E0E-C135D08621B4}" destId="{D7429FBA-30D1-4242-B412-60CF4F7C7EB7}" srcOrd="1" destOrd="0" presId="urn:microsoft.com/office/officeart/2005/8/layout/hierarchy1"/>
    <dgm:cxn modelId="{752BBA99-057C-4571-8FC6-D48A26ACF95A}" type="presParOf" srcId="{D7429FBA-30D1-4242-B412-60CF4F7C7EB7}" destId="{373C7C68-C822-423E-95D1-1AF3DB9EF73C}" srcOrd="0" destOrd="0" presId="urn:microsoft.com/office/officeart/2005/8/layout/hierarchy1"/>
    <dgm:cxn modelId="{1B723C77-F4C8-4957-BD8C-341F894FC0DB}" type="presParOf" srcId="{D7429FBA-30D1-4242-B412-60CF4F7C7EB7}" destId="{15B8B781-CB2C-496A-BB24-17858C10B4A6}" srcOrd="1" destOrd="0" presId="urn:microsoft.com/office/officeart/2005/8/layout/hierarchy1"/>
    <dgm:cxn modelId="{5AC61FBB-33F8-41A4-9C2B-1F46BD215FA8}" type="presParOf" srcId="{15B8B781-CB2C-496A-BB24-17858C10B4A6}" destId="{2A1E7E66-414E-4E41-8433-31AE97D23E0C}" srcOrd="0" destOrd="0" presId="urn:microsoft.com/office/officeart/2005/8/layout/hierarchy1"/>
    <dgm:cxn modelId="{E1CEE354-295B-4E8B-87F8-2F7C5CEBF26A}" type="presParOf" srcId="{2A1E7E66-414E-4E41-8433-31AE97D23E0C}" destId="{5F3674DD-9E0E-4525-B257-DEC25915E5B4}" srcOrd="0" destOrd="0" presId="urn:microsoft.com/office/officeart/2005/8/layout/hierarchy1"/>
    <dgm:cxn modelId="{B6E6E1C3-B443-48A1-AB7C-A3CD41393E38}" type="presParOf" srcId="{2A1E7E66-414E-4E41-8433-31AE97D23E0C}" destId="{169AF7D3-2F33-4169-B263-32BB7429106A}" srcOrd="1" destOrd="0" presId="urn:microsoft.com/office/officeart/2005/8/layout/hierarchy1"/>
    <dgm:cxn modelId="{AA29FCC3-C032-4419-98A8-5CC17FABBFE8}" type="presParOf" srcId="{15B8B781-CB2C-496A-BB24-17858C10B4A6}" destId="{E789E245-ADC0-4DDA-8251-FC6488868794}" srcOrd="1" destOrd="0" presId="urn:microsoft.com/office/officeart/2005/8/layout/hierarchy1"/>
    <dgm:cxn modelId="{C125EA8D-994E-41AC-AB7F-0D4481F2A696}" type="presParOf" srcId="{59B63455-22CE-4B55-83B7-467F64E768DD}" destId="{858CEBD0-FA35-448F-8D2B-2F63A1079333}" srcOrd="4" destOrd="0" presId="urn:microsoft.com/office/officeart/2005/8/layout/hierarchy1"/>
    <dgm:cxn modelId="{EEFEB716-B0A5-4083-BB8E-D94D0DC4961B}" type="presParOf" srcId="{59B63455-22CE-4B55-83B7-467F64E768DD}" destId="{CAF961AA-8DDE-47CD-B297-33D32EC1B151}" srcOrd="5" destOrd="0" presId="urn:microsoft.com/office/officeart/2005/8/layout/hierarchy1"/>
    <dgm:cxn modelId="{0B56F80F-102A-408F-B5D4-FB8F2F7455BC}" type="presParOf" srcId="{CAF961AA-8DDE-47CD-B297-33D32EC1B151}" destId="{965E4B27-B9AB-48DB-A8B0-1EC7BA551AF0}" srcOrd="0" destOrd="0" presId="urn:microsoft.com/office/officeart/2005/8/layout/hierarchy1"/>
    <dgm:cxn modelId="{263D6FA7-C55D-4B17-BF55-EDD58F848C57}" type="presParOf" srcId="{965E4B27-B9AB-48DB-A8B0-1EC7BA551AF0}" destId="{752CAAE6-637F-4B73-B34B-40871F0E1313}" srcOrd="0" destOrd="0" presId="urn:microsoft.com/office/officeart/2005/8/layout/hierarchy1"/>
    <dgm:cxn modelId="{17D4FE06-AEF9-4E64-9431-DB017B853A3C}" type="presParOf" srcId="{965E4B27-B9AB-48DB-A8B0-1EC7BA551AF0}" destId="{1236CE3B-0CA1-4000-9C68-612E41A61FF1}" srcOrd="1" destOrd="0" presId="urn:microsoft.com/office/officeart/2005/8/layout/hierarchy1"/>
    <dgm:cxn modelId="{3B2F3CAA-6D25-404D-860D-CCCE95CAA75F}" type="presParOf" srcId="{CAF961AA-8DDE-47CD-B297-33D32EC1B151}" destId="{8F6F7D52-1A00-4E1E-AE1C-E6037245A47A}" srcOrd="1" destOrd="0" presId="urn:microsoft.com/office/officeart/2005/8/layout/hierarchy1"/>
    <dgm:cxn modelId="{49933007-19C1-43EB-BE1A-B0DF79E1F2A4}" type="presParOf" srcId="{DFBE72B0-B24D-4DAF-9FD8-6E7B662B7990}" destId="{17939B28-1775-4C4B-B877-C4E0CA078FD9}" srcOrd="2" destOrd="0" presId="urn:microsoft.com/office/officeart/2005/8/layout/hierarchy1"/>
    <dgm:cxn modelId="{84C4C0F6-CE0D-4A98-9490-B564E1510932}" type="presParOf" srcId="{DFBE72B0-B24D-4DAF-9FD8-6E7B662B7990}" destId="{387753F7-2382-4B16-A1DE-134FF95D6A84}" srcOrd="3" destOrd="0" presId="urn:microsoft.com/office/officeart/2005/8/layout/hierarchy1"/>
    <dgm:cxn modelId="{3CF5D608-F1F1-4952-BABA-E91E36AD1BA0}" type="presParOf" srcId="{387753F7-2382-4B16-A1DE-134FF95D6A84}" destId="{ADAD06EF-F3A0-494B-892B-F9B78BD2C5BB}" srcOrd="0" destOrd="0" presId="urn:microsoft.com/office/officeart/2005/8/layout/hierarchy1"/>
    <dgm:cxn modelId="{C557159E-834C-447C-9BEE-246EF3555C4C}" type="presParOf" srcId="{ADAD06EF-F3A0-494B-892B-F9B78BD2C5BB}" destId="{ACF2202A-DA10-46C4-B2ED-05B8A792E536}" srcOrd="0" destOrd="0" presId="urn:microsoft.com/office/officeart/2005/8/layout/hierarchy1"/>
    <dgm:cxn modelId="{8098B79B-8765-455E-A39A-7E6A988F5160}" type="presParOf" srcId="{ADAD06EF-F3A0-494B-892B-F9B78BD2C5BB}" destId="{4A0DBC30-037A-44F4-B699-9C12AC0CE6A5}" srcOrd="1" destOrd="0" presId="urn:microsoft.com/office/officeart/2005/8/layout/hierarchy1"/>
    <dgm:cxn modelId="{192C03C4-3F81-489D-A29C-4E68CC297A15}" type="presParOf" srcId="{387753F7-2382-4B16-A1DE-134FF95D6A84}" destId="{E223DB5E-E736-4320-8C9A-F4D11B78DC23}" srcOrd="1" destOrd="0" presId="urn:microsoft.com/office/officeart/2005/8/layout/hierarchy1"/>
    <dgm:cxn modelId="{74470A07-C50B-45EE-9B10-81A7CA94B473}" type="presParOf" srcId="{E223DB5E-E736-4320-8C9A-F4D11B78DC23}" destId="{1E1DBC3D-E436-46B8-944B-D7F11F5DBC7A}" srcOrd="0" destOrd="0" presId="urn:microsoft.com/office/officeart/2005/8/layout/hierarchy1"/>
    <dgm:cxn modelId="{2511F55F-1A95-4ED9-AF44-91CEC3F683E1}" type="presParOf" srcId="{E223DB5E-E736-4320-8C9A-F4D11B78DC23}" destId="{0E49A95A-02DA-4EE6-9265-F5AFDA63526F}" srcOrd="1" destOrd="0" presId="urn:microsoft.com/office/officeart/2005/8/layout/hierarchy1"/>
    <dgm:cxn modelId="{5C8BE32A-D9F1-4B32-A70C-14B427F60562}" type="presParOf" srcId="{0E49A95A-02DA-4EE6-9265-F5AFDA63526F}" destId="{9759477E-E175-43B9-BB44-E4CBF94DE168}" srcOrd="0" destOrd="0" presId="urn:microsoft.com/office/officeart/2005/8/layout/hierarchy1"/>
    <dgm:cxn modelId="{9BBB95AD-6EE9-40B5-8C45-64E4AC1B3739}" type="presParOf" srcId="{9759477E-E175-43B9-BB44-E4CBF94DE168}" destId="{A0B4DBC0-DB2F-4A82-8C12-2A4BFCF923F7}" srcOrd="0" destOrd="0" presId="urn:microsoft.com/office/officeart/2005/8/layout/hierarchy1"/>
    <dgm:cxn modelId="{31054E20-2040-4300-B370-75435F48C78F}" type="presParOf" srcId="{9759477E-E175-43B9-BB44-E4CBF94DE168}" destId="{62786B1D-2042-4D87-90DC-5AF94A3D2D26}" srcOrd="1" destOrd="0" presId="urn:microsoft.com/office/officeart/2005/8/layout/hierarchy1"/>
    <dgm:cxn modelId="{68F3AA93-FFBD-427E-9061-BE6F379DC5F7}" type="presParOf" srcId="{0E49A95A-02DA-4EE6-9265-F5AFDA63526F}" destId="{EB7E83A7-EFA4-446A-9020-5D25D003F978}" srcOrd="1" destOrd="0" presId="urn:microsoft.com/office/officeart/2005/8/layout/hierarchy1"/>
    <dgm:cxn modelId="{0FC14728-438E-4D76-B5B3-DE428E68407F}" type="presParOf" srcId="{EB7E83A7-EFA4-446A-9020-5D25D003F978}" destId="{1961F0F0-F76E-4972-A681-14059683427E}" srcOrd="0" destOrd="0" presId="urn:microsoft.com/office/officeart/2005/8/layout/hierarchy1"/>
    <dgm:cxn modelId="{A445012A-DA48-4AAD-A0EC-E6201DA08733}" type="presParOf" srcId="{EB7E83A7-EFA4-446A-9020-5D25D003F978}" destId="{64A7A4D8-A413-419A-9B63-66E4D4577DB2}" srcOrd="1" destOrd="0" presId="urn:microsoft.com/office/officeart/2005/8/layout/hierarchy1"/>
    <dgm:cxn modelId="{DD5E0B57-2463-4897-9D9D-D81BAC3074F7}" type="presParOf" srcId="{64A7A4D8-A413-419A-9B63-66E4D4577DB2}" destId="{C6A441E4-DDAC-47C6-A524-DF833F4E4FA8}" srcOrd="0" destOrd="0" presId="urn:microsoft.com/office/officeart/2005/8/layout/hierarchy1"/>
    <dgm:cxn modelId="{26B8BA73-94BE-4EFD-A974-013C00D184B2}" type="presParOf" srcId="{C6A441E4-DDAC-47C6-A524-DF833F4E4FA8}" destId="{DFBDC156-0857-4553-BDE0-B8DEB892FF1C}" srcOrd="0" destOrd="0" presId="urn:microsoft.com/office/officeart/2005/8/layout/hierarchy1"/>
    <dgm:cxn modelId="{7D1254BA-2B05-4FF3-AD98-1E02386122AD}" type="presParOf" srcId="{C6A441E4-DDAC-47C6-A524-DF833F4E4FA8}" destId="{CCA84A50-7D70-4336-839F-C419859F469A}" srcOrd="1" destOrd="0" presId="urn:microsoft.com/office/officeart/2005/8/layout/hierarchy1"/>
    <dgm:cxn modelId="{24507006-3A49-4B4D-A781-9387F394FB44}" type="presParOf" srcId="{64A7A4D8-A413-419A-9B63-66E4D4577DB2}" destId="{96A52183-148D-451E-A20F-EBF9B854FA40}" srcOrd="1" destOrd="0" presId="urn:microsoft.com/office/officeart/2005/8/layout/hierarchy1"/>
  </dgm:cxnLst>
  <dgm:bg/>
  <dgm:whole>
    <a:ln w="6350"/>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1CD336E-6B75-4D2F-B45C-8F523C332773}"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pl-PL"/>
        </a:p>
      </dgm:t>
    </dgm:pt>
    <dgm:pt modelId="{38CB82A0-54EA-4D01-BA76-D2B99B32792D}">
      <dgm:prSet phldrT="[Tekst]" custT="1"/>
      <dgm:spPr/>
      <dgm:t>
        <a:bodyPr/>
        <a:lstStyle/>
        <a:p>
          <a:r>
            <a:rPr lang="pl-PL" sz="1000" b="1"/>
            <a:t>Minister Inwestycji i Rozwoju</a:t>
          </a:r>
        </a:p>
      </dgm:t>
    </dgm:pt>
    <dgm:pt modelId="{73FB2FA7-FBDA-4471-9C1F-C977F60CE808}" type="parTrans" cxnId="{3A35F493-B403-4F4B-8304-BA2A2D4FBFED}">
      <dgm:prSet/>
      <dgm:spPr/>
      <dgm:t>
        <a:bodyPr/>
        <a:lstStyle/>
        <a:p>
          <a:endParaRPr lang="pl-PL"/>
        </a:p>
      </dgm:t>
    </dgm:pt>
    <dgm:pt modelId="{5C712BEF-88B1-4CC9-BFA1-F5A9BEF1F48F}" type="sibTrans" cxnId="{3A35F493-B403-4F4B-8304-BA2A2D4FBFED}">
      <dgm:prSet/>
      <dgm:spPr/>
      <dgm:t>
        <a:bodyPr/>
        <a:lstStyle/>
        <a:p>
          <a:endParaRPr lang="pl-PL"/>
        </a:p>
      </dgm:t>
    </dgm:pt>
    <dgm:pt modelId="{F121ED84-A79C-4854-8072-9EC383121252}">
      <dgm:prSet phldrT="[Tekst]" custT="1"/>
      <dgm:spPr/>
      <dgm:t>
        <a:bodyPr/>
        <a:lstStyle/>
        <a:p>
          <a:r>
            <a:rPr lang="pl-PL" sz="1000" b="1"/>
            <a:t>Podsekretarz Stanu</a:t>
          </a:r>
        </a:p>
      </dgm:t>
    </dgm:pt>
    <dgm:pt modelId="{E02B1584-F7F2-4878-95B2-7656072ADF37}" type="parTrans" cxnId="{5E8F01C0-A319-4A26-98E3-74586A47F964}">
      <dgm:prSet/>
      <dgm:spPr/>
      <dgm:t>
        <a:bodyPr/>
        <a:lstStyle/>
        <a:p>
          <a:endParaRPr lang="pl-PL"/>
        </a:p>
      </dgm:t>
    </dgm:pt>
    <dgm:pt modelId="{6A8D38B1-9075-4488-8E3C-3CEC29DBAD24}" type="sibTrans" cxnId="{5E8F01C0-A319-4A26-98E3-74586A47F964}">
      <dgm:prSet/>
      <dgm:spPr/>
      <dgm:t>
        <a:bodyPr/>
        <a:lstStyle/>
        <a:p>
          <a:endParaRPr lang="pl-PL"/>
        </a:p>
      </dgm:t>
    </dgm:pt>
    <dgm:pt modelId="{8BE70DAC-C90A-49D4-BFFF-D8D21A0B2E92}">
      <dgm:prSet phldrT="[Tekst]" custT="1"/>
      <dgm:spPr/>
      <dgm:t>
        <a:bodyPr/>
        <a:lstStyle/>
        <a:p>
          <a:pPr algn="ctr"/>
          <a:r>
            <a:rPr lang="pl-PL" sz="1000" b="1"/>
            <a:t>Dyrektor Departamentu Współpracy Terytorialnej </a:t>
          </a:r>
          <a:r>
            <a:rPr lang="pl-PL" sz="1000"/>
            <a:t>Funkcje IZ i IK</a:t>
          </a:r>
          <a:endParaRPr lang="pl-PL" sz="1000" b="0"/>
        </a:p>
      </dgm:t>
    </dgm:pt>
    <dgm:pt modelId="{E8F097E7-13D1-4035-9D6B-C4718F7EE6FD}" type="parTrans" cxnId="{27B4B490-C765-4696-B348-F37F789FEA84}">
      <dgm:prSet/>
      <dgm:spPr/>
      <dgm:t>
        <a:bodyPr/>
        <a:lstStyle/>
        <a:p>
          <a:endParaRPr lang="pl-PL"/>
        </a:p>
      </dgm:t>
    </dgm:pt>
    <dgm:pt modelId="{E6C0E15E-1D0F-4DE7-B044-5023D41067F8}" type="sibTrans" cxnId="{27B4B490-C765-4696-B348-F37F789FEA84}">
      <dgm:prSet/>
      <dgm:spPr/>
      <dgm:t>
        <a:bodyPr/>
        <a:lstStyle/>
        <a:p>
          <a:endParaRPr lang="pl-PL"/>
        </a:p>
      </dgm:t>
    </dgm:pt>
    <dgm:pt modelId="{536D058E-6562-48E6-A956-6EB1FA31C8F5}">
      <dgm:prSet phldrT="[Tekst]" custT="1"/>
      <dgm:spPr/>
      <dgm:t>
        <a:bodyPr/>
        <a:lstStyle/>
        <a:p>
          <a:r>
            <a:rPr lang="pl-PL" sz="1000" b="1"/>
            <a:t>Sekretarz Stanu</a:t>
          </a:r>
        </a:p>
      </dgm:t>
    </dgm:pt>
    <dgm:pt modelId="{61BA1F80-A4A2-4FFD-82DD-9685DE71C0C4}" type="parTrans" cxnId="{E2C724B4-1CD4-4DAC-91CD-9AED5D28B2C6}">
      <dgm:prSet/>
      <dgm:spPr/>
      <dgm:t>
        <a:bodyPr/>
        <a:lstStyle/>
        <a:p>
          <a:endParaRPr lang="pl-PL"/>
        </a:p>
      </dgm:t>
    </dgm:pt>
    <dgm:pt modelId="{0479EC3D-0E7F-4CC1-AD2E-3116EE6EC5CC}" type="sibTrans" cxnId="{E2C724B4-1CD4-4DAC-91CD-9AED5D28B2C6}">
      <dgm:prSet/>
      <dgm:spPr/>
      <dgm:t>
        <a:bodyPr/>
        <a:lstStyle/>
        <a:p>
          <a:endParaRPr lang="pl-PL"/>
        </a:p>
      </dgm:t>
    </dgm:pt>
    <dgm:pt modelId="{61F4B34D-F58B-49AA-89E2-6DE95A0B93BB}">
      <dgm:prSet phldrT="[Tekst]" custT="1"/>
      <dgm:spPr/>
      <dgm:t>
        <a:bodyPr/>
        <a:lstStyle/>
        <a:p>
          <a:r>
            <a:rPr lang="pl-PL" sz="1000" b="1"/>
            <a:t>Dyrektor Deparatementu Budżetu Rozwoju </a:t>
          </a:r>
          <a:endParaRPr lang="pl-PL" sz="1000"/>
        </a:p>
        <a:p>
          <a:r>
            <a:rPr lang="pl-PL" sz="1000"/>
            <a:t>Funkcje jednostki płatniczej</a:t>
          </a:r>
        </a:p>
      </dgm:t>
    </dgm:pt>
    <dgm:pt modelId="{E87CA2EC-CB15-4B1E-8103-708E6DA61006}" type="parTrans" cxnId="{E18E1F29-5F0B-4630-A474-0671B2B85CA1}">
      <dgm:prSet/>
      <dgm:spPr/>
      <dgm:t>
        <a:bodyPr/>
        <a:lstStyle/>
        <a:p>
          <a:endParaRPr lang="pl-PL"/>
        </a:p>
      </dgm:t>
    </dgm:pt>
    <dgm:pt modelId="{A76446A8-BA34-4C72-BB4C-2BE240F453A4}" type="sibTrans" cxnId="{E18E1F29-5F0B-4630-A474-0671B2B85CA1}">
      <dgm:prSet/>
      <dgm:spPr/>
      <dgm:t>
        <a:bodyPr/>
        <a:lstStyle/>
        <a:p>
          <a:endParaRPr lang="pl-PL"/>
        </a:p>
      </dgm:t>
    </dgm:pt>
    <dgm:pt modelId="{821D0213-B46A-40D1-BB50-EF12D9FBBEAF}">
      <dgm:prSet custT="1"/>
      <dgm:spPr/>
      <dgm:t>
        <a:bodyPr/>
        <a:lstStyle/>
        <a:p>
          <a:r>
            <a:rPr lang="pl-PL" sz="1000" b="1"/>
            <a:t>Dyrektor Generalny</a:t>
          </a:r>
        </a:p>
      </dgm:t>
    </dgm:pt>
    <dgm:pt modelId="{0A15576B-04D9-4025-AC3A-A18D187AE0BB}" type="parTrans" cxnId="{1B72622D-AC87-4183-A92A-76114FD4BDA0}">
      <dgm:prSet/>
      <dgm:spPr/>
      <dgm:t>
        <a:bodyPr/>
        <a:lstStyle/>
        <a:p>
          <a:endParaRPr lang="pl-PL"/>
        </a:p>
      </dgm:t>
    </dgm:pt>
    <dgm:pt modelId="{F3E0B811-6163-4B6E-858C-EE08554BD3EC}" type="sibTrans" cxnId="{1B72622D-AC87-4183-A92A-76114FD4BDA0}">
      <dgm:prSet/>
      <dgm:spPr/>
      <dgm:t>
        <a:bodyPr/>
        <a:lstStyle/>
        <a:p>
          <a:endParaRPr lang="pl-PL"/>
        </a:p>
      </dgm:t>
    </dgm:pt>
    <dgm:pt modelId="{2B390C84-71BF-4B94-9789-B5A082CCFDEB}">
      <dgm:prSet/>
      <dgm:spPr/>
      <dgm:t>
        <a:bodyPr/>
        <a:lstStyle/>
        <a:p>
          <a:r>
            <a:rPr lang="pl-PL" b="1"/>
            <a:t>Dyrektor Departamentu Certyfikacji  Desygnacji</a:t>
          </a:r>
          <a:endParaRPr lang="pl-PL"/>
        </a:p>
        <a:p>
          <a:r>
            <a:rPr lang="pl-PL"/>
            <a:t>Funcja dotycząca procedury desygnacji IZ</a:t>
          </a:r>
        </a:p>
      </dgm:t>
    </dgm:pt>
    <dgm:pt modelId="{BD88DDDA-55C4-458F-A1EA-F23F9081CF67}" type="parTrans" cxnId="{CFE5EF4B-C751-4CEE-84E9-E429C10E6706}">
      <dgm:prSet/>
      <dgm:spPr/>
      <dgm:t>
        <a:bodyPr/>
        <a:lstStyle/>
        <a:p>
          <a:endParaRPr lang="pl-PL"/>
        </a:p>
      </dgm:t>
    </dgm:pt>
    <dgm:pt modelId="{013924D7-B474-4D31-8EAB-BD9C651330CC}" type="sibTrans" cxnId="{CFE5EF4B-C751-4CEE-84E9-E429C10E6706}">
      <dgm:prSet/>
      <dgm:spPr/>
      <dgm:t>
        <a:bodyPr/>
        <a:lstStyle/>
        <a:p>
          <a:endParaRPr lang="pl-PL"/>
        </a:p>
      </dgm:t>
    </dgm:pt>
    <dgm:pt modelId="{E11D97A3-D959-4F45-BD92-55C9B06D16BF}" type="pres">
      <dgm:prSet presAssocID="{91CD336E-6B75-4D2F-B45C-8F523C332773}" presName="hierChild1" presStyleCnt="0">
        <dgm:presLayoutVars>
          <dgm:chPref val="1"/>
          <dgm:dir/>
          <dgm:animOne val="branch"/>
          <dgm:animLvl val="lvl"/>
          <dgm:resizeHandles/>
        </dgm:presLayoutVars>
      </dgm:prSet>
      <dgm:spPr/>
      <dgm:t>
        <a:bodyPr/>
        <a:lstStyle/>
        <a:p>
          <a:endParaRPr lang="pl-PL"/>
        </a:p>
      </dgm:t>
    </dgm:pt>
    <dgm:pt modelId="{5EBEACF9-80A9-48B9-BDAB-947C9F740138}" type="pres">
      <dgm:prSet presAssocID="{38CB82A0-54EA-4D01-BA76-D2B99B32792D}" presName="hierRoot1" presStyleCnt="0"/>
      <dgm:spPr/>
    </dgm:pt>
    <dgm:pt modelId="{665CAAB7-3C6E-4D9E-9BD4-042F875EFB35}" type="pres">
      <dgm:prSet presAssocID="{38CB82A0-54EA-4D01-BA76-D2B99B32792D}" presName="composite" presStyleCnt="0"/>
      <dgm:spPr/>
    </dgm:pt>
    <dgm:pt modelId="{9E4422F4-1523-4403-B729-B9172274383E}" type="pres">
      <dgm:prSet presAssocID="{38CB82A0-54EA-4D01-BA76-D2B99B32792D}" presName="background" presStyleLbl="node0" presStyleIdx="0" presStyleCnt="1"/>
      <dgm:spPr/>
    </dgm:pt>
    <dgm:pt modelId="{69B49D04-FE3B-4FED-852A-8162AEB0CC49}" type="pres">
      <dgm:prSet presAssocID="{38CB82A0-54EA-4D01-BA76-D2B99B32792D}" presName="text" presStyleLbl="fgAcc0" presStyleIdx="0" presStyleCnt="1" custScaleX="351280" custScaleY="68309" custLinFactNeighborX="29660" custLinFactNeighborY="-3688">
        <dgm:presLayoutVars>
          <dgm:chPref val="3"/>
        </dgm:presLayoutVars>
      </dgm:prSet>
      <dgm:spPr/>
      <dgm:t>
        <a:bodyPr/>
        <a:lstStyle/>
        <a:p>
          <a:endParaRPr lang="pl-PL"/>
        </a:p>
      </dgm:t>
    </dgm:pt>
    <dgm:pt modelId="{DFBE72B0-B24D-4DAF-9FD8-6E7B662B7990}" type="pres">
      <dgm:prSet presAssocID="{38CB82A0-54EA-4D01-BA76-D2B99B32792D}" presName="hierChild2" presStyleCnt="0"/>
      <dgm:spPr/>
    </dgm:pt>
    <dgm:pt modelId="{462765DC-A672-44BB-AC0A-C037183ADB32}" type="pres">
      <dgm:prSet presAssocID="{E02B1584-F7F2-4878-95B2-7656072ADF37}" presName="Name10" presStyleLbl="parChTrans1D2" presStyleIdx="0" presStyleCnt="3"/>
      <dgm:spPr/>
      <dgm:t>
        <a:bodyPr/>
        <a:lstStyle/>
        <a:p>
          <a:endParaRPr lang="pl-PL"/>
        </a:p>
      </dgm:t>
    </dgm:pt>
    <dgm:pt modelId="{5E346F1B-D876-4A0A-B045-739FDEA0CB97}" type="pres">
      <dgm:prSet presAssocID="{F121ED84-A79C-4854-8072-9EC383121252}" presName="hierRoot2" presStyleCnt="0"/>
      <dgm:spPr/>
    </dgm:pt>
    <dgm:pt modelId="{39E37123-DA5D-426C-B0AB-51D5D2248ECD}" type="pres">
      <dgm:prSet presAssocID="{F121ED84-A79C-4854-8072-9EC383121252}" presName="composite2" presStyleCnt="0"/>
      <dgm:spPr/>
    </dgm:pt>
    <dgm:pt modelId="{D1206613-9642-446D-9CBC-07FA69EA56C3}" type="pres">
      <dgm:prSet presAssocID="{F121ED84-A79C-4854-8072-9EC383121252}" presName="background2" presStyleLbl="node2" presStyleIdx="0" presStyleCnt="3"/>
      <dgm:spPr/>
    </dgm:pt>
    <dgm:pt modelId="{020A79BF-9A7C-4589-869D-BEA698CA5503}" type="pres">
      <dgm:prSet presAssocID="{F121ED84-A79C-4854-8072-9EC383121252}" presName="text2" presStyleLbl="fgAcc2" presStyleIdx="0" presStyleCnt="3" custScaleX="110405" custScaleY="60080">
        <dgm:presLayoutVars>
          <dgm:chPref val="3"/>
        </dgm:presLayoutVars>
      </dgm:prSet>
      <dgm:spPr/>
      <dgm:t>
        <a:bodyPr/>
        <a:lstStyle/>
        <a:p>
          <a:endParaRPr lang="pl-PL"/>
        </a:p>
      </dgm:t>
    </dgm:pt>
    <dgm:pt modelId="{7622EB80-C534-40E9-95AD-01AFA1400D4C}" type="pres">
      <dgm:prSet presAssocID="{F121ED84-A79C-4854-8072-9EC383121252}" presName="hierChild3" presStyleCnt="0"/>
      <dgm:spPr/>
    </dgm:pt>
    <dgm:pt modelId="{AFAE6D09-1CFB-42D5-A6AC-62085CEAD88F}" type="pres">
      <dgm:prSet presAssocID="{E8F097E7-13D1-4035-9D6B-C4718F7EE6FD}" presName="Name17" presStyleLbl="parChTrans1D3" presStyleIdx="0" presStyleCnt="3"/>
      <dgm:spPr/>
      <dgm:t>
        <a:bodyPr/>
        <a:lstStyle/>
        <a:p>
          <a:endParaRPr lang="pl-PL"/>
        </a:p>
      </dgm:t>
    </dgm:pt>
    <dgm:pt modelId="{85C00E83-3E03-4A7D-BA77-332269FE387E}" type="pres">
      <dgm:prSet presAssocID="{8BE70DAC-C90A-49D4-BFFF-D8D21A0B2E92}" presName="hierRoot3" presStyleCnt="0"/>
      <dgm:spPr/>
    </dgm:pt>
    <dgm:pt modelId="{92C9E3E9-CF36-4A9F-8012-AAAD425E5BF9}" type="pres">
      <dgm:prSet presAssocID="{8BE70DAC-C90A-49D4-BFFF-D8D21A0B2E92}" presName="composite3" presStyleCnt="0"/>
      <dgm:spPr/>
    </dgm:pt>
    <dgm:pt modelId="{A887967D-7493-4D67-86EF-C7E356E75D96}" type="pres">
      <dgm:prSet presAssocID="{8BE70DAC-C90A-49D4-BFFF-D8D21A0B2E92}" presName="background3" presStyleLbl="node3" presStyleIdx="0" presStyleCnt="3"/>
      <dgm:spPr/>
    </dgm:pt>
    <dgm:pt modelId="{F860EC7A-EBCA-4A64-950B-444F4C2670CF}" type="pres">
      <dgm:prSet presAssocID="{8BE70DAC-C90A-49D4-BFFF-D8D21A0B2E92}" presName="text3" presStyleLbl="fgAcc3" presStyleIdx="0" presStyleCnt="3" custScaleX="165720" custScaleY="124499">
        <dgm:presLayoutVars>
          <dgm:chPref val="3"/>
        </dgm:presLayoutVars>
      </dgm:prSet>
      <dgm:spPr/>
      <dgm:t>
        <a:bodyPr/>
        <a:lstStyle/>
        <a:p>
          <a:endParaRPr lang="pl-PL"/>
        </a:p>
      </dgm:t>
    </dgm:pt>
    <dgm:pt modelId="{59B63455-22CE-4B55-83B7-467F64E768DD}" type="pres">
      <dgm:prSet presAssocID="{8BE70DAC-C90A-49D4-BFFF-D8D21A0B2E92}" presName="hierChild4" presStyleCnt="0"/>
      <dgm:spPr/>
    </dgm:pt>
    <dgm:pt modelId="{3C2E0678-2BD1-4201-ABDB-55509BB43074}" type="pres">
      <dgm:prSet presAssocID="{61BA1F80-A4A2-4FFD-82DD-9685DE71C0C4}" presName="Name10" presStyleLbl="parChTrans1D2" presStyleIdx="1" presStyleCnt="3"/>
      <dgm:spPr/>
      <dgm:t>
        <a:bodyPr/>
        <a:lstStyle/>
        <a:p>
          <a:endParaRPr lang="pl-PL"/>
        </a:p>
      </dgm:t>
    </dgm:pt>
    <dgm:pt modelId="{97633239-F673-42EA-9E22-B16EDD3D5FC3}" type="pres">
      <dgm:prSet presAssocID="{536D058E-6562-48E6-A956-6EB1FA31C8F5}" presName="hierRoot2" presStyleCnt="0"/>
      <dgm:spPr/>
    </dgm:pt>
    <dgm:pt modelId="{C3B331A2-45BC-4F7E-B16B-6BCA02EB95E2}" type="pres">
      <dgm:prSet presAssocID="{536D058E-6562-48E6-A956-6EB1FA31C8F5}" presName="composite2" presStyleCnt="0"/>
      <dgm:spPr/>
    </dgm:pt>
    <dgm:pt modelId="{AE877B9B-C371-4712-A326-3AD2567BD384}" type="pres">
      <dgm:prSet presAssocID="{536D058E-6562-48E6-A956-6EB1FA31C8F5}" presName="background2" presStyleLbl="node2" presStyleIdx="1" presStyleCnt="3"/>
      <dgm:spPr/>
    </dgm:pt>
    <dgm:pt modelId="{90C08896-2D31-4DFB-9A82-03E250E73112}" type="pres">
      <dgm:prSet presAssocID="{536D058E-6562-48E6-A956-6EB1FA31C8F5}" presName="text2" presStyleLbl="fgAcc2" presStyleIdx="1" presStyleCnt="3" custScaleX="107051" custScaleY="54662">
        <dgm:presLayoutVars>
          <dgm:chPref val="3"/>
        </dgm:presLayoutVars>
      </dgm:prSet>
      <dgm:spPr/>
      <dgm:t>
        <a:bodyPr/>
        <a:lstStyle/>
        <a:p>
          <a:endParaRPr lang="pl-PL"/>
        </a:p>
      </dgm:t>
    </dgm:pt>
    <dgm:pt modelId="{E6A27246-385A-4BC4-89D6-B336CFB3FCFA}" type="pres">
      <dgm:prSet presAssocID="{536D058E-6562-48E6-A956-6EB1FA31C8F5}" presName="hierChild3" presStyleCnt="0"/>
      <dgm:spPr/>
    </dgm:pt>
    <dgm:pt modelId="{5BF9E32A-6B0E-430E-87D8-FD917C4B1BE2}" type="pres">
      <dgm:prSet presAssocID="{E87CA2EC-CB15-4B1E-8103-708E6DA61006}" presName="Name17" presStyleLbl="parChTrans1D3" presStyleIdx="1" presStyleCnt="3"/>
      <dgm:spPr/>
      <dgm:t>
        <a:bodyPr/>
        <a:lstStyle/>
        <a:p>
          <a:endParaRPr lang="pl-PL"/>
        </a:p>
      </dgm:t>
    </dgm:pt>
    <dgm:pt modelId="{3C26F2D4-3F2B-49FD-8CB5-5175E13B9F95}" type="pres">
      <dgm:prSet presAssocID="{61F4B34D-F58B-49AA-89E2-6DE95A0B93BB}" presName="hierRoot3" presStyleCnt="0"/>
      <dgm:spPr/>
    </dgm:pt>
    <dgm:pt modelId="{E24A7EC2-DBBE-4EE7-B7DD-1D20A515E3EB}" type="pres">
      <dgm:prSet presAssocID="{61F4B34D-F58B-49AA-89E2-6DE95A0B93BB}" presName="composite3" presStyleCnt="0"/>
      <dgm:spPr/>
    </dgm:pt>
    <dgm:pt modelId="{6F267D77-0B58-4FED-9F56-2182F433CE1D}" type="pres">
      <dgm:prSet presAssocID="{61F4B34D-F58B-49AA-89E2-6DE95A0B93BB}" presName="background3" presStyleLbl="node3" presStyleIdx="1" presStyleCnt="3"/>
      <dgm:spPr/>
    </dgm:pt>
    <dgm:pt modelId="{7E130624-2D82-4804-94C7-CC68FD8AAE15}" type="pres">
      <dgm:prSet presAssocID="{61F4B34D-F58B-49AA-89E2-6DE95A0B93BB}" presName="text3" presStyleLbl="fgAcc3" presStyleIdx="1" presStyleCnt="3" custScaleX="148032" custScaleY="125006">
        <dgm:presLayoutVars>
          <dgm:chPref val="3"/>
        </dgm:presLayoutVars>
      </dgm:prSet>
      <dgm:spPr/>
      <dgm:t>
        <a:bodyPr/>
        <a:lstStyle/>
        <a:p>
          <a:endParaRPr lang="pl-PL"/>
        </a:p>
      </dgm:t>
    </dgm:pt>
    <dgm:pt modelId="{E24E558E-75A5-486A-B1E6-79EBBC8C4E58}" type="pres">
      <dgm:prSet presAssocID="{61F4B34D-F58B-49AA-89E2-6DE95A0B93BB}" presName="hierChild4" presStyleCnt="0"/>
      <dgm:spPr/>
    </dgm:pt>
    <dgm:pt modelId="{869BAFFA-F85F-4862-BEAA-D192FF2DADF2}" type="pres">
      <dgm:prSet presAssocID="{0A15576B-04D9-4025-AC3A-A18D187AE0BB}" presName="Name10" presStyleLbl="parChTrans1D2" presStyleIdx="2" presStyleCnt="3"/>
      <dgm:spPr/>
      <dgm:t>
        <a:bodyPr/>
        <a:lstStyle/>
        <a:p>
          <a:endParaRPr lang="pl-PL"/>
        </a:p>
      </dgm:t>
    </dgm:pt>
    <dgm:pt modelId="{776FE5D4-A332-4713-9FA3-C36CB195FFB9}" type="pres">
      <dgm:prSet presAssocID="{821D0213-B46A-40D1-BB50-EF12D9FBBEAF}" presName="hierRoot2" presStyleCnt="0"/>
      <dgm:spPr/>
    </dgm:pt>
    <dgm:pt modelId="{1AD498AC-D8E3-4736-AE29-51A10CB8AA57}" type="pres">
      <dgm:prSet presAssocID="{821D0213-B46A-40D1-BB50-EF12D9FBBEAF}" presName="composite2" presStyleCnt="0"/>
      <dgm:spPr/>
    </dgm:pt>
    <dgm:pt modelId="{F5485D0B-150D-445F-B217-68419111A764}" type="pres">
      <dgm:prSet presAssocID="{821D0213-B46A-40D1-BB50-EF12D9FBBEAF}" presName="background2" presStyleLbl="node2" presStyleIdx="2" presStyleCnt="3"/>
      <dgm:spPr/>
    </dgm:pt>
    <dgm:pt modelId="{35750E29-0EE6-4A98-AA6F-98D7DC98E823}" type="pres">
      <dgm:prSet presAssocID="{821D0213-B46A-40D1-BB50-EF12D9FBBEAF}" presName="text2" presStyleLbl="fgAcc2" presStyleIdx="2" presStyleCnt="3" custScaleY="58056">
        <dgm:presLayoutVars>
          <dgm:chPref val="3"/>
        </dgm:presLayoutVars>
      </dgm:prSet>
      <dgm:spPr/>
      <dgm:t>
        <a:bodyPr/>
        <a:lstStyle/>
        <a:p>
          <a:endParaRPr lang="pl-PL"/>
        </a:p>
      </dgm:t>
    </dgm:pt>
    <dgm:pt modelId="{28F77A11-1096-4490-AF67-9D0B9FA37495}" type="pres">
      <dgm:prSet presAssocID="{821D0213-B46A-40D1-BB50-EF12D9FBBEAF}" presName="hierChild3" presStyleCnt="0"/>
      <dgm:spPr/>
    </dgm:pt>
    <dgm:pt modelId="{FE4FDB7E-377A-4437-A2C0-D2B3CC74B298}" type="pres">
      <dgm:prSet presAssocID="{BD88DDDA-55C4-458F-A1EA-F23F9081CF67}" presName="Name17" presStyleLbl="parChTrans1D3" presStyleIdx="2" presStyleCnt="3"/>
      <dgm:spPr/>
      <dgm:t>
        <a:bodyPr/>
        <a:lstStyle/>
        <a:p>
          <a:endParaRPr lang="pl-PL"/>
        </a:p>
      </dgm:t>
    </dgm:pt>
    <dgm:pt modelId="{FAABAAE0-8032-44EE-A95D-F6C5BB9C9070}" type="pres">
      <dgm:prSet presAssocID="{2B390C84-71BF-4B94-9789-B5A082CCFDEB}" presName="hierRoot3" presStyleCnt="0"/>
      <dgm:spPr/>
    </dgm:pt>
    <dgm:pt modelId="{050EEE36-17F3-4357-9BFA-951F03DDDC5A}" type="pres">
      <dgm:prSet presAssocID="{2B390C84-71BF-4B94-9789-B5A082CCFDEB}" presName="composite3" presStyleCnt="0"/>
      <dgm:spPr/>
    </dgm:pt>
    <dgm:pt modelId="{5F80AAE5-DCB5-4D36-9955-4E51DFABDBBF}" type="pres">
      <dgm:prSet presAssocID="{2B390C84-71BF-4B94-9789-B5A082CCFDEB}" presName="background3" presStyleLbl="node3" presStyleIdx="2" presStyleCnt="3"/>
      <dgm:spPr/>
    </dgm:pt>
    <dgm:pt modelId="{F70D13E0-2DE4-40C7-9F45-5DE9BA666B2C}" type="pres">
      <dgm:prSet presAssocID="{2B390C84-71BF-4B94-9789-B5A082CCFDEB}" presName="text3" presStyleLbl="fgAcc3" presStyleIdx="2" presStyleCnt="3" custScaleX="125332" custScaleY="124774">
        <dgm:presLayoutVars>
          <dgm:chPref val="3"/>
        </dgm:presLayoutVars>
      </dgm:prSet>
      <dgm:spPr/>
      <dgm:t>
        <a:bodyPr/>
        <a:lstStyle/>
        <a:p>
          <a:endParaRPr lang="pl-PL"/>
        </a:p>
      </dgm:t>
    </dgm:pt>
    <dgm:pt modelId="{82BE6222-2C6E-4F7C-A11D-294112BB50DC}" type="pres">
      <dgm:prSet presAssocID="{2B390C84-71BF-4B94-9789-B5A082CCFDEB}" presName="hierChild4" presStyleCnt="0"/>
      <dgm:spPr/>
    </dgm:pt>
  </dgm:ptLst>
  <dgm:cxnLst>
    <dgm:cxn modelId="{F16EA212-FCB0-447A-8709-5BD34D83BBB5}" type="presOf" srcId="{821D0213-B46A-40D1-BB50-EF12D9FBBEAF}" destId="{35750E29-0EE6-4A98-AA6F-98D7DC98E823}" srcOrd="0" destOrd="0" presId="urn:microsoft.com/office/officeart/2005/8/layout/hierarchy1"/>
    <dgm:cxn modelId="{CFE5EF4B-C751-4CEE-84E9-E429C10E6706}" srcId="{821D0213-B46A-40D1-BB50-EF12D9FBBEAF}" destId="{2B390C84-71BF-4B94-9789-B5A082CCFDEB}" srcOrd="0" destOrd="0" parTransId="{BD88DDDA-55C4-458F-A1EA-F23F9081CF67}" sibTransId="{013924D7-B474-4D31-8EAB-BD9C651330CC}"/>
    <dgm:cxn modelId="{B008F1E4-8A2B-4578-BC37-CF5F5CF09263}" type="presOf" srcId="{536D058E-6562-48E6-A956-6EB1FA31C8F5}" destId="{90C08896-2D31-4DFB-9A82-03E250E73112}" srcOrd="0" destOrd="0" presId="urn:microsoft.com/office/officeart/2005/8/layout/hierarchy1"/>
    <dgm:cxn modelId="{E2C724B4-1CD4-4DAC-91CD-9AED5D28B2C6}" srcId="{38CB82A0-54EA-4D01-BA76-D2B99B32792D}" destId="{536D058E-6562-48E6-A956-6EB1FA31C8F5}" srcOrd="1" destOrd="0" parTransId="{61BA1F80-A4A2-4FFD-82DD-9685DE71C0C4}" sibTransId="{0479EC3D-0E7F-4CC1-AD2E-3116EE6EC5CC}"/>
    <dgm:cxn modelId="{D96F203F-533C-413B-99AF-B0EED961FD2E}" type="presOf" srcId="{E02B1584-F7F2-4878-95B2-7656072ADF37}" destId="{462765DC-A672-44BB-AC0A-C037183ADB32}" srcOrd="0" destOrd="0" presId="urn:microsoft.com/office/officeart/2005/8/layout/hierarchy1"/>
    <dgm:cxn modelId="{1B72622D-AC87-4183-A92A-76114FD4BDA0}" srcId="{38CB82A0-54EA-4D01-BA76-D2B99B32792D}" destId="{821D0213-B46A-40D1-BB50-EF12D9FBBEAF}" srcOrd="2" destOrd="0" parTransId="{0A15576B-04D9-4025-AC3A-A18D187AE0BB}" sibTransId="{F3E0B811-6163-4B6E-858C-EE08554BD3EC}"/>
    <dgm:cxn modelId="{0BD4D8CE-A533-4951-9829-2E68BCDC2938}" type="presOf" srcId="{0A15576B-04D9-4025-AC3A-A18D187AE0BB}" destId="{869BAFFA-F85F-4862-BEAA-D192FF2DADF2}" srcOrd="0" destOrd="0" presId="urn:microsoft.com/office/officeart/2005/8/layout/hierarchy1"/>
    <dgm:cxn modelId="{97DED261-DD8C-4F56-AE46-136A781FF706}" type="presOf" srcId="{2B390C84-71BF-4B94-9789-B5A082CCFDEB}" destId="{F70D13E0-2DE4-40C7-9F45-5DE9BA666B2C}" srcOrd="0" destOrd="0" presId="urn:microsoft.com/office/officeart/2005/8/layout/hierarchy1"/>
    <dgm:cxn modelId="{8F211D9E-2762-42F2-A093-7B2C2D4224E4}" type="presOf" srcId="{8BE70DAC-C90A-49D4-BFFF-D8D21A0B2E92}" destId="{F860EC7A-EBCA-4A64-950B-444F4C2670CF}" srcOrd="0" destOrd="0" presId="urn:microsoft.com/office/officeart/2005/8/layout/hierarchy1"/>
    <dgm:cxn modelId="{3A35F493-B403-4F4B-8304-BA2A2D4FBFED}" srcId="{91CD336E-6B75-4D2F-B45C-8F523C332773}" destId="{38CB82A0-54EA-4D01-BA76-D2B99B32792D}" srcOrd="0" destOrd="0" parTransId="{73FB2FA7-FBDA-4471-9C1F-C977F60CE808}" sibTransId="{5C712BEF-88B1-4CC9-BFA1-F5A9BEF1F48F}"/>
    <dgm:cxn modelId="{5E8F01C0-A319-4A26-98E3-74586A47F964}" srcId="{38CB82A0-54EA-4D01-BA76-D2B99B32792D}" destId="{F121ED84-A79C-4854-8072-9EC383121252}" srcOrd="0" destOrd="0" parTransId="{E02B1584-F7F2-4878-95B2-7656072ADF37}" sibTransId="{6A8D38B1-9075-4488-8E3C-3CEC29DBAD24}"/>
    <dgm:cxn modelId="{A31182C0-D9FC-46F6-A6A8-AA2584D8EAC3}" type="presOf" srcId="{E8F097E7-13D1-4035-9D6B-C4718F7EE6FD}" destId="{AFAE6D09-1CFB-42D5-A6AC-62085CEAD88F}" srcOrd="0" destOrd="0" presId="urn:microsoft.com/office/officeart/2005/8/layout/hierarchy1"/>
    <dgm:cxn modelId="{AAB2F3DE-D470-4C85-8048-ED1BCF326BC0}" type="presOf" srcId="{E87CA2EC-CB15-4B1E-8103-708E6DA61006}" destId="{5BF9E32A-6B0E-430E-87D8-FD917C4B1BE2}" srcOrd="0" destOrd="0" presId="urn:microsoft.com/office/officeart/2005/8/layout/hierarchy1"/>
    <dgm:cxn modelId="{4A328DB6-8689-421A-892D-C995BCA6DFF9}" type="presOf" srcId="{91CD336E-6B75-4D2F-B45C-8F523C332773}" destId="{E11D97A3-D959-4F45-BD92-55C9B06D16BF}" srcOrd="0" destOrd="0" presId="urn:microsoft.com/office/officeart/2005/8/layout/hierarchy1"/>
    <dgm:cxn modelId="{3BA42FBE-62A0-4F48-B081-D622BAB5A232}" type="presOf" srcId="{61BA1F80-A4A2-4FFD-82DD-9685DE71C0C4}" destId="{3C2E0678-2BD1-4201-ABDB-55509BB43074}" srcOrd="0" destOrd="0" presId="urn:microsoft.com/office/officeart/2005/8/layout/hierarchy1"/>
    <dgm:cxn modelId="{9511FEBA-95F0-46D7-AD62-8FABA4ADCCEF}" type="presOf" srcId="{38CB82A0-54EA-4D01-BA76-D2B99B32792D}" destId="{69B49D04-FE3B-4FED-852A-8162AEB0CC49}" srcOrd="0" destOrd="0" presId="urn:microsoft.com/office/officeart/2005/8/layout/hierarchy1"/>
    <dgm:cxn modelId="{27B4B490-C765-4696-B348-F37F789FEA84}" srcId="{F121ED84-A79C-4854-8072-9EC383121252}" destId="{8BE70DAC-C90A-49D4-BFFF-D8D21A0B2E92}" srcOrd="0" destOrd="0" parTransId="{E8F097E7-13D1-4035-9D6B-C4718F7EE6FD}" sibTransId="{E6C0E15E-1D0F-4DE7-B044-5023D41067F8}"/>
    <dgm:cxn modelId="{4798328D-E5AE-4652-AB90-092498115A54}" type="presOf" srcId="{BD88DDDA-55C4-458F-A1EA-F23F9081CF67}" destId="{FE4FDB7E-377A-4437-A2C0-D2B3CC74B298}" srcOrd="0" destOrd="0" presId="urn:microsoft.com/office/officeart/2005/8/layout/hierarchy1"/>
    <dgm:cxn modelId="{51E4B229-B643-48FB-A266-A571110FA07D}" type="presOf" srcId="{F121ED84-A79C-4854-8072-9EC383121252}" destId="{020A79BF-9A7C-4589-869D-BEA698CA5503}" srcOrd="0" destOrd="0" presId="urn:microsoft.com/office/officeart/2005/8/layout/hierarchy1"/>
    <dgm:cxn modelId="{BDE55FFA-B846-4E26-B42B-92E74380211F}" type="presOf" srcId="{61F4B34D-F58B-49AA-89E2-6DE95A0B93BB}" destId="{7E130624-2D82-4804-94C7-CC68FD8AAE15}" srcOrd="0" destOrd="0" presId="urn:microsoft.com/office/officeart/2005/8/layout/hierarchy1"/>
    <dgm:cxn modelId="{E18E1F29-5F0B-4630-A474-0671B2B85CA1}" srcId="{536D058E-6562-48E6-A956-6EB1FA31C8F5}" destId="{61F4B34D-F58B-49AA-89E2-6DE95A0B93BB}" srcOrd="0" destOrd="0" parTransId="{E87CA2EC-CB15-4B1E-8103-708E6DA61006}" sibTransId="{A76446A8-BA34-4C72-BB4C-2BE240F453A4}"/>
    <dgm:cxn modelId="{C88D3609-BDBF-4EA8-A88B-C7CA8B95BF79}" type="presParOf" srcId="{E11D97A3-D959-4F45-BD92-55C9B06D16BF}" destId="{5EBEACF9-80A9-48B9-BDAB-947C9F740138}" srcOrd="0" destOrd="0" presId="urn:microsoft.com/office/officeart/2005/8/layout/hierarchy1"/>
    <dgm:cxn modelId="{93346716-4DDE-4A4D-B482-232C5F7C3626}" type="presParOf" srcId="{5EBEACF9-80A9-48B9-BDAB-947C9F740138}" destId="{665CAAB7-3C6E-4D9E-9BD4-042F875EFB35}" srcOrd="0" destOrd="0" presId="urn:microsoft.com/office/officeart/2005/8/layout/hierarchy1"/>
    <dgm:cxn modelId="{C92B4B2C-D759-46B2-A956-5F59A3C8D808}" type="presParOf" srcId="{665CAAB7-3C6E-4D9E-9BD4-042F875EFB35}" destId="{9E4422F4-1523-4403-B729-B9172274383E}" srcOrd="0" destOrd="0" presId="urn:microsoft.com/office/officeart/2005/8/layout/hierarchy1"/>
    <dgm:cxn modelId="{6F2FE810-CD89-470B-8A50-245186E9D9C4}" type="presParOf" srcId="{665CAAB7-3C6E-4D9E-9BD4-042F875EFB35}" destId="{69B49D04-FE3B-4FED-852A-8162AEB0CC49}" srcOrd="1" destOrd="0" presId="urn:microsoft.com/office/officeart/2005/8/layout/hierarchy1"/>
    <dgm:cxn modelId="{BD5AF14A-5107-4F71-91A5-B509518344A9}" type="presParOf" srcId="{5EBEACF9-80A9-48B9-BDAB-947C9F740138}" destId="{DFBE72B0-B24D-4DAF-9FD8-6E7B662B7990}" srcOrd="1" destOrd="0" presId="urn:microsoft.com/office/officeart/2005/8/layout/hierarchy1"/>
    <dgm:cxn modelId="{1A01DDA3-266F-4352-8934-09F9569AFF6D}" type="presParOf" srcId="{DFBE72B0-B24D-4DAF-9FD8-6E7B662B7990}" destId="{462765DC-A672-44BB-AC0A-C037183ADB32}" srcOrd="0" destOrd="0" presId="urn:microsoft.com/office/officeart/2005/8/layout/hierarchy1"/>
    <dgm:cxn modelId="{970909D1-1F6B-4032-AB60-790359193D46}" type="presParOf" srcId="{DFBE72B0-B24D-4DAF-9FD8-6E7B662B7990}" destId="{5E346F1B-D876-4A0A-B045-739FDEA0CB97}" srcOrd="1" destOrd="0" presId="urn:microsoft.com/office/officeart/2005/8/layout/hierarchy1"/>
    <dgm:cxn modelId="{CD512D4D-6AB8-45FB-852E-D1EC9BEEA29D}" type="presParOf" srcId="{5E346F1B-D876-4A0A-B045-739FDEA0CB97}" destId="{39E37123-DA5D-426C-B0AB-51D5D2248ECD}" srcOrd="0" destOrd="0" presId="urn:microsoft.com/office/officeart/2005/8/layout/hierarchy1"/>
    <dgm:cxn modelId="{41F4479A-FE65-4AED-B88C-5D74A87604F2}" type="presParOf" srcId="{39E37123-DA5D-426C-B0AB-51D5D2248ECD}" destId="{D1206613-9642-446D-9CBC-07FA69EA56C3}" srcOrd="0" destOrd="0" presId="urn:microsoft.com/office/officeart/2005/8/layout/hierarchy1"/>
    <dgm:cxn modelId="{40E2EEE6-4FDF-4AF1-939F-6DE9E7019805}" type="presParOf" srcId="{39E37123-DA5D-426C-B0AB-51D5D2248ECD}" destId="{020A79BF-9A7C-4589-869D-BEA698CA5503}" srcOrd="1" destOrd="0" presId="urn:microsoft.com/office/officeart/2005/8/layout/hierarchy1"/>
    <dgm:cxn modelId="{4298D7C0-A244-4CAC-A630-108DEB2AB4F1}" type="presParOf" srcId="{5E346F1B-D876-4A0A-B045-739FDEA0CB97}" destId="{7622EB80-C534-40E9-95AD-01AFA1400D4C}" srcOrd="1" destOrd="0" presId="urn:microsoft.com/office/officeart/2005/8/layout/hierarchy1"/>
    <dgm:cxn modelId="{2BD039F6-64E0-406F-BC22-112E9AB148DA}" type="presParOf" srcId="{7622EB80-C534-40E9-95AD-01AFA1400D4C}" destId="{AFAE6D09-1CFB-42D5-A6AC-62085CEAD88F}" srcOrd="0" destOrd="0" presId="urn:microsoft.com/office/officeart/2005/8/layout/hierarchy1"/>
    <dgm:cxn modelId="{EF18FFF3-4A6D-4602-B0D5-E0E72F7A89D1}" type="presParOf" srcId="{7622EB80-C534-40E9-95AD-01AFA1400D4C}" destId="{85C00E83-3E03-4A7D-BA77-332269FE387E}" srcOrd="1" destOrd="0" presId="urn:microsoft.com/office/officeart/2005/8/layout/hierarchy1"/>
    <dgm:cxn modelId="{673B4E90-D61B-41D5-9E57-2A282CF06D99}" type="presParOf" srcId="{85C00E83-3E03-4A7D-BA77-332269FE387E}" destId="{92C9E3E9-CF36-4A9F-8012-AAAD425E5BF9}" srcOrd="0" destOrd="0" presId="urn:microsoft.com/office/officeart/2005/8/layout/hierarchy1"/>
    <dgm:cxn modelId="{C873E233-C0CE-463F-947D-D41C5E26E2EF}" type="presParOf" srcId="{92C9E3E9-CF36-4A9F-8012-AAAD425E5BF9}" destId="{A887967D-7493-4D67-86EF-C7E356E75D96}" srcOrd="0" destOrd="0" presId="urn:microsoft.com/office/officeart/2005/8/layout/hierarchy1"/>
    <dgm:cxn modelId="{A0F02029-BC72-43BB-B973-E1C889B7B3C9}" type="presParOf" srcId="{92C9E3E9-CF36-4A9F-8012-AAAD425E5BF9}" destId="{F860EC7A-EBCA-4A64-950B-444F4C2670CF}" srcOrd="1" destOrd="0" presId="urn:microsoft.com/office/officeart/2005/8/layout/hierarchy1"/>
    <dgm:cxn modelId="{9CCC89D1-81DB-4FC5-9FB1-5AEB119D2B3A}" type="presParOf" srcId="{85C00E83-3E03-4A7D-BA77-332269FE387E}" destId="{59B63455-22CE-4B55-83B7-467F64E768DD}" srcOrd="1" destOrd="0" presId="urn:microsoft.com/office/officeart/2005/8/layout/hierarchy1"/>
    <dgm:cxn modelId="{9BED83D6-C2CF-4F80-84F3-D7B5704ACF6A}" type="presParOf" srcId="{DFBE72B0-B24D-4DAF-9FD8-6E7B662B7990}" destId="{3C2E0678-2BD1-4201-ABDB-55509BB43074}" srcOrd="2" destOrd="0" presId="urn:microsoft.com/office/officeart/2005/8/layout/hierarchy1"/>
    <dgm:cxn modelId="{157651FC-7F54-42B8-97E2-49F7C8C2E037}" type="presParOf" srcId="{DFBE72B0-B24D-4DAF-9FD8-6E7B662B7990}" destId="{97633239-F673-42EA-9E22-B16EDD3D5FC3}" srcOrd="3" destOrd="0" presId="urn:microsoft.com/office/officeart/2005/8/layout/hierarchy1"/>
    <dgm:cxn modelId="{69B95DB8-B538-4046-A56B-AB3EB4EAA72B}" type="presParOf" srcId="{97633239-F673-42EA-9E22-B16EDD3D5FC3}" destId="{C3B331A2-45BC-4F7E-B16B-6BCA02EB95E2}" srcOrd="0" destOrd="0" presId="urn:microsoft.com/office/officeart/2005/8/layout/hierarchy1"/>
    <dgm:cxn modelId="{37ACB8CE-DF4B-4432-AE4A-9B1C483E9C4E}" type="presParOf" srcId="{C3B331A2-45BC-4F7E-B16B-6BCA02EB95E2}" destId="{AE877B9B-C371-4712-A326-3AD2567BD384}" srcOrd="0" destOrd="0" presId="urn:microsoft.com/office/officeart/2005/8/layout/hierarchy1"/>
    <dgm:cxn modelId="{3FA9A737-49A0-47B0-9456-3239A31F9E00}" type="presParOf" srcId="{C3B331A2-45BC-4F7E-B16B-6BCA02EB95E2}" destId="{90C08896-2D31-4DFB-9A82-03E250E73112}" srcOrd="1" destOrd="0" presId="urn:microsoft.com/office/officeart/2005/8/layout/hierarchy1"/>
    <dgm:cxn modelId="{76F5E446-4A31-4F15-99ED-9F05B2DA6B10}" type="presParOf" srcId="{97633239-F673-42EA-9E22-B16EDD3D5FC3}" destId="{E6A27246-385A-4BC4-89D6-B336CFB3FCFA}" srcOrd="1" destOrd="0" presId="urn:microsoft.com/office/officeart/2005/8/layout/hierarchy1"/>
    <dgm:cxn modelId="{54A97E9A-842F-4A7C-8DD3-D94944AB403D}" type="presParOf" srcId="{E6A27246-385A-4BC4-89D6-B336CFB3FCFA}" destId="{5BF9E32A-6B0E-430E-87D8-FD917C4B1BE2}" srcOrd="0" destOrd="0" presId="urn:microsoft.com/office/officeart/2005/8/layout/hierarchy1"/>
    <dgm:cxn modelId="{EEDB3946-7B14-4EC1-B6E5-982F13A25DBF}" type="presParOf" srcId="{E6A27246-385A-4BC4-89D6-B336CFB3FCFA}" destId="{3C26F2D4-3F2B-49FD-8CB5-5175E13B9F95}" srcOrd="1" destOrd="0" presId="urn:microsoft.com/office/officeart/2005/8/layout/hierarchy1"/>
    <dgm:cxn modelId="{12BB25BF-97A8-451B-8D2D-AA7D6397AA0B}" type="presParOf" srcId="{3C26F2D4-3F2B-49FD-8CB5-5175E13B9F95}" destId="{E24A7EC2-DBBE-4EE7-B7DD-1D20A515E3EB}" srcOrd="0" destOrd="0" presId="urn:microsoft.com/office/officeart/2005/8/layout/hierarchy1"/>
    <dgm:cxn modelId="{E0156B77-BA44-4618-95E2-A5F6754DD976}" type="presParOf" srcId="{E24A7EC2-DBBE-4EE7-B7DD-1D20A515E3EB}" destId="{6F267D77-0B58-4FED-9F56-2182F433CE1D}" srcOrd="0" destOrd="0" presId="urn:microsoft.com/office/officeart/2005/8/layout/hierarchy1"/>
    <dgm:cxn modelId="{31F3759D-E8FB-465C-9C46-3C76C70A109D}" type="presParOf" srcId="{E24A7EC2-DBBE-4EE7-B7DD-1D20A515E3EB}" destId="{7E130624-2D82-4804-94C7-CC68FD8AAE15}" srcOrd="1" destOrd="0" presId="urn:microsoft.com/office/officeart/2005/8/layout/hierarchy1"/>
    <dgm:cxn modelId="{2C6EF35A-1941-47F8-979A-6D0CF8FF2324}" type="presParOf" srcId="{3C26F2D4-3F2B-49FD-8CB5-5175E13B9F95}" destId="{E24E558E-75A5-486A-B1E6-79EBBC8C4E58}" srcOrd="1" destOrd="0" presId="urn:microsoft.com/office/officeart/2005/8/layout/hierarchy1"/>
    <dgm:cxn modelId="{2B52A52F-F08E-42D8-A163-36D0BC840ECB}" type="presParOf" srcId="{DFBE72B0-B24D-4DAF-9FD8-6E7B662B7990}" destId="{869BAFFA-F85F-4862-BEAA-D192FF2DADF2}" srcOrd="4" destOrd="0" presId="urn:microsoft.com/office/officeart/2005/8/layout/hierarchy1"/>
    <dgm:cxn modelId="{85F68604-330C-44C5-A272-87781D668E6F}" type="presParOf" srcId="{DFBE72B0-B24D-4DAF-9FD8-6E7B662B7990}" destId="{776FE5D4-A332-4713-9FA3-C36CB195FFB9}" srcOrd="5" destOrd="0" presId="urn:microsoft.com/office/officeart/2005/8/layout/hierarchy1"/>
    <dgm:cxn modelId="{479B19C6-00DA-4026-A700-E6EC855EEBBF}" type="presParOf" srcId="{776FE5D4-A332-4713-9FA3-C36CB195FFB9}" destId="{1AD498AC-D8E3-4736-AE29-51A10CB8AA57}" srcOrd="0" destOrd="0" presId="urn:microsoft.com/office/officeart/2005/8/layout/hierarchy1"/>
    <dgm:cxn modelId="{8D6E17AC-D179-4EAC-AE57-99FB221436E3}" type="presParOf" srcId="{1AD498AC-D8E3-4736-AE29-51A10CB8AA57}" destId="{F5485D0B-150D-445F-B217-68419111A764}" srcOrd="0" destOrd="0" presId="urn:microsoft.com/office/officeart/2005/8/layout/hierarchy1"/>
    <dgm:cxn modelId="{83E0E7FB-700E-4B04-A833-A1F13024B78F}" type="presParOf" srcId="{1AD498AC-D8E3-4736-AE29-51A10CB8AA57}" destId="{35750E29-0EE6-4A98-AA6F-98D7DC98E823}" srcOrd="1" destOrd="0" presId="urn:microsoft.com/office/officeart/2005/8/layout/hierarchy1"/>
    <dgm:cxn modelId="{9E2389AD-4348-4155-8272-71EF861DE387}" type="presParOf" srcId="{776FE5D4-A332-4713-9FA3-C36CB195FFB9}" destId="{28F77A11-1096-4490-AF67-9D0B9FA37495}" srcOrd="1" destOrd="0" presId="urn:microsoft.com/office/officeart/2005/8/layout/hierarchy1"/>
    <dgm:cxn modelId="{1B5CBA3B-1DC6-471D-A235-6FE015C912A4}" type="presParOf" srcId="{28F77A11-1096-4490-AF67-9D0B9FA37495}" destId="{FE4FDB7E-377A-4437-A2C0-D2B3CC74B298}" srcOrd="0" destOrd="0" presId="urn:microsoft.com/office/officeart/2005/8/layout/hierarchy1"/>
    <dgm:cxn modelId="{B985B2F1-4D29-4586-99F1-38DD76FE49FB}" type="presParOf" srcId="{28F77A11-1096-4490-AF67-9D0B9FA37495}" destId="{FAABAAE0-8032-44EE-A95D-F6C5BB9C9070}" srcOrd="1" destOrd="0" presId="urn:microsoft.com/office/officeart/2005/8/layout/hierarchy1"/>
    <dgm:cxn modelId="{FFD4C2EA-A8AE-4D4C-8515-B8649ADB04E6}" type="presParOf" srcId="{FAABAAE0-8032-44EE-A95D-F6C5BB9C9070}" destId="{050EEE36-17F3-4357-9BFA-951F03DDDC5A}" srcOrd="0" destOrd="0" presId="urn:microsoft.com/office/officeart/2005/8/layout/hierarchy1"/>
    <dgm:cxn modelId="{1AC5DEB9-FA80-472E-895A-4E0DB5834B04}" type="presParOf" srcId="{050EEE36-17F3-4357-9BFA-951F03DDDC5A}" destId="{5F80AAE5-DCB5-4D36-9955-4E51DFABDBBF}" srcOrd="0" destOrd="0" presId="urn:microsoft.com/office/officeart/2005/8/layout/hierarchy1"/>
    <dgm:cxn modelId="{35797B78-C429-4C4B-BEBA-C75C71D9E120}" type="presParOf" srcId="{050EEE36-17F3-4357-9BFA-951F03DDDC5A}" destId="{F70D13E0-2DE4-40C7-9F45-5DE9BA666B2C}" srcOrd="1" destOrd="0" presId="urn:microsoft.com/office/officeart/2005/8/layout/hierarchy1"/>
    <dgm:cxn modelId="{E242F19B-228B-4FCD-8CA2-3F7B5C2F775C}" type="presParOf" srcId="{FAABAAE0-8032-44EE-A95D-F6C5BB9C9070}" destId="{82BE6222-2C6E-4F7C-A11D-294112BB50DC}" srcOrd="1" destOrd="0" presId="urn:microsoft.com/office/officeart/2005/8/layout/hierarchy1"/>
  </dgm:cxnLst>
  <dgm:bg/>
  <dgm:whole>
    <a:ln w="6350"/>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96A170-1AC5-4CEC-9677-59A11A7A4216}">
      <dsp:nvSpPr>
        <dsp:cNvPr id="0" name=""/>
        <dsp:cNvSpPr/>
      </dsp:nvSpPr>
      <dsp:spPr>
        <a:xfrm>
          <a:off x="4104340" y="4837401"/>
          <a:ext cx="91440" cy="476086"/>
        </a:xfrm>
        <a:custGeom>
          <a:avLst/>
          <a:gdLst/>
          <a:ahLst/>
          <a:cxnLst/>
          <a:rect l="0" t="0" r="0" b="0"/>
          <a:pathLst>
            <a:path>
              <a:moveTo>
                <a:pt x="45720" y="0"/>
              </a:moveTo>
              <a:lnTo>
                <a:pt x="45720" y="47608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62E2909-32FD-471A-A55C-19411A078145}">
      <dsp:nvSpPr>
        <dsp:cNvPr id="0" name=""/>
        <dsp:cNvSpPr/>
      </dsp:nvSpPr>
      <dsp:spPr>
        <a:xfrm>
          <a:off x="2787745" y="3122381"/>
          <a:ext cx="1362315" cy="476086"/>
        </a:xfrm>
        <a:custGeom>
          <a:avLst/>
          <a:gdLst/>
          <a:ahLst/>
          <a:cxnLst/>
          <a:rect l="0" t="0" r="0" b="0"/>
          <a:pathLst>
            <a:path>
              <a:moveTo>
                <a:pt x="0" y="0"/>
              </a:moveTo>
              <a:lnTo>
                <a:pt x="0" y="324438"/>
              </a:lnTo>
              <a:lnTo>
                <a:pt x="1362315" y="324438"/>
              </a:lnTo>
              <a:lnTo>
                <a:pt x="1362315" y="47608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AFAE6D09-1CFB-42D5-A6AC-62085CEAD88F}">
      <dsp:nvSpPr>
        <dsp:cNvPr id="0" name=""/>
        <dsp:cNvSpPr/>
      </dsp:nvSpPr>
      <dsp:spPr>
        <a:xfrm>
          <a:off x="1633636" y="3122381"/>
          <a:ext cx="1154108" cy="476086"/>
        </a:xfrm>
        <a:custGeom>
          <a:avLst/>
          <a:gdLst/>
          <a:ahLst/>
          <a:cxnLst/>
          <a:rect l="0" t="0" r="0" b="0"/>
          <a:pathLst>
            <a:path>
              <a:moveTo>
                <a:pt x="1154108" y="0"/>
              </a:moveTo>
              <a:lnTo>
                <a:pt x="1154108" y="324438"/>
              </a:lnTo>
              <a:lnTo>
                <a:pt x="0" y="324438"/>
              </a:lnTo>
              <a:lnTo>
                <a:pt x="0" y="47608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62765DC-A672-44BB-AC0A-C037183ADB32}">
      <dsp:nvSpPr>
        <dsp:cNvPr id="0" name=""/>
        <dsp:cNvSpPr/>
      </dsp:nvSpPr>
      <dsp:spPr>
        <a:xfrm>
          <a:off x="2742025" y="1170050"/>
          <a:ext cx="91440" cy="476086"/>
        </a:xfrm>
        <a:custGeom>
          <a:avLst/>
          <a:gdLst/>
          <a:ahLst/>
          <a:cxnLst/>
          <a:rect l="0" t="0" r="0" b="0"/>
          <a:pathLst>
            <a:path>
              <a:moveTo>
                <a:pt x="45720" y="0"/>
              </a:moveTo>
              <a:lnTo>
                <a:pt x="45720" y="476086"/>
              </a:lnTo>
            </a:path>
          </a:pathLst>
        </a:custGeom>
        <a:noFill/>
        <a:ln w="25400" cap="flat" cmpd="sng" algn="ctr">
          <a:noFill/>
          <a:prstDash val="solid"/>
        </a:ln>
        <a:effectLst/>
        <a:scene3d>
          <a:camera prst="orthographicFront">
            <a:rot lat="0" lon="0" rev="0"/>
          </a:camera>
          <a:lightRig rig="chilly" dir="t">
            <a:rot lat="0" lon="0" rev="18480000"/>
          </a:lightRig>
        </a:scene3d>
        <a:sp3d prstMaterial="clear">
          <a:bevelT h="63500"/>
        </a:sp3d>
      </dsp:spPr>
      <dsp:style>
        <a:lnRef idx="2">
          <a:scrgbClr r="0" g="0" b="0"/>
        </a:lnRef>
        <a:fillRef idx="0">
          <a:scrgbClr r="0" g="0" b="0"/>
        </a:fillRef>
        <a:effectRef idx="0">
          <a:scrgbClr r="0" g="0" b="0"/>
        </a:effectRef>
        <a:fontRef idx="minor"/>
      </dsp:style>
    </dsp:sp>
    <dsp:sp modelId="{9E4422F4-1523-4403-B729-B9172274383E}">
      <dsp:nvSpPr>
        <dsp:cNvPr id="0" name=""/>
        <dsp:cNvSpPr/>
      </dsp:nvSpPr>
      <dsp:spPr>
        <a:xfrm>
          <a:off x="1187866" y="866"/>
          <a:ext cx="3199758" cy="116918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B49D04-FE3B-4FED-852A-8162AEB0CC49}">
      <dsp:nvSpPr>
        <dsp:cNvPr id="0" name=""/>
        <dsp:cNvSpPr/>
      </dsp:nvSpPr>
      <dsp:spPr>
        <a:xfrm>
          <a:off x="1369752" y="173657"/>
          <a:ext cx="3199758" cy="116918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Wspólny Komitet Monitorujący</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Przedstawiciele każdego państwa uczestniczącego</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Organ decyzyjny, nadzór nad Programem</a:t>
          </a:r>
        </a:p>
      </dsp:txBody>
      <dsp:txXfrm>
        <a:off x="1403996" y="207901"/>
        <a:ext cx="3131270" cy="1100695"/>
      </dsp:txXfrm>
    </dsp:sp>
    <dsp:sp modelId="{D1206613-9642-446D-9CBC-07FA69EA56C3}">
      <dsp:nvSpPr>
        <dsp:cNvPr id="0" name=""/>
        <dsp:cNvSpPr/>
      </dsp:nvSpPr>
      <dsp:spPr>
        <a:xfrm>
          <a:off x="1734066" y="1646136"/>
          <a:ext cx="2107357" cy="147624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20A79BF-9A7C-4589-869D-BEA698CA5503}">
      <dsp:nvSpPr>
        <dsp:cNvPr id="0" name=""/>
        <dsp:cNvSpPr/>
      </dsp:nvSpPr>
      <dsp:spPr>
        <a:xfrm>
          <a:off x="1915952" y="1818927"/>
          <a:ext cx="2107357" cy="147624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Instytucja Zarządzająca</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Ministerstwo Inwestycji i Rozwoju Rzeczpospolitej Polskiej , Departament Współpracy Terytorialnej</a:t>
          </a:r>
        </a:p>
      </dsp:txBody>
      <dsp:txXfrm>
        <a:off x="1959190" y="1862165"/>
        <a:ext cx="2020881" cy="1389769"/>
      </dsp:txXfrm>
    </dsp:sp>
    <dsp:sp modelId="{A887967D-7493-4D67-86EF-C7E356E75D96}">
      <dsp:nvSpPr>
        <dsp:cNvPr id="0" name=""/>
        <dsp:cNvSpPr/>
      </dsp:nvSpPr>
      <dsp:spPr>
        <a:xfrm>
          <a:off x="453207" y="3598468"/>
          <a:ext cx="2360858" cy="130591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860EC7A-EBCA-4A64-950B-444F4C2670CF}">
      <dsp:nvSpPr>
        <dsp:cNvPr id="0" name=""/>
        <dsp:cNvSpPr/>
      </dsp:nvSpPr>
      <dsp:spPr>
        <a:xfrm>
          <a:off x="635093" y="3771259"/>
          <a:ext cx="2360858" cy="1305916"/>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Instytucje Krajowe w PL i RU</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PL - Ministerstwo Inwestycji i Rozwoju Rzeczpospolitej Polskiej</a:t>
          </a:r>
        </a:p>
        <a:p>
          <a:pPr lvl="0" algn="ctr" defTabSz="444500">
            <a:lnSpc>
              <a:spcPct val="90000"/>
            </a:lnSpc>
            <a:spcBef>
              <a:spcPct val="0"/>
            </a:spcBef>
            <a:spcAft>
              <a:spcPct val="35000"/>
            </a:spcAft>
          </a:pPr>
          <a:r>
            <a:rPr lang="pl-PL" sz="1000" kern="1200"/>
            <a:t>RU - Ministerstwo Rozwoju Godpodarczego Federacji Rosyjskiej</a:t>
          </a:r>
        </a:p>
      </dsp:txBody>
      <dsp:txXfrm>
        <a:off x="673342" y="3809508"/>
        <a:ext cx="2284360" cy="1229418"/>
      </dsp:txXfrm>
    </dsp:sp>
    <dsp:sp modelId="{6FF4CC0A-AEB2-456D-92E3-DD29ECCE1CB0}">
      <dsp:nvSpPr>
        <dsp:cNvPr id="0" name=""/>
        <dsp:cNvSpPr/>
      </dsp:nvSpPr>
      <dsp:spPr>
        <a:xfrm>
          <a:off x="3177838" y="3598468"/>
          <a:ext cx="1944445" cy="123893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84B2ED4-1B22-400A-8E4D-F1162AA41860}">
      <dsp:nvSpPr>
        <dsp:cNvPr id="0" name=""/>
        <dsp:cNvSpPr/>
      </dsp:nvSpPr>
      <dsp:spPr>
        <a:xfrm>
          <a:off x="3359723" y="3771259"/>
          <a:ext cx="1944445" cy="1238932"/>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Wspólny Sekretariat Techniczny</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Centrum Projektów Europejskich</a:t>
          </a:r>
        </a:p>
        <a:p>
          <a:pPr lvl="0" algn="ctr" defTabSz="444500">
            <a:lnSpc>
              <a:spcPct val="90000"/>
            </a:lnSpc>
            <a:spcBef>
              <a:spcPct val="0"/>
            </a:spcBef>
            <a:spcAft>
              <a:spcPct val="35000"/>
            </a:spcAft>
          </a:pPr>
          <a:r>
            <a:rPr lang="pl-PL" sz="1000" kern="1200"/>
            <a:t>Wspiera IZ i WKM w wykonywaniu ich właściwych funkcji</a:t>
          </a:r>
        </a:p>
      </dsp:txBody>
      <dsp:txXfrm>
        <a:off x="3396010" y="3807546"/>
        <a:ext cx="1871871" cy="1166358"/>
      </dsp:txXfrm>
    </dsp:sp>
    <dsp:sp modelId="{2B844CE6-60A3-4D1B-A90F-6ADCBC95D45E}">
      <dsp:nvSpPr>
        <dsp:cNvPr id="0" name=""/>
        <dsp:cNvSpPr/>
      </dsp:nvSpPr>
      <dsp:spPr>
        <a:xfrm>
          <a:off x="3331574" y="5313487"/>
          <a:ext cx="1636972" cy="37881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5DA891-895D-41A2-87A1-75782D2F3740}">
      <dsp:nvSpPr>
        <dsp:cNvPr id="0" name=""/>
        <dsp:cNvSpPr/>
      </dsp:nvSpPr>
      <dsp:spPr>
        <a:xfrm>
          <a:off x="3513460" y="5486278"/>
          <a:ext cx="1636972" cy="378816"/>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Oddział w Rosji</a:t>
          </a:r>
        </a:p>
      </dsp:txBody>
      <dsp:txXfrm>
        <a:off x="3524555" y="5497373"/>
        <a:ext cx="1614782" cy="356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217D3F-A5A0-4CA6-96D9-F9BAD31430DB}">
      <dsp:nvSpPr>
        <dsp:cNvPr id="0" name=""/>
        <dsp:cNvSpPr/>
      </dsp:nvSpPr>
      <dsp:spPr>
        <a:xfrm>
          <a:off x="3669743" y="1546255"/>
          <a:ext cx="1022337" cy="486539"/>
        </a:xfrm>
        <a:custGeom>
          <a:avLst/>
          <a:gdLst/>
          <a:ahLst/>
          <a:cxnLst/>
          <a:rect l="0" t="0" r="0" b="0"/>
          <a:pathLst>
            <a:path>
              <a:moveTo>
                <a:pt x="0" y="0"/>
              </a:moveTo>
              <a:lnTo>
                <a:pt x="0" y="331562"/>
              </a:lnTo>
              <a:lnTo>
                <a:pt x="1022337" y="331562"/>
              </a:lnTo>
              <a:lnTo>
                <a:pt x="1022337" y="48653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14BD2FD-19E8-4F3D-952A-739C06DCB6E0}">
      <dsp:nvSpPr>
        <dsp:cNvPr id="0" name=""/>
        <dsp:cNvSpPr/>
      </dsp:nvSpPr>
      <dsp:spPr>
        <a:xfrm>
          <a:off x="2647405" y="1546255"/>
          <a:ext cx="1022337" cy="486539"/>
        </a:xfrm>
        <a:custGeom>
          <a:avLst/>
          <a:gdLst/>
          <a:ahLst/>
          <a:cxnLst/>
          <a:rect l="0" t="0" r="0" b="0"/>
          <a:pathLst>
            <a:path>
              <a:moveTo>
                <a:pt x="1022337" y="0"/>
              </a:moveTo>
              <a:lnTo>
                <a:pt x="1022337" y="331562"/>
              </a:lnTo>
              <a:lnTo>
                <a:pt x="0" y="331562"/>
              </a:lnTo>
              <a:lnTo>
                <a:pt x="0" y="48653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4422F4-1523-4403-B729-B9172274383E}">
      <dsp:nvSpPr>
        <dsp:cNvPr id="0" name=""/>
        <dsp:cNvSpPr/>
      </dsp:nvSpPr>
      <dsp:spPr>
        <a:xfrm>
          <a:off x="44755" y="2783"/>
          <a:ext cx="1851366" cy="124137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B49D04-FE3B-4FED-852A-8162AEB0CC49}">
      <dsp:nvSpPr>
        <dsp:cNvPr id="0" name=""/>
        <dsp:cNvSpPr/>
      </dsp:nvSpPr>
      <dsp:spPr>
        <a:xfrm>
          <a:off x="230635" y="179369"/>
          <a:ext cx="1851366" cy="124137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Niezależni audytorzy</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Kontrola wydatków na poziomie projektu</a:t>
          </a:r>
        </a:p>
      </dsp:txBody>
      <dsp:txXfrm>
        <a:off x="266994" y="215728"/>
        <a:ext cx="1778648" cy="1168656"/>
      </dsp:txXfrm>
    </dsp:sp>
    <dsp:sp modelId="{7E884947-BBEC-4CA1-B550-23EE28D66F74}">
      <dsp:nvSpPr>
        <dsp:cNvPr id="0" name=""/>
        <dsp:cNvSpPr/>
      </dsp:nvSpPr>
      <dsp:spPr>
        <a:xfrm>
          <a:off x="2267881" y="2783"/>
          <a:ext cx="2803724" cy="154347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C60AF66-AF4B-4739-8416-F17EAF7E3A46}">
      <dsp:nvSpPr>
        <dsp:cNvPr id="0" name=""/>
        <dsp:cNvSpPr/>
      </dsp:nvSpPr>
      <dsp:spPr>
        <a:xfrm>
          <a:off x="2453760" y="179369"/>
          <a:ext cx="2803724" cy="1543471"/>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Instytucja Zarządzająca</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Ministerstwo Inwestycji i Rozwoju Rzeczpospolitej Polskiej, Departament Współpracy Terytorialnej</a:t>
          </a:r>
        </a:p>
        <a:p>
          <a:pPr lvl="0" algn="ctr" defTabSz="444500">
            <a:lnSpc>
              <a:spcPct val="90000"/>
            </a:lnSpc>
            <a:spcBef>
              <a:spcPct val="0"/>
            </a:spcBef>
            <a:spcAft>
              <a:spcPct val="35000"/>
            </a:spcAft>
          </a:pPr>
          <a:r>
            <a:rPr lang="pl-PL" sz="1000" kern="1200"/>
            <a:t>Ma własne zadania kontrolne i przeprowadza własną weryfikację</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Weryfikuje wydatki w ramach Pomocy Technicznej</a:t>
          </a:r>
        </a:p>
      </dsp:txBody>
      <dsp:txXfrm>
        <a:off x="2498967" y="224576"/>
        <a:ext cx="2713310" cy="1453057"/>
      </dsp:txXfrm>
    </dsp:sp>
    <dsp:sp modelId="{E931715A-0E9A-40EB-9CAA-8C99EDE4B521}">
      <dsp:nvSpPr>
        <dsp:cNvPr id="0" name=""/>
        <dsp:cNvSpPr/>
      </dsp:nvSpPr>
      <dsp:spPr>
        <a:xfrm>
          <a:off x="1810947" y="2032795"/>
          <a:ext cx="1672916" cy="144730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C6C08BC-1E96-4F5E-90EF-D8B8BA53CF13}">
      <dsp:nvSpPr>
        <dsp:cNvPr id="0" name=""/>
        <dsp:cNvSpPr/>
      </dsp:nvSpPr>
      <dsp:spPr>
        <a:xfrm>
          <a:off x="1996827" y="2209381"/>
          <a:ext cx="1672916" cy="1447301"/>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Kontrolne Punkty Kontaktowe</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PL - Centrum Projektów Europejskich,</a:t>
          </a:r>
        </a:p>
        <a:p>
          <a:pPr lvl="0" algn="ctr" defTabSz="444500">
            <a:lnSpc>
              <a:spcPct val="90000"/>
            </a:lnSpc>
            <a:spcBef>
              <a:spcPct val="0"/>
            </a:spcBef>
            <a:spcAft>
              <a:spcPct val="35000"/>
            </a:spcAft>
          </a:pPr>
          <a:r>
            <a:rPr lang="pl-PL" sz="1000" kern="1200"/>
            <a:t>RU - Ministerstwo Rozwoju Gospodarczego Federacji Rosyjskiej</a:t>
          </a:r>
        </a:p>
      </dsp:txBody>
      <dsp:txXfrm>
        <a:off x="2039217" y="2251771"/>
        <a:ext cx="1588136" cy="1362521"/>
      </dsp:txXfrm>
    </dsp:sp>
    <dsp:sp modelId="{CA2496B4-9795-439B-A047-DB65E85A3FFC}">
      <dsp:nvSpPr>
        <dsp:cNvPr id="0" name=""/>
        <dsp:cNvSpPr/>
      </dsp:nvSpPr>
      <dsp:spPr>
        <a:xfrm>
          <a:off x="3855623" y="2032795"/>
          <a:ext cx="1672916" cy="155757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81124FE-3307-4DD7-BAEA-A2B5478D6544}">
      <dsp:nvSpPr>
        <dsp:cNvPr id="0" name=""/>
        <dsp:cNvSpPr/>
      </dsp:nvSpPr>
      <dsp:spPr>
        <a:xfrm>
          <a:off x="4041502" y="2209381"/>
          <a:ext cx="1672916" cy="1557579"/>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Wspólny Sekretariat Techniczny</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Centrum Projektów Europejskich, Jednostka WST</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Wspiera IZ w realizacji właściwych funkcji na wniosek IZ</a:t>
          </a:r>
        </a:p>
      </dsp:txBody>
      <dsp:txXfrm>
        <a:off x="4087122" y="2255001"/>
        <a:ext cx="1581676" cy="14663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422F4-1523-4403-B729-B9172274383E}">
      <dsp:nvSpPr>
        <dsp:cNvPr id="0" name=""/>
        <dsp:cNvSpPr/>
      </dsp:nvSpPr>
      <dsp:spPr>
        <a:xfrm>
          <a:off x="1584" y="164448"/>
          <a:ext cx="2368946" cy="178225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B49D04-FE3B-4FED-852A-8162AEB0CC49}">
      <dsp:nvSpPr>
        <dsp:cNvPr id="0" name=""/>
        <dsp:cNvSpPr/>
      </dsp:nvSpPr>
      <dsp:spPr>
        <a:xfrm>
          <a:off x="303676" y="451436"/>
          <a:ext cx="2368946" cy="178225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Instytucja Audytowa</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Generalny Inspektor Kontroli Skarbowej w Ministerstwie Finansów Rzeczpospolitej Polskiej</a:t>
          </a:r>
        </a:p>
        <a:p>
          <a:pPr lvl="0" algn="ctr" defTabSz="444500">
            <a:lnSpc>
              <a:spcPct val="90000"/>
            </a:lnSpc>
            <a:spcBef>
              <a:spcPct val="0"/>
            </a:spcBef>
            <a:spcAft>
              <a:spcPct val="35000"/>
            </a:spcAft>
          </a:pPr>
          <a:r>
            <a:rPr lang="pl-PL" sz="1000" kern="1200"/>
            <a:t>Zapewnia realizację zadań audytowych, obowiązków Instytucji Audytowej przez wyznaczony departament w MF i urzędy kontroli skarbowej</a:t>
          </a:r>
        </a:p>
      </dsp:txBody>
      <dsp:txXfrm>
        <a:off x="355877" y="503637"/>
        <a:ext cx="2264544" cy="1677855"/>
      </dsp:txXfrm>
    </dsp:sp>
    <dsp:sp modelId="{7E884947-BBEC-4CA1-B550-23EE28D66F74}">
      <dsp:nvSpPr>
        <dsp:cNvPr id="0" name=""/>
        <dsp:cNvSpPr/>
      </dsp:nvSpPr>
      <dsp:spPr>
        <a:xfrm>
          <a:off x="2974715" y="164448"/>
          <a:ext cx="2471473" cy="178225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C60AF66-AF4B-4739-8416-F17EAF7E3A46}">
      <dsp:nvSpPr>
        <dsp:cNvPr id="0" name=""/>
        <dsp:cNvSpPr/>
      </dsp:nvSpPr>
      <dsp:spPr>
        <a:xfrm>
          <a:off x="3276807" y="451436"/>
          <a:ext cx="2471473" cy="178225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Grupa Audytorów</a:t>
          </a:r>
        </a:p>
        <a:p>
          <a:pPr lvl="0" algn="ctr" defTabSz="444500">
            <a:lnSpc>
              <a:spcPct val="90000"/>
            </a:lnSpc>
            <a:spcBef>
              <a:spcPct val="0"/>
            </a:spcBef>
            <a:spcAft>
              <a:spcPct val="35000"/>
            </a:spcAft>
          </a:pPr>
          <a:endParaRPr lang="pl-PL" sz="1000" kern="1200"/>
        </a:p>
        <a:p>
          <a:pPr lvl="0" algn="ctr" defTabSz="444500">
            <a:lnSpc>
              <a:spcPct val="90000"/>
            </a:lnSpc>
            <a:spcBef>
              <a:spcPct val="0"/>
            </a:spcBef>
            <a:spcAft>
              <a:spcPct val="35000"/>
            </a:spcAft>
          </a:pPr>
          <a:r>
            <a:rPr lang="pl-PL" sz="1000" kern="1200"/>
            <a:t>Przedstawiciel każdego kraju uczestniczącego</a:t>
          </a:r>
        </a:p>
        <a:p>
          <a:pPr lvl="0" algn="ctr" defTabSz="444500">
            <a:lnSpc>
              <a:spcPct val="90000"/>
            </a:lnSpc>
            <a:spcBef>
              <a:spcPct val="0"/>
            </a:spcBef>
            <a:spcAft>
              <a:spcPct val="35000"/>
            </a:spcAft>
          </a:pPr>
          <a:r>
            <a:rPr lang="pl-PL" sz="1000" kern="1200"/>
            <a:t>Wsparcie IA</a:t>
          </a:r>
        </a:p>
      </dsp:txBody>
      <dsp:txXfrm>
        <a:off x="3329008" y="503637"/>
        <a:ext cx="2367071" cy="16778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1F0F0-F76E-4972-A681-14059683427E}">
      <dsp:nvSpPr>
        <dsp:cNvPr id="0" name=""/>
        <dsp:cNvSpPr/>
      </dsp:nvSpPr>
      <dsp:spPr>
        <a:xfrm>
          <a:off x="4881565" y="2546910"/>
          <a:ext cx="91440" cy="298555"/>
        </a:xfrm>
        <a:custGeom>
          <a:avLst/>
          <a:gdLst/>
          <a:ahLst/>
          <a:cxnLst/>
          <a:rect l="0" t="0" r="0" b="0"/>
          <a:pathLst>
            <a:path>
              <a:moveTo>
                <a:pt x="45720" y="0"/>
              </a:moveTo>
              <a:lnTo>
                <a:pt x="45720" y="2985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DBC3D-E436-46B8-944B-D7F11F5DBC7A}">
      <dsp:nvSpPr>
        <dsp:cNvPr id="0" name=""/>
        <dsp:cNvSpPr/>
      </dsp:nvSpPr>
      <dsp:spPr>
        <a:xfrm>
          <a:off x="4881565" y="1604956"/>
          <a:ext cx="91440" cy="290093"/>
        </a:xfrm>
        <a:custGeom>
          <a:avLst/>
          <a:gdLst/>
          <a:ahLst/>
          <a:cxnLst/>
          <a:rect l="0" t="0" r="0" b="0"/>
          <a:pathLst>
            <a:path>
              <a:moveTo>
                <a:pt x="54178" y="0"/>
              </a:moveTo>
              <a:lnTo>
                <a:pt x="54178" y="194995"/>
              </a:lnTo>
              <a:lnTo>
                <a:pt x="45720" y="194995"/>
              </a:lnTo>
              <a:lnTo>
                <a:pt x="45720" y="2900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939B28-1775-4C4B-B877-C4E0CA078FD9}">
      <dsp:nvSpPr>
        <dsp:cNvPr id="0" name=""/>
        <dsp:cNvSpPr/>
      </dsp:nvSpPr>
      <dsp:spPr>
        <a:xfrm>
          <a:off x="3463702" y="372548"/>
          <a:ext cx="1472041" cy="307016"/>
        </a:xfrm>
        <a:custGeom>
          <a:avLst/>
          <a:gdLst/>
          <a:ahLst/>
          <a:cxnLst/>
          <a:rect l="0" t="0" r="0" b="0"/>
          <a:pathLst>
            <a:path>
              <a:moveTo>
                <a:pt x="0" y="0"/>
              </a:moveTo>
              <a:lnTo>
                <a:pt x="0" y="211917"/>
              </a:lnTo>
              <a:lnTo>
                <a:pt x="1472041" y="211917"/>
              </a:lnTo>
              <a:lnTo>
                <a:pt x="1472041" y="30701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CEBD0-FA35-448F-8D2B-2F63A1079333}">
      <dsp:nvSpPr>
        <dsp:cNvPr id="0" name=""/>
        <dsp:cNvSpPr/>
      </dsp:nvSpPr>
      <dsp:spPr>
        <a:xfrm>
          <a:off x="1992513" y="1796633"/>
          <a:ext cx="1471253" cy="298555"/>
        </a:xfrm>
        <a:custGeom>
          <a:avLst/>
          <a:gdLst/>
          <a:ahLst/>
          <a:cxnLst/>
          <a:rect l="0" t="0" r="0" b="0"/>
          <a:pathLst>
            <a:path>
              <a:moveTo>
                <a:pt x="0" y="0"/>
              </a:moveTo>
              <a:lnTo>
                <a:pt x="0" y="203456"/>
              </a:lnTo>
              <a:lnTo>
                <a:pt x="1471253" y="203456"/>
              </a:lnTo>
              <a:lnTo>
                <a:pt x="1471253" y="2985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3C7C68-C822-423E-95D1-1AF3DB9EF73C}">
      <dsp:nvSpPr>
        <dsp:cNvPr id="0" name=""/>
        <dsp:cNvSpPr/>
      </dsp:nvSpPr>
      <dsp:spPr>
        <a:xfrm>
          <a:off x="2106785" y="2724708"/>
          <a:ext cx="91440" cy="298555"/>
        </a:xfrm>
        <a:custGeom>
          <a:avLst/>
          <a:gdLst/>
          <a:ahLst/>
          <a:cxnLst/>
          <a:rect l="0" t="0" r="0" b="0"/>
          <a:pathLst>
            <a:path>
              <a:moveTo>
                <a:pt x="45720" y="0"/>
              </a:moveTo>
              <a:lnTo>
                <a:pt x="45720" y="3462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A232B9-5D9B-4CA5-A5B8-39E16BA592B3}">
      <dsp:nvSpPr>
        <dsp:cNvPr id="0" name=""/>
        <dsp:cNvSpPr/>
      </dsp:nvSpPr>
      <dsp:spPr>
        <a:xfrm>
          <a:off x="1992513" y="1796633"/>
          <a:ext cx="159992" cy="298555"/>
        </a:xfrm>
        <a:custGeom>
          <a:avLst/>
          <a:gdLst/>
          <a:ahLst/>
          <a:cxnLst/>
          <a:rect l="0" t="0" r="0" b="0"/>
          <a:pathLst>
            <a:path>
              <a:moveTo>
                <a:pt x="0" y="0"/>
              </a:moveTo>
              <a:lnTo>
                <a:pt x="0" y="235937"/>
              </a:lnTo>
              <a:lnTo>
                <a:pt x="1091230" y="235937"/>
              </a:lnTo>
              <a:lnTo>
                <a:pt x="1091230" y="3462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BBD4ED-1BE8-4823-A951-D85FAE3E7799}">
      <dsp:nvSpPr>
        <dsp:cNvPr id="0" name=""/>
        <dsp:cNvSpPr/>
      </dsp:nvSpPr>
      <dsp:spPr>
        <a:xfrm>
          <a:off x="635531" y="2640729"/>
          <a:ext cx="91440" cy="298555"/>
        </a:xfrm>
        <a:custGeom>
          <a:avLst/>
          <a:gdLst/>
          <a:ahLst/>
          <a:cxnLst/>
          <a:rect l="0" t="0" r="0" b="0"/>
          <a:pathLst>
            <a:path>
              <a:moveTo>
                <a:pt x="0" y="0"/>
              </a:moveTo>
              <a:lnTo>
                <a:pt x="0" y="235937"/>
              </a:lnTo>
              <a:lnTo>
                <a:pt x="727486" y="235937"/>
              </a:lnTo>
              <a:lnTo>
                <a:pt x="727486" y="3462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B033E0-BA23-480F-AD2C-DBBB0F0934A5}">
      <dsp:nvSpPr>
        <dsp:cNvPr id="0" name=""/>
        <dsp:cNvSpPr/>
      </dsp:nvSpPr>
      <dsp:spPr>
        <a:xfrm>
          <a:off x="681251" y="1796633"/>
          <a:ext cx="1311261" cy="298555"/>
        </a:xfrm>
        <a:custGeom>
          <a:avLst/>
          <a:gdLst/>
          <a:ahLst/>
          <a:cxnLst/>
          <a:rect l="0" t="0" r="0" b="0"/>
          <a:pathLst>
            <a:path>
              <a:moveTo>
                <a:pt x="1091230" y="0"/>
              </a:moveTo>
              <a:lnTo>
                <a:pt x="1091230" y="235937"/>
              </a:lnTo>
              <a:lnTo>
                <a:pt x="0" y="235937"/>
              </a:lnTo>
              <a:lnTo>
                <a:pt x="0" y="3462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AE6D09-1CFB-42D5-A6AC-62085CEAD88F}">
      <dsp:nvSpPr>
        <dsp:cNvPr id="0" name=""/>
        <dsp:cNvSpPr/>
      </dsp:nvSpPr>
      <dsp:spPr>
        <a:xfrm>
          <a:off x="1946793" y="954290"/>
          <a:ext cx="91440" cy="298555"/>
        </a:xfrm>
        <a:custGeom>
          <a:avLst/>
          <a:gdLst/>
          <a:ahLst/>
          <a:cxnLst/>
          <a:rect l="0" t="0" r="0" b="0"/>
          <a:pathLst>
            <a:path>
              <a:moveTo>
                <a:pt x="45720" y="0"/>
              </a:moveTo>
              <a:lnTo>
                <a:pt x="45720" y="3462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765DC-A672-44BB-AC0A-C037183ADB32}">
      <dsp:nvSpPr>
        <dsp:cNvPr id="0" name=""/>
        <dsp:cNvSpPr/>
      </dsp:nvSpPr>
      <dsp:spPr>
        <a:xfrm>
          <a:off x="1992513" y="372548"/>
          <a:ext cx="1471189" cy="298555"/>
        </a:xfrm>
        <a:custGeom>
          <a:avLst/>
          <a:gdLst/>
          <a:ahLst/>
          <a:cxnLst/>
          <a:rect l="0" t="0" r="0" b="0"/>
          <a:pathLst>
            <a:path>
              <a:moveTo>
                <a:pt x="1082441" y="0"/>
              </a:moveTo>
              <a:lnTo>
                <a:pt x="1082441" y="235937"/>
              </a:lnTo>
              <a:lnTo>
                <a:pt x="0" y="235937"/>
              </a:lnTo>
              <a:lnTo>
                <a:pt x="0" y="3462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422F4-1523-4403-B729-B9172274383E}">
      <dsp:nvSpPr>
        <dsp:cNvPr id="0" name=""/>
        <dsp:cNvSpPr/>
      </dsp:nvSpPr>
      <dsp:spPr>
        <a:xfrm>
          <a:off x="1938043" y="93715"/>
          <a:ext cx="3051317" cy="27883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B49D04-FE3B-4FED-852A-8162AEB0CC49}">
      <dsp:nvSpPr>
        <dsp:cNvPr id="0" name=""/>
        <dsp:cNvSpPr/>
      </dsp:nvSpPr>
      <dsp:spPr>
        <a:xfrm>
          <a:off x="2052105" y="202073"/>
          <a:ext cx="3051317" cy="278832"/>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latin typeface="Calibri"/>
              <a:ea typeface="+mn-ea"/>
              <a:cs typeface="+mn-cs"/>
            </a:rPr>
            <a:t>Minister Inwestycji i Rozwoju</a:t>
          </a:r>
        </a:p>
      </dsp:txBody>
      <dsp:txXfrm>
        <a:off x="2060272" y="210240"/>
        <a:ext cx="3034983" cy="262498"/>
      </dsp:txXfrm>
    </dsp:sp>
    <dsp:sp modelId="{D1206613-9642-446D-9CBC-07FA69EA56C3}">
      <dsp:nvSpPr>
        <dsp:cNvPr id="0" name=""/>
        <dsp:cNvSpPr/>
      </dsp:nvSpPr>
      <dsp:spPr>
        <a:xfrm>
          <a:off x="1479237" y="671103"/>
          <a:ext cx="1026550" cy="28318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20A79BF-9A7C-4589-869D-BEA698CA5503}">
      <dsp:nvSpPr>
        <dsp:cNvPr id="0" name=""/>
        <dsp:cNvSpPr/>
      </dsp:nvSpPr>
      <dsp:spPr>
        <a:xfrm>
          <a:off x="1593299" y="779461"/>
          <a:ext cx="1026550" cy="28318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latin typeface="Calibri"/>
              <a:ea typeface="+mn-ea"/>
              <a:cs typeface="+mn-cs"/>
            </a:rPr>
            <a:t>Podsekretarz Stanu</a:t>
          </a:r>
        </a:p>
      </dsp:txBody>
      <dsp:txXfrm>
        <a:off x="1601593" y="787755"/>
        <a:ext cx="1009962" cy="266599"/>
      </dsp:txXfrm>
    </dsp:sp>
    <dsp:sp modelId="{A887967D-7493-4D67-86EF-C7E356E75D96}">
      <dsp:nvSpPr>
        <dsp:cNvPr id="0" name=""/>
        <dsp:cNvSpPr/>
      </dsp:nvSpPr>
      <dsp:spPr>
        <a:xfrm>
          <a:off x="1252262" y="1252845"/>
          <a:ext cx="1480500" cy="54378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860EC7A-EBCA-4A64-950B-444F4C2670CF}">
      <dsp:nvSpPr>
        <dsp:cNvPr id="0" name=""/>
        <dsp:cNvSpPr/>
      </dsp:nvSpPr>
      <dsp:spPr>
        <a:xfrm>
          <a:off x="1366323" y="1361203"/>
          <a:ext cx="1480500" cy="54378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Dyrektor</a:t>
          </a:r>
          <a:r>
            <a:rPr lang="pl-PL" sz="1000" kern="1200"/>
            <a:t> Departamentu Współpracy Terytorialnej Ministerstwa Inwestycji i  Rozwoju</a:t>
          </a:r>
          <a:endParaRPr lang="pl-PL" sz="1000" kern="1200">
            <a:latin typeface="Calibri"/>
            <a:ea typeface="+mn-ea"/>
            <a:cs typeface="+mn-cs"/>
          </a:endParaRPr>
        </a:p>
      </dsp:txBody>
      <dsp:txXfrm>
        <a:off x="1382250" y="1377130"/>
        <a:ext cx="1448646" cy="511933"/>
      </dsp:txXfrm>
    </dsp:sp>
    <dsp:sp modelId="{662A104A-8EB3-4139-8E37-BE709991E1B6}">
      <dsp:nvSpPr>
        <dsp:cNvPr id="0" name=""/>
        <dsp:cNvSpPr/>
      </dsp:nvSpPr>
      <dsp:spPr>
        <a:xfrm>
          <a:off x="4262" y="2095188"/>
          <a:ext cx="1353978" cy="54554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2467EE5-E849-4D0A-B92C-7B0433113A50}">
      <dsp:nvSpPr>
        <dsp:cNvPr id="0" name=""/>
        <dsp:cNvSpPr/>
      </dsp:nvSpPr>
      <dsp:spPr>
        <a:xfrm>
          <a:off x="118323" y="2203546"/>
          <a:ext cx="1353978" cy="545541"/>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Zastępca Dyrektora I </a:t>
          </a:r>
          <a:r>
            <a:rPr lang="pl-PL" sz="1000" kern="1200"/>
            <a:t>(funkcje operacyjne i kontrolne)</a:t>
          </a:r>
          <a:endParaRPr lang="pl-PL" sz="1000" kern="1200">
            <a:latin typeface="Calibri"/>
            <a:ea typeface="+mn-ea"/>
            <a:cs typeface="+mn-cs"/>
          </a:endParaRPr>
        </a:p>
      </dsp:txBody>
      <dsp:txXfrm>
        <a:off x="134301" y="2219524"/>
        <a:ext cx="1322022" cy="513585"/>
      </dsp:txXfrm>
    </dsp:sp>
    <dsp:sp modelId="{98230C6B-2BBA-4B31-BE9C-16504951EEAE}">
      <dsp:nvSpPr>
        <dsp:cNvPr id="0" name=""/>
        <dsp:cNvSpPr/>
      </dsp:nvSpPr>
      <dsp:spPr>
        <a:xfrm>
          <a:off x="972" y="2939284"/>
          <a:ext cx="1360558" cy="102223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DD5AA0A-9F71-4155-8B3F-54AD5DC581BA}">
      <dsp:nvSpPr>
        <dsp:cNvPr id="0" name=""/>
        <dsp:cNvSpPr/>
      </dsp:nvSpPr>
      <dsp:spPr>
        <a:xfrm>
          <a:off x="115033" y="3047642"/>
          <a:ext cx="1360558" cy="1022232"/>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Naczelnik Wydziału Systemów Zarządzania i Kontroli</a:t>
          </a:r>
          <a:endParaRPr lang="pl-PL" sz="1000" kern="1200"/>
        </a:p>
        <a:p>
          <a:pPr lvl="0" algn="ctr" defTabSz="444500">
            <a:lnSpc>
              <a:spcPct val="90000"/>
            </a:lnSpc>
            <a:spcBef>
              <a:spcPct val="0"/>
            </a:spcBef>
            <a:spcAft>
              <a:spcPct val="35000"/>
            </a:spcAft>
          </a:pPr>
          <a:r>
            <a:rPr lang="en-US" sz="1000" kern="1200"/>
            <a:t>(</a:t>
          </a:r>
          <a:r>
            <a:rPr lang="pl-PL" sz="1000" kern="1200"/>
            <a:t>jednostka kontrolna i Instytucji Krajowej</a:t>
          </a:r>
          <a:r>
            <a:rPr lang="en-US" sz="1000" kern="1200"/>
            <a:t>)</a:t>
          </a:r>
          <a:endParaRPr lang="pl-PL" sz="1000" kern="1200">
            <a:latin typeface="Calibri"/>
            <a:ea typeface="+mn-ea"/>
            <a:cs typeface="+mn-cs"/>
          </a:endParaRPr>
        </a:p>
      </dsp:txBody>
      <dsp:txXfrm>
        <a:off x="144973" y="3077582"/>
        <a:ext cx="1300678" cy="962352"/>
      </dsp:txXfrm>
    </dsp:sp>
    <dsp:sp modelId="{1631AF6B-13E4-46A2-81CC-F84FB1C49B92}">
      <dsp:nvSpPr>
        <dsp:cNvPr id="0" name=""/>
        <dsp:cNvSpPr/>
      </dsp:nvSpPr>
      <dsp:spPr>
        <a:xfrm>
          <a:off x="1586363" y="2095188"/>
          <a:ext cx="1132284" cy="62952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C7596E-D285-4F55-AB8E-1679809F5935}">
      <dsp:nvSpPr>
        <dsp:cNvPr id="0" name=""/>
        <dsp:cNvSpPr/>
      </dsp:nvSpPr>
      <dsp:spPr>
        <a:xfrm>
          <a:off x="1700424" y="2203546"/>
          <a:ext cx="1132284" cy="62952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Zastępca Dyrektora II </a:t>
          </a:r>
          <a:r>
            <a:rPr lang="pl-PL" sz="1000" kern="1200"/>
            <a:t>(funkcje finansowe)</a:t>
          </a:r>
          <a:endParaRPr lang="pl-PL" sz="1000" kern="1200">
            <a:latin typeface="Calibri"/>
            <a:ea typeface="+mn-ea"/>
            <a:cs typeface="+mn-cs"/>
          </a:endParaRPr>
        </a:p>
      </dsp:txBody>
      <dsp:txXfrm>
        <a:off x="1718862" y="2221984"/>
        <a:ext cx="1095408" cy="592644"/>
      </dsp:txXfrm>
    </dsp:sp>
    <dsp:sp modelId="{5F3674DD-9E0E-4525-B257-DEC25915E5B4}">
      <dsp:nvSpPr>
        <dsp:cNvPr id="0" name=""/>
        <dsp:cNvSpPr/>
      </dsp:nvSpPr>
      <dsp:spPr>
        <a:xfrm>
          <a:off x="1639230" y="3023263"/>
          <a:ext cx="1026550" cy="97426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69AF7D3-2F33-4169-B263-32BB7429106A}">
      <dsp:nvSpPr>
        <dsp:cNvPr id="0" name=""/>
        <dsp:cNvSpPr/>
      </dsp:nvSpPr>
      <dsp:spPr>
        <a:xfrm>
          <a:off x="1753292" y="3131621"/>
          <a:ext cx="1026550" cy="974262"/>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Naczelnik Wydziału Zarządzania Finansowego </a:t>
          </a:r>
          <a:r>
            <a:rPr lang="en-US" sz="1000" kern="1200"/>
            <a:t>(</a:t>
          </a:r>
          <a:r>
            <a:rPr lang="pl-PL" sz="1000" kern="1200"/>
            <a:t>jednostka finansowa</a:t>
          </a:r>
          <a:r>
            <a:rPr lang="en-US" sz="1000" kern="1200"/>
            <a:t>)</a:t>
          </a:r>
          <a:endParaRPr lang="pl-PL" sz="1000" b="1" kern="1200">
            <a:latin typeface="Calibri"/>
            <a:ea typeface="+mn-ea"/>
            <a:cs typeface="+mn-cs"/>
          </a:endParaRPr>
        </a:p>
      </dsp:txBody>
      <dsp:txXfrm>
        <a:off x="1781827" y="3160156"/>
        <a:ext cx="969480" cy="917192"/>
      </dsp:txXfrm>
    </dsp:sp>
    <dsp:sp modelId="{752CAAE6-637F-4B73-B34B-40871F0E1313}">
      <dsp:nvSpPr>
        <dsp:cNvPr id="0" name=""/>
        <dsp:cNvSpPr/>
      </dsp:nvSpPr>
      <dsp:spPr>
        <a:xfrm>
          <a:off x="2946770" y="2095188"/>
          <a:ext cx="1033992" cy="82043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236CE3B-0CA1-4000-9C68-612E41A61FF1}">
      <dsp:nvSpPr>
        <dsp:cNvPr id="0" name=""/>
        <dsp:cNvSpPr/>
      </dsp:nvSpPr>
      <dsp:spPr>
        <a:xfrm>
          <a:off x="3060831" y="2203546"/>
          <a:ext cx="1033992" cy="82043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Naczelnik Wydziału Zarządzania Finansowego </a:t>
          </a:r>
          <a:r>
            <a:rPr lang="en-US" sz="1000" kern="1200"/>
            <a:t>(</a:t>
          </a:r>
          <a:r>
            <a:rPr lang="pl-PL" sz="1000" kern="1200"/>
            <a:t>jednostka finansowa</a:t>
          </a:r>
          <a:r>
            <a:rPr lang="en-US" sz="1000" kern="1200"/>
            <a:t>)</a:t>
          </a:r>
          <a:endParaRPr lang="pl-PL" sz="1000" b="0" kern="1200">
            <a:latin typeface="Calibri"/>
            <a:ea typeface="+mn-ea"/>
            <a:cs typeface="+mn-cs"/>
          </a:endParaRPr>
        </a:p>
      </dsp:txBody>
      <dsp:txXfrm>
        <a:off x="3084861" y="2227576"/>
        <a:ext cx="985932" cy="772370"/>
      </dsp:txXfrm>
    </dsp:sp>
    <dsp:sp modelId="{ACF2202A-DA10-46C4-B2ED-05B8A792E536}">
      <dsp:nvSpPr>
        <dsp:cNvPr id="0" name=""/>
        <dsp:cNvSpPr/>
      </dsp:nvSpPr>
      <dsp:spPr>
        <a:xfrm>
          <a:off x="4414862" y="679564"/>
          <a:ext cx="1041763" cy="92539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A0DBC30-037A-44F4-B699-9C12AC0CE6A5}">
      <dsp:nvSpPr>
        <dsp:cNvPr id="0" name=""/>
        <dsp:cNvSpPr/>
      </dsp:nvSpPr>
      <dsp:spPr>
        <a:xfrm>
          <a:off x="4528924" y="787922"/>
          <a:ext cx="1041763" cy="925392"/>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Dyrektor</a:t>
          </a:r>
          <a:r>
            <a:rPr lang="pl-PL" sz="1000" kern="1200"/>
            <a:t> Deparatementu Budżetu Rozwoju Ministerstwa Inwestycji i Rozwoju </a:t>
          </a:r>
          <a:r>
            <a:rPr lang="pl-PL" sz="1000" kern="1200">
              <a:solidFill>
                <a:sysClr val="windowText" lastClr="000000">
                  <a:hueOff val="0"/>
                  <a:satOff val="0"/>
                  <a:lumOff val="0"/>
                  <a:alphaOff val="0"/>
                </a:sysClr>
              </a:solidFill>
              <a:latin typeface="Calibri"/>
              <a:ea typeface="+mn-ea"/>
              <a:cs typeface="+mn-cs"/>
            </a:rPr>
            <a:t> </a:t>
          </a:r>
          <a:r>
            <a:rPr lang="pl-PL" sz="1000" kern="1200">
              <a:latin typeface="Calibri"/>
              <a:ea typeface="+mn-ea"/>
              <a:cs typeface="+mn-cs"/>
            </a:rPr>
            <a:t> </a:t>
          </a:r>
          <a:endParaRPr lang="pl-PL" sz="1000" b="1" kern="1200">
            <a:latin typeface="Calibri"/>
            <a:ea typeface="+mn-ea"/>
            <a:cs typeface="+mn-cs"/>
          </a:endParaRPr>
        </a:p>
      </dsp:txBody>
      <dsp:txXfrm>
        <a:off x="4556028" y="815026"/>
        <a:ext cx="987555" cy="871184"/>
      </dsp:txXfrm>
    </dsp:sp>
    <dsp:sp modelId="{A0B4DBC0-DB2F-4A82-8C12-2A4BFCF923F7}">
      <dsp:nvSpPr>
        <dsp:cNvPr id="0" name=""/>
        <dsp:cNvSpPr/>
      </dsp:nvSpPr>
      <dsp:spPr>
        <a:xfrm>
          <a:off x="4363063" y="1895050"/>
          <a:ext cx="1128445" cy="65185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2786B1D-2042-4D87-90DC-5AF94A3D2D26}">
      <dsp:nvSpPr>
        <dsp:cNvPr id="0" name=""/>
        <dsp:cNvSpPr/>
      </dsp:nvSpPr>
      <dsp:spPr>
        <a:xfrm>
          <a:off x="4477124" y="2003408"/>
          <a:ext cx="1128445" cy="651859"/>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alibri"/>
              <a:ea typeface="+mn-ea"/>
              <a:cs typeface="+mn-cs"/>
            </a:rPr>
            <a:t>Zastępca Dyrektora I</a:t>
          </a:r>
          <a:endParaRPr lang="pl-PL" sz="800" kern="1200"/>
        </a:p>
      </dsp:txBody>
      <dsp:txXfrm>
        <a:off x="4496216" y="2022500"/>
        <a:ext cx="1090261" cy="613675"/>
      </dsp:txXfrm>
    </dsp:sp>
    <dsp:sp modelId="{DFBDC156-0857-4553-BDE0-B8DEB892FF1C}">
      <dsp:nvSpPr>
        <dsp:cNvPr id="0" name=""/>
        <dsp:cNvSpPr/>
      </dsp:nvSpPr>
      <dsp:spPr>
        <a:xfrm>
          <a:off x="4208885" y="2845465"/>
          <a:ext cx="1436800" cy="65185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CA84A50-7D70-4336-839F-C419859F469A}">
      <dsp:nvSpPr>
        <dsp:cNvPr id="0" name=""/>
        <dsp:cNvSpPr/>
      </dsp:nvSpPr>
      <dsp:spPr>
        <a:xfrm>
          <a:off x="4322946" y="2953823"/>
          <a:ext cx="1436800" cy="651859"/>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t>Naczelnik Wydziału Finansowania Programów Współpracy Terytorialnej</a:t>
          </a:r>
        </a:p>
        <a:p>
          <a:pPr lvl="0" algn="ctr" defTabSz="355600">
            <a:lnSpc>
              <a:spcPct val="90000"/>
            </a:lnSpc>
            <a:spcBef>
              <a:spcPct val="0"/>
            </a:spcBef>
            <a:spcAft>
              <a:spcPct val="35000"/>
            </a:spcAft>
          </a:pPr>
          <a:r>
            <a:rPr lang="en-US" sz="800" kern="1200"/>
            <a:t>(</a:t>
          </a:r>
          <a:r>
            <a:rPr lang="pl-PL" sz="800" kern="1200"/>
            <a:t>jednostka płatnicza)</a:t>
          </a:r>
        </a:p>
      </dsp:txBody>
      <dsp:txXfrm>
        <a:off x="4342038" y="2972915"/>
        <a:ext cx="1398616" cy="6136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4FDB7E-377A-4437-A2C0-D2B3CC74B298}">
      <dsp:nvSpPr>
        <dsp:cNvPr id="0" name=""/>
        <dsp:cNvSpPr/>
      </dsp:nvSpPr>
      <dsp:spPr>
        <a:xfrm>
          <a:off x="4857047" y="1853000"/>
          <a:ext cx="91440" cy="338782"/>
        </a:xfrm>
        <a:custGeom>
          <a:avLst/>
          <a:gdLst/>
          <a:ahLst/>
          <a:cxnLst/>
          <a:rect l="0" t="0" r="0" b="0"/>
          <a:pathLst>
            <a:path>
              <a:moveTo>
                <a:pt x="45720" y="0"/>
              </a:moveTo>
              <a:lnTo>
                <a:pt x="45720" y="3387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9BAFFA-F85F-4862-BEAA-D192FF2DADF2}">
      <dsp:nvSpPr>
        <dsp:cNvPr id="0" name=""/>
        <dsp:cNvSpPr/>
      </dsp:nvSpPr>
      <dsp:spPr>
        <a:xfrm>
          <a:off x="3249323" y="1057502"/>
          <a:ext cx="1653444" cy="366062"/>
        </a:xfrm>
        <a:custGeom>
          <a:avLst/>
          <a:gdLst/>
          <a:ahLst/>
          <a:cxnLst/>
          <a:rect l="0" t="0" r="0" b="0"/>
          <a:pathLst>
            <a:path>
              <a:moveTo>
                <a:pt x="0" y="0"/>
              </a:moveTo>
              <a:lnTo>
                <a:pt x="0" y="258150"/>
              </a:lnTo>
              <a:lnTo>
                <a:pt x="1653444" y="258150"/>
              </a:lnTo>
              <a:lnTo>
                <a:pt x="1653444" y="36606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F9E32A-6B0E-430E-87D8-FD917C4B1BE2}">
      <dsp:nvSpPr>
        <dsp:cNvPr id="0" name=""/>
        <dsp:cNvSpPr/>
      </dsp:nvSpPr>
      <dsp:spPr>
        <a:xfrm>
          <a:off x="3006021" y="1827895"/>
          <a:ext cx="91440" cy="338782"/>
        </a:xfrm>
        <a:custGeom>
          <a:avLst/>
          <a:gdLst/>
          <a:ahLst/>
          <a:cxnLst/>
          <a:rect l="0" t="0" r="0" b="0"/>
          <a:pathLst>
            <a:path>
              <a:moveTo>
                <a:pt x="45720" y="0"/>
              </a:moveTo>
              <a:lnTo>
                <a:pt x="45720" y="3387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E0678-2BD1-4201-ABDB-55509BB43074}">
      <dsp:nvSpPr>
        <dsp:cNvPr id="0" name=""/>
        <dsp:cNvSpPr/>
      </dsp:nvSpPr>
      <dsp:spPr>
        <a:xfrm>
          <a:off x="3051741" y="1057502"/>
          <a:ext cx="197582" cy="366062"/>
        </a:xfrm>
        <a:custGeom>
          <a:avLst/>
          <a:gdLst/>
          <a:ahLst/>
          <a:cxnLst/>
          <a:rect l="0" t="0" r="0" b="0"/>
          <a:pathLst>
            <a:path>
              <a:moveTo>
                <a:pt x="197582" y="0"/>
              </a:moveTo>
              <a:lnTo>
                <a:pt x="197582" y="258150"/>
              </a:lnTo>
              <a:lnTo>
                <a:pt x="0" y="258150"/>
              </a:lnTo>
              <a:lnTo>
                <a:pt x="0" y="36606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AE6D09-1CFB-42D5-A6AC-62085CEAD88F}">
      <dsp:nvSpPr>
        <dsp:cNvPr id="0" name=""/>
        <dsp:cNvSpPr/>
      </dsp:nvSpPr>
      <dsp:spPr>
        <a:xfrm>
          <a:off x="919761" y="1867971"/>
          <a:ext cx="91440" cy="338782"/>
        </a:xfrm>
        <a:custGeom>
          <a:avLst/>
          <a:gdLst/>
          <a:ahLst/>
          <a:cxnLst/>
          <a:rect l="0" t="0" r="0" b="0"/>
          <a:pathLst>
            <a:path>
              <a:moveTo>
                <a:pt x="45720" y="0"/>
              </a:moveTo>
              <a:lnTo>
                <a:pt x="45720" y="3387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765DC-A672-44BB-AC0A-C037183ADB32}">
      <dsp:nvSpPr>
        <dsp:cNvPr id="0" name=""/>
        <dsp:cNvSpPr/>
      </dsp:nvSpPr>
      <dsp:spPr>
        <a:xfrm>
          <a:off x="965481" y="1057502"/>
          <a:ext cx="2283842" cy="366062"/>
        </a:xfrm>
        <a:custGeom>
          <a:avLst/>
          <a:gdLst/>
          <a:ahLst/>
          <a:cxnLst/>
          <a:rect l="0" t="0" r="0" b="0"/>
          <a:pathLst>
            <a:path>
              <a:moveTo>
                <a:pt x="2283842" y="0"/>
              </a:moveTo>
              <a:lnTo>
                <a:pt x="2283842" y="258150"/>
              </a:lnTo>
              <a:lnTo>
                <a:pt x="0" y="258150"/>
              </a:lnTo>
              <a:lnTo>
                <a:pt x="0" y="36606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422F4-1523-4403-B729-B9172274383E}">
      <dsp:nvSpPr>
        <dsp:cNvPr id="0" name=""/>
        <dsp:cNvSpPr/>
      </dsp:nvSpPr>
      <dsp:spPr>
        <a:xfrm>
          <a:off x="1203347" y="552226"/>
          <a:ext cx="4091952" cy="50527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B49D04-FE3B-4FED-852A-8162AEB0CC49}">
      <dsp:nvSpPr>
        <dsp:cNvPr id="0" name=""/>
        <dsp:cNvSpPr/>
      </dsp:nvSpPr>
      <dsp:spPr>
        <a:xfrm>
          <a:off x="1332777" y="675184"/>
          <a:ext cx="4091952" cy="505276"/>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Minister Inwestycji i Rozwoju</a:t>
          </a:r>
        </a:p>
      </dsp:txBody>
      <dsp:txXfrm>
        <a:off x="1347576" y="689983"/>
        <a:ext cx="4062354" cy="475678"/>
      </dsp:txXfrm>
    </dsp:sp>
    <dsp:sp modelId="{D1206613-9642-446D-9CBC-07FA69EA56C3}">
      <dsp:nvSpPr>
        <dsp:cNvPr id="0" name=""/>
        <dsp:cNvSpPr/>
      </dsp:nvSpPr>
      <dsp:spPr>
        <a:xfrm>
          <a:off x="322444" y="1423564"/>
          <a:ext cx="1286073" cy="44440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20A79BF-9A7C-4589-869D-BEA698CA5503}">
      <dsp:nvSpPr>
        <dsp:cNvPr id="0" name=""/>
        <dsp:cNvSpPr/>
      </dsp:nvSpPr>
      <dsp:spPr>
        <a:xfrm>
          <a:off x="451874" y="1546523"/>
          <a:ext cx="1286073" cy="444406"/>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Podsekretarz Stanu</a:t>
          </a:r>
        </a:p>
      </dsp:txBody>
      <dsp:txXfrm>
        <a:off x="464890" y="1559539"/>
        <a:ext cx="1260041" cy="418374"/>
      </dsp:txXfrm>
    </dsp:sp>
    <dsp:sp modelId="{A887967D-7493-4D67-86EF-C7E356E75D96}">
      <dsp:nvSpPr>
        <dsp:cNvPr id="0" name=""/>
        <dsp:cNvSpPr/>
      </dsp:nvSpPr>
      <dsp:spPr>
        <a:xfrm>
          <a:off x="270" y="2206754"/>
          <a:ext cx="1930421" cy="92090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860EC7A-EBCA-4A64-950B-444F4C2670CF}">
      <dsp:nvSpPr>
        <dsp:cNvPr id="0" name=""/>
        <dsp:cNvSpPr/>
      </dsp:nvSpPr>
      <dsp:spPr>
        <a:xfrm>
          <a:off x="129700" y="2329713"/>
          <a:ext cx="1930421" cy="920909"/>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Dyrektor Departamentu Współpracy Terytorialnej </a:t>
          </a:r>
          <a:r>
            <a:rPr lang="pl-PL" sz="1000" kern="1200"/>
            <a:t>Funkcje IZ i IK</a:t>
          </a:r>
          <a:endParaRPr lang="pl-PL" sz="1000" b="0" kern="1200"/>
        </a:p>
      </dsp:txBody>
      <dsp:txXfrm>
        <a:off x="156673" y="2356686"/>
        <a:ext cx="1876475" cy="866963"/>
      </dsp:txXfrm>
    </dsp:sp>
    <dsp:sp modelId="{AE877B9B-C371-4712-A326-3AD2567BD384}">
      <dsp:nvSpPr>
        <dsp:cNvPr id="0" name=""/>
        <dsp:cNvSpPr/>
      </dsp:nvSpPr>
      <dsp:spPr>
        <a:xfrm>
          <a:off x="2428239" y="1423564"/>
          <a:ext cx="1247004" cy="40433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0C08896-2D31-4DFB-9A82-03E250E73112}">
      <dsp:nvSpPr>
        <dsp:cNvPr id="0" name=""/>
        <dsp:cNvSpPr/>
      </dsp:nvSpPr>
      <dsp:spPr>
        <a:xfrm>
          <a:off x="2557669" y="1546523"/>
          <a:ext cx="1247004" cy="404330"/>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Sekretarz Stanu</a:t>
          </a:r>
        </a:p>
      </dsp:txBody>
      <dsp:txXfrm>
        <a:off x="2569511" y="1558365"/>
        <a:ext cx="1223320" cy="380646"/>
      </dsp:txXfrm>
    </dsp:sp>
    <dsp:sp modelId="{6F267D77-0B58-4FED-9F56-2182F433CE1D}">
      <dsp:nvSpPr>
        <dsp:cNvPr id="0" name=""/>
        <dsp:cNvSpPr/>
      </dsp:nvSpPr>
      <dsp:spPr>
        <a:xfrm>
          <a:off x="2189551" y="2166678"/>
          <a:ext cx="1724379" cy="92465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130624-2D82-4804-94C7-CC68FD8AAE15}">
      <dsp:nvSpPr>
        <dsp:cNvPr id="0" name=""/>
        <dsp:cNvSpPr/>
      </dsp:nvSpPr>
      <dsp:spPr>
        <a:xfrm>
          <a:off x="2318981" y="2289636"/>
          <a:ext cx="1724379" cy="924659"/>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Dyrektor Deparatementu Budżetu Rozwoju </a:t>
          </a:r>
          <a:endParaRPr lang="pl-PL" sz="1000" kern="1200"/>
        </a:p>
        <a:p>
          <a:pPr lvl="0" algn="ctr" defTabSz="444500">
            <a:lnSpc>
              <a:spcPct val="90000"/>
            </a:lnSpc>
            <a:spcBef>
              <a:spcPct val="0"/>
            </a:spcBef>
            <a:spcAft>
              <a:spcPct val="35000"/>
            </a:spcAft>
          </a:pPr>
          <a:r>
            <a:rPr lang="pl-PL" sz="1000" kern="1200"/>
            <a:t>Funkcje jednostki płatniczej</a:t>
          </a:r>
        </a:p>
      </dsp:txBody>
      <dsp:txXfrm>
        <a:off x="2346063" y="2316718"/>
        <a:ext cx="1670215" cy="870495"/>
      </dsp:txXfrm>
    </dsp:sp>
    <dsp:sp modelId="{F5485D0B-150D-445F-B217-68419111A764}">
      <dsp:nvSpPr>
        <dsp:cNvPr id="0" name=""/>
        <dsp:cNvSpPr/>
      </dsp:nvSpPr>
      <dsp:spPr>
        <a:xfrm>
          <a:off x="4320333" y="1423564"/>
          <a:ext cx="1164869" cy="42943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750E29-0EE6-4A98-AA6F-98D7DC98E823}">
      <dsp:nvSpPr>
        <dsp:cNvPr id="0" name=""/>
        <dsp:cNvSpPr/>
      </dsp:nvSpPr>
      <dsp:spPr>
        <a:xfrm>
          <a:off x="4449762" y="1546523"/>
          <a:ext cx="1164869" cy="42943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Dyrektor Generalny</a:t>
          </a:r>
        </a:p>
      </dsp:txBody>
      <dsp:txXfrm>
        <a:off x="4462340" y="1559101"/>
        <a:ext cx="1139713" cy="404279"/>
      </dsp:txXfrm>
    </dsp:sp>
    <dsp:sp modelId="{5F80AAE5-DCB5-4D36-9955-4E51DFABDBBF}">
      <dsp:nvSpPr>
        <dsp:cNvPr id="0" name=""/>
        <dsp:cNvSpPr/>
      </dsp:nvSpPr>
      <dsp:spPr>
        <a:xfrm>
          <a:off x="4172790" y="2191783"/>
          <a:ext cx="1459953" cy="92294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70D13E0-2DE4-40C7-9F45-5DE9BA666B2C}">
      <dsp:nvSpPr>
        <dsp:cNvPr id="0" name=""/>
        <dsp:cNvSpPr/>
      </dsp:nvSpPr>
      <dsp:spPr>
        <a:xfrm>
          <a:off x="4302220" y="2314741"/>
          <a:ext cx="1459953" cy="922943"/>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Dyrektor Departamentu Certyfikacji  Desygnacji</a:t>
          </a:r>
          <a:endParaRPr lang="pl-PL" sz="1000" kern="1200"/>
        </a:p>
        <a:p>
          <a:pPr lvl="0" algn="ctr" defTabSz="444500">
            <a:lnSpc>
              <a:spcPct val="90000"/>
            </a:lnSpc>
            <a:spcBef>
              <a:spcPct val="0"/>
            </a:spcBef>
            <a:spcAft>
              <a:spcPct val="35000"/>
            </a:spcAft>
          </a:pPr>
          <a:r>
            <a:rPr lang="pl-PL" sz="1000" kern="1200"/>
            <a:t>Funcja dotycząca procedury desygnacji IZ</a:t>
          </a:r>
        </a:p>
      </dsp:txBody>
      <dsp:txXfrm>
        <a:off x="4329252" y="2341773"/>
        <a:ext cx="1405889" cy="8688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132EB6-DB44-460A-BBDD-D4BD524A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30055</Words>
  <Characters>215090</Characters>
  <Application>Microsoft Office Word</Application>
  <DocSecurity>0</DocSecurity>
  <Lines>1792</Lines>
  <Paragraphs>489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CPE</Company>
  <LinksUpToDate>false</LinksUpToDate>
  <CharactersWithSpaces>244656</CharactersWithSpaces>
  <SharedDoc>false</SharedDoc>
  <HLinks>
    <vt:vector size="132" baseType="variant">
      <vt:variant>
        <vt:i4>1638452</vt:i4>
      </vt:variant>
      <vt:variant>
        <vt:i4>128</vt:i4>
      </vt:variant>
      <vt:variant>
        <vt:i4>0</vt:i4>
      </vt:variant>
      <vt:variant>
        <vt:i4>5</vt:i4>
      </vt:variant>
      <vt:variant>
        <vt:lpwstr/>
      </vt:variant>
      <vt:variant>
        <vt:lpwstr>_Toc420942470</vt:lpwstr>
      </vt:variant>
      <vt:variant>
        <vt:i4>1572916</vt:i4>
      </vt:variant>
      <vt:variant>
        <vt:i4>122</vt:i4>
      </vt:variant>
      <vt:variant>
        <vt:i4>0</vt:i4>
      </vt:variant>
      <vt:variant>
        <vt:i4>5</vt:i4>
      </vt:variant>
      <vt:variant>
        <vt:lpwstr/>
      </vt:variant>
      <vt:variant>
        <vt:lpwstr>_Toc420942469</vt:lpwstr>
      </vt:variant>
      <vt:variant>
        <vt:i4>1572916</vt:i4>
      </vt:variant>
      <vt:variant>
        <vt:i4>116</vt:i4>
      </vt:variant>
      <vt:variant>
        <vt:i4>0</vt:i4>
      </vt:variant>
      <vt:variant>
        <vt:i4>5</vt:i4>
      </vt:variant>
      <vt:variant>
        <vt:lpwstr/>
      </vt:variant>
      <vt:variant>
        <vt:lpwstr>_Toc420942468</vt:lpwstr>
      </vt:variant>
      <vt:variant>
        <vt:i4>1572916</vt:i4>
      </vt:variant>
      <vt:variant>
        <vt:i4>110</vt:i4>
      </vt:variant>
      <vt:variant>
        <vt:i4>0</vt:i4>
      </vt:variant>
      <vt:variant>
        <vt:i4>5</vt:i4>
      </vt:variant>
      <vt:variant>
        <vt:lpwstr/>
      </vt:variant>
      <vt:variant>
        <vt:lpwstr>_Toc420942467</vt:lpwstr>
      </vt:variant>
      <vt:variant>
        <vt:i4>1572916</vt:i4>
      </vt:variant>
      <vt:variant>
        <vt:i4>104</vt:i4>
      </vt:variant>
      <vt:variant>
        <vt:i4>0</vt:i4>
      </vt:variant>
      <vt:variant>
        <vt:i4>5</vt:i4>
      </vt:variant>
      <vt:variant>
        <vt:lpwstr/>
      </vt:variant>
      <vt:variant>
        <vt:lpwstr>_Toc420942466</vt:lpwstr>
      </vt:variant>
      <vt:variant>
        <vt:i4>1572916</vt:i4>
      </vt:variant>
      <vt:variant>
        <vt:i4>98</vt:i4>
      </vt:variant>
      <vt:variant>
        <vt:i4>0</vt:i4>
      </vt:variant>
      <vt:variant>
        <vt:i4>5</vt:i4>
      </vt:variant>
      <vt:variant>
        <vt:lpwstr/>
      </vt:variant>
      <vt:variant>
        <vt:lpwstr>_Toc420942465</vt:lpwstr>
      </vt:variant>
      <vt:variant>
        <vt:i4>1572916</vt:i4>
      </vt:variant>
      <vt:variant>
        <vt:i4>92</vt:i4>
      </vt:variant>
      <vt:variant>
        <vt:i4>0</vt:i4>
      </vt:variant>
      <vt:variant>
        <vt:i4>5</vt:i4>
      </vt:variant>
      <vt:variant>
        <vt:lpwstr/>
      </vt:variant>
      <vt:variant>
        <vt:lpwstr>_Toc420942464</vt:lpwstr>
      </vt:variant>
      <vt:variant>
        <vt:i4>1572916</vt:i4>
      </vt:variant>
      <vt:variant>
        <vt:i4>86</vt:i4>
      </vt:variant>
      <vt:variant>
        <vt:i4>0</vt:i4>
      </vt:variant>
      <vt:variant>
        <vt:i4>5</vt:i4>
      </vt:variant>
      <vt:variant>
        <vt:lpwstr/>
      </vt:variant>
      <vt:variant>
        <vt:lpwstr>_Toc420942463</vt:lpwstr>
      </vt:variant>
      <vt:variant>
        <vt:i4>1572916</vt:i4>
      </vt:variant>
      <vt:variant>
        <vt:i4>80</vt:i4>
      </vt:variant>
      <vt:variant>
        <vt:i4>0</vt:i4>
      </vt:variant>
      <vt:variant>
        <vt:i4>5</vt:i4>
      </vt:variant>
      <vt:variant>
        <vt:lpwstr/>
      </vt:variant>
      <vt:variant>
        <vt:lpwstr>_Toc420942462</vt:lpwstr>
      </vt:variant>
      <vt:variant>
        <vt:i4>1572916</vt:i4>
      </vt:variant>
      <vt:variant>
        <vt:i4>74</vt:i4>
      </vt:variant>
      <vt:variant>
        <vt:i4>0</vt:i4>
      </vt:variant>
      <vt:variant>
        <vt:i4>5</vt:i4>
      </vt:variant>
      <vt:variant>
        <vt:lpwstr/>
      </vt:variant>
      <vt:variant>
        <vt:lpwstr>_Toc420942461</vt:lpwstr>
      </vt:variant>
      <vt:variant>
        <vt:i4>1572916</vt:i4>
      </vt:variant>
      <vt:variant>
        <vt:i4>68</vt:i4>
      </vt:variant>
      <vt:variant>
        <vt:i4>0</vt:i4>
      </vt:variant>
      <vt:variant>
        <vt:i4>5</vt:i4>
      </vt:variant>
      <vt:variant>
        <vt:lpwstr/>
      </vt:variant>
      <vt:variant>
        <vt:lpwstr>_Toc420942460</vt:lpwstr>
      </vt:variant>
      <vt:variant>
        <vt:i4>1769524</vt:i4>
      </vt:variant>
      <vt:variant>
        <vt:i4>62</vt:i4>
      </vt:variant>
      <vt:variant>
        <vt:i4>0</vt:i4>
      </vt:variant>
      <vt:variant>
        <vt:i4>5</vt:i4>
      </vt:variant>
      <vt:variant>
        <vt:lpwstr/>
      </vt:variant>
      <vt:variant>
        <vt:lpwstr>_Toc420942459</vt:lpwstr>
      </vt:variant>
      <vt:variant>
        <vt:i4>1769524</vt:i4>
      </vt:variant>
      <vt:variant>
        <vt:i4>56</vt:i4>
      </vt:variant>
      <vt:variant>
        <vt:i4>0</vt:i4>
      </vt:variant>
      <vt:variant>
        <vt:i4>5</vt:i4>
      </vt:variant>
      <vt:variant>
        <vt:lpwstr/>
      </vt:variant>
      <vt:variant>
        <vt:lpwstr>_Toc420942458</vt:lpwstr>
      </vt:variant>
      <vt:variant>
        <vt:i4>1769524</vt:i4>
      </vt:variant>
      <vt:variant>
        <vt:i4>50</vt:i4>
      </vt:variant>
      <vt:variant>
        <vt:i4>0</vt:i4>
      </vt:variant>
      <vt:variant>
        <vt:i4>5</vt:i4>
      </vt:variant>
      <vt:variant>
        <vt:lpwstr/>
      </vt:variant>
      <vt:variant>
        <vt:lpwstr>_Toc420942457</vt:lpwstr>
      </vt:variant>
      <vt:variant>
        <vt:i4>1769524</vt:i4>
      </vt:variant>
      <vt:variant>
        <vt:i4>44</vt:i4>
      </vt:variant>
      <vt:variant>
        <vt:i4>0</vt:i4>
      </vt:variant>
      <vt:variant>
        <vt:i4>5</vt:i4>
      </vt:variant>
      <vt:variant>
        <vt:lpwstr/>
      </vt:variant>
      <vt:variant>
        <vt:lpwstr>_Toc420942456</vt:lpwstr>
      </vt:variant>
      <vt:variant>
        <vt:i4>1769524</vt:i4>
      </vt:variant>
      <vt:variant>
        <vt:i4>38</vt:i4>
      </vt:variant>
      <vt:variant>
        <vt:i4>0</vt:i4>
      </vt:variant>
      <vt:variant>
        <vt:i4>5</vt:i4>
      </vt:variant>
      <vt:variant>
        <vt:lpwstr/>
      </vt:variant>
      <vt:variant>
        <vt:lpwstr>_Toc420942455</vt:lpwstr>
      </vt:variant>
      <vt:variant>
        <vt:i4>1769524</vt:i4>
      </vt:variant>
      <vt:variant>
        <vt:i4>32</vt:i4>
      </vt:variant>
      <vt:variant>
        <vt:i4>0</vt:i4>
      </vt:variant>
      <vt:variant>
        <vt:i4>5</vt:i4>
      </vt:variant>
      <vt:variant>
        <vt:lpwstr/>
      </vt:variant>
      <vt:variant>
        <vt:lpwstr>_Toc420942454</vt:lpwstr>
      </vt:variant>
      <vt:variant>
        <vt:i4>1769524</vt:i4>
      </vt:variant>
      <vt:variant>
        <vt:i4>26</vt:i4>
      </vt:variant>
      <vt:variant>
        <vt:i4>0</vt:i4>
      </vt:variant>
      <vt:variant>
        <vt:i4>5</vt:i4>
      </vt:variant>
      <vt:variant>
        <vt:lpwstr/>
      </vt:variant>
      <vt:variant>
        <vt:lpwstr>_Toc420942453</vt:lpwstr>
      </vt:variant>
      <vt:variant>
        <vt:i4>1769524</vt:i4>
      </vt:variant>
      <vt:variant>
        <vt:i4>20</vt:i4>
      </vt:variant>
      <vt:variant>
        <vt:i4>0</vt:i4>
      </vt:variant>
      <vt:variant>
        <vt:i4>5</vt:i4>
      </vt:variant>
      <vt:variant>
        <vt:lpwstr/>
      </vt:variant>
      <vt:variant>
        <vt:lpwstr>_Toc420942452</vt:lpwstr>
      </vt:variant>
      <vt:variant>
        <vt:i4>1769524</vt:i4>
      </vt:variant>
      <vt:variant>
        <vt:i4>14</vt:i4>
      </vt:variant>
      <vt:variant>
        <vt:i4>0</vt:i4>
      </vt:variant>
      <vt:variant>
        <vt:i4>5</vt:i4>
      </vt:variant>
      <vt:variant>
        <vt:lpwstr/>
      </vt:variant>
      <vt:variant>
        <vt:lpwstr>_Toc420942451</vt:lpwstr>
      </vt:variant>
      <vt:variant>
        <vt:i4>1769524</vt:i4>
      </vt:variant>
      <vt:variant>
        <vt:i4>8</vt:i4>
      </vt:variant>
      <vt:variant>
        <vt:i4>0</vt:i4>
      </vt:variant>
      <vt:variant>
        <vt:i4>5</vt:i4>
      </vt:variant>
      <vt:variant>
        <vt:lpwstr/>
      </vt:variant>
      <vt:variant>
        <vt:lpwstr>_Toc420942450</vt:lpwstr>
      </vt:variant>
      <vt:variant>
        <vt:i4>1703988</vt:i4>
      </vt:variant>
      <vt:variant>
        <vt:i4>2</vt:i4>
      </vt:variant>
      <vt:variant>
        <vt:i4>0</vt:i4>
      </vt:variant>
      <vt:variant>
        <vt:i4>5</vt:i4>
      </vt:variant>
      <vt:variant>
        <vt:lpwstr/>
      </vt:variant>
      <vt:variant>
        <vt:lpwstr>_Toc420942449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Gawron</dc:creator>
  <cp:lastModifiedBy>Aleksandra Chudy</cp:lastModifiedBy>
  <cp:revision>2</cp:revision>
  <cp:lastPrinted>2016-11-18T06:48:00Z</cp:lastPrinted>
  <dcterms:created xsi:type="dcterms:W3CDTF">2018-12-17T10:12:00Z</dcterms:created>
  <dcterms:modified xsi:type="dcterms:W3CDTF">2018-12-17T10:12:00Z</dcterms:modified>
</cp:coreProperties>
</file>